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C2C66" w14:textId="77777777" w:rsidR="006F5609" w:rsidRPr="006F5609" w:rsidRDefault="006F5609" w:rsidP="00BD127A">
      <w:pPr>
        <w:rPr>
          <w:rFonts w:ascii="Verdana" w:eastAsiaTheme="minorEastAsia" w:hAnsi="Verdana" w:cstheme="minorHAnsi"/>
          <w:b/>
          <w:bCs/>
          <w:color w:val="2F5496" w:themeColor="accent5" w:themeShade="BF"/>
          <w:sz w:val="64"/>
          <w:szCs w:val="64"/>
        </w:rPr>
      </w:pPr>
      <w:r w:rsidRPr="006F5609">
        <w:rPr>
          <w:rFonts w:ascii="Verdana" w:eastAsiaTheme="minorEastAsia" w:hAnsi="Verdana" w:cstheme="minorHAnsi"/>
          <w:b/>
          <w:bCs/>
          <w:color w:val="2F5496" w:themeColor="accent5" w:themeShade="BF"/>
          <w:sz w:val="64"/>
          <w:szCs w:val="64"/>
        </w:rPr>
        <w:t>Overview</w:t>
      </w:r>
    </w:p>
    <w:p w14:paraId="76E435C3" w14:textId="7DF5CED1" w:rsidR="00CC50D4" w:rsidRPr="006F5609" w:rsidRDefault="00CC50D4" w:rsidP="00BD127A">
      <w:pPr>
        <w:ind w:right="1655"/>
        <w:rPr>
          <w:rFonts w:ascii="Verdana" w:eastAsiaTheme="minorEastAsia" w:hAnsi="Verdana" w:cstheme="minorHAnsi"/>
          <w:b/>
          <w:bCs/>
          <w:color w:val="2F5496" w:themeColor="accent5" w:themeShade="BF"/>
          <w:sz w:val="36"/>
          <w:szCs w:val="36"/>
        </w:rPr>
      </w:pPr>
      <w:r w:rsidRPr="006F5609">
        <w:rPr>
          <w:rFonts w:ascii="Verdana" w:eastAsiaTheme="minorEastAsia" w:hAnsi="Verdana" w:cstheme="minorHAnsi"/>
          <w:b/>
          <w:bCs/>
          <w:color w:val="2F5496" w:themeColor="accent5" w:themeShade="BF"/>
          <w:sz w:val="36"/>
          <w:szCs w:val="36"/>
        </w:rPr>
        <w:t>Stormwater Program Investment: Lar</w:t>
      </w:r>
      <w:r w:rsidR="006F5609" w:rsidRPr="006F5609">
        <w:rPr>
          <w:rFonts w:ascii="Verdana" w:hAnsi="Verdana"/>
          <w:b/>
          <w:noProof/>
          <w:color w:val="2F5496" w:themeColor="accent5" w:themeShade="BF"/>
          <w:sz w:val="36"/>
          <w:szCs w:val="36"/>
        </w:rPr>
        <w:drawing>
          <wp:anchor distT="0" distB="0" distL="114300" distR="114300" simplePos="0" relativeHeight="251659264" behindDoc="1" locked="1" layoutInCell="1" allowOverlap="1" wp14:anchorId="6EF0CBB3" wp14:editId="5A923282">
            <wp:simplePos x="0" y="0"/>
            <wp:positionH relativeFrom="page">
              <wp:posOffset>4500245</wp:posOffset>
            </wp:positionH>
            <wp:positionV relativeFrom="page">
              <wp:posOffset>7620</wp:posOffset>
            </wp:positionV>
            <wp:extent cx="3034665" cy="2109470"/>
            <wp:effectExtent l="0" t="0" r="0" b="5080"/>
            <wp:wrapNone/>
            <wp:docPr id="53" name="MWCircl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4665" cy="210947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F5609">
        <w:rPr>
          <w:rFonts w:ascii="Verdana" w:eastAsiaTheme="minorEastAsia" w:hAnsi="Verdana" w:cstheme="minorHAnsi"/>
          <w:b/>
          <w:bCs/>
          <w:color w:val="2F5496" w:themeColor="accent5" w:themeShade="BF"/>
          <w:sz w:val="36"/>
          <w:szCs w:val="36"/>
        </w:rPr>
        <w:t>ge Scale Stormwater Harvesting</w:t>
      </w:r>
    </w:p>
    <w:p w14:paraId="42209440" w14:textId="77777777" w:rsidR="00CC50D4" w:rsidRPr="006F5609" w:rsidRDefault="00CC50D4" w:rsidP="00BD127A">
      <w:pPr>
        <w:rPr>
          <w:rFonts w:ascii="Verdana" w:eastAsiaTheme="minorEastAsia" w:hAnsi="Verdana" w:cstheme="minorHAnsi"/>
          <w:sz w:val="20"/>
          <w:szCs w:val="20"/>
        </w:rPr>
      </w:pPr>
    </w:p>
    <w:p w14:paraId="1C7E1122" w14:textId="77777777" w:rsidR="00CC50D4" w:rsidRPr="006F5609" w:rsidRDefault="00CC50D4" w:rsidP="00BD127A">
      <w:pPr>
        <w:rPr>
          <w:rFonts w:ascii="Verdana" w:eastAsiaTheme="minorEastAsia" w:hAnsi="Verdana" w:cstheme="minorHAnsi"/>
          <w:b/>
          <w:bCs/>
          <w:color w:val="2F5496" w:themeColor="accent5" w:themeShade="BF"/>
          <w:sz w:val="28"/>
          <w:szCs w:val="28"/>
        </w:rPr>
      </w:pPr>
      <w:r w:rsidRPr="006F5609">
        <w:rPr>
          <w:rFonts w:ascii="Verdana" w:eastAsiaTheme="minorEastAsia" w:hAnsi="Verdana" w:cstheme="minorHAnsi"/>
          <w:b/>
          <w:bCs/>
          <w:color w:val="2F5496" w:themeColor="accent5" w:themeShade="BF"/>
          <w:sz w:val="28"/>
          <w:szCs w:val="28"/>
        </w:rPr>
        <w:t>Summary</w:t>
      </w:r>
    </w:p>
    <w:p w14:paraId="53E195C3" w14:textId="77777777" w:rsidR="006F5609" w:rsidRDefault="006F5609" w:rsidP="00BD127A">
      <w:pPr>
        <w:pStyle w:val="BodyText"/>
        <w:spacing w:before="0" w:after="0"/>
        <w:rPr>
          <w:rFonts w:ascii="Verdana" w:eastAsiaTheme="minorEastAsia" w:hAnsi="Verdana" w:cstheme="minorHAnsi"/>
          <w:color w:val="auto"/>
        </w:rPr>
      </w:pPr>
    </w:p>
    <w:p w14:paraId="0E7B61E1" w14:textId="786F2D2F" w:rsidR="00991DD7" w:rsidRPr="006F5609" w:rsidRDefault="00991DD7" w:rsidP="00BD127A">
      <w:pPr>
        <w:pStyle w:val="BodyText"/>
        <w:spacing w:before="0" w:after="0"/>
        <w:rPr>
          <w:rFonts w:ascii="Verdana" w:hAnsi="Verdana"/>
          <w:sz w:val="24"/>
          <w:szCs w:val="24"/>
        </w:rPr>
      </w:pPr>
      <w:r w:rsidRPr="006F5609">
        <w:rPr>
          <w:rFonts w:ascii="Verdana" w:hAnsi="Verdana"/>
          <w:sz w:val="24"/>
          <w:szCs w:val="24"/>
        </w:rPr>
        <w:t xml:space="preserve">The draft </w:t>
      </w:r>
      <w:r w:rsidR="003F7FF4">
        <w:rPr>
          <w:rFonts w:ascii="Verdana" w:hAnsi="Verdana"/>
          <w:sz w:val="24"/>
          <w:szCs w:val="24"/>
        </w:rPr>
        <w:t xml:space="preserve">ESC </w:t>
      </w:r>
      <w:r w:rsidRPr="006F5609">
        <w:rPr>
          <w:rFonts w:ascii="Verdana" w:hAnsi="Verdana"/>
          <w:sz w:val="24"/>
          <w:szCs w:val="24"/>
        </w:rPr>
        <w:t>decision removes the operational expenditure required to:</w:t>
      </w:r>
    </w:p>
    <w:p w14:paraId="2E66A033" w14:textId="77777777" w:rsidR="00991DD7" w:rsidRPr="006F5609" w:rsidRDefault="00991DD7" w:rsidP="00BD127A">
      <w:pPr>
        <w:pStyle w:val="ListBullet"/>
        <w:spacing w:before="0" w:after="0"/>
        <w:ind w:left="357" w:hanging="357"/>
        <w:rPr>
          <w:rFonts w:ascii="Verdana" w:hAnsi="Verdana"/>
          <w:sz w:val="24"/>
        </w:rPr>
      </w:pPr>
      <w:r w:rsidRPr="006F5609">
        <w:rPr>
          <w:rFonts w:ascii="Verdana" w:hAnsi="Verdana"/>
          <w:sz w:val="24"/>
        </w:rPr>
        <w:t>Support the capital stormwater harvesting capital program ($4.5 million)</w:t>
      </w:r>
    </w:p>
    <w:p w14:paraId="321C857E" w14:textId="77777777" w:rsidR="00991DD7" w:rsidRPr="006F5609" w:rsidRDefault="00991DD7" w:rsidP="00BD127A">
      <w:pPr>
        <w:pStyle w:val="ListBullet"/>
        <w:spacing w:before="0" w:after="0"/>
        <w:ind w:left="357" w:hanging="357"/>
        <w:rPr>
          <w:rFonts w:ascii="Verdana" w:hAnsi="Verdana"/>
          <w:sz w:val="24"/>
        </w:rPr>
      </w:pPr>
      <w:r w:rsidRPr="006F5609">
        <w:rPr>
          <w:rFonts w:ascii="Verdana" w:hAnsi="Verdana"/>
          <w:sz w:val="24"/>
        </w:rPr>
        <w:t>Carry out further analysis and investigation work and the associated FTE ($3.5 million)</w:t>
      </w:r>
    </w:p>
    <w:p w14:paraId="0B39F8C3" w14:textId="77777777" w:rsidR="00991DD7" w:rsidRPr="006F5609" w:rsidRDefault="00991DD7" w:rsidP="00BD127A">
      <w:pPr>
        <w:pStyle w:val="ListBullet"/>
        <w:spacing w:before="0" w:after="0"/>
        <w:rPr>
          <w:rFonts w:ascii="Verdana" w:hAnsi="Verdana"/>
          <w:sz w:val="24"/>
        </w:rPr>
      </w:pPr>
      <w:r w:rsidRPr="006F5609">
        <w:rPr>
          <w:rFonts w:ascii="Verdana" w:hAnsi="Verdana"/>
          <w:sz w:val="24"/>
        </w:rPr>
        <w:t>Fund research, informing policy and monitoring programs to understand effectiveness ($3.5 million)</w:t>
      </w:r>
    </w:p>
    <w:p w14:paraId="24F90DA2" w14:textId="77777777" w:rsidR="00BD127A" w:rsidRDefault="00BD127A" w:rsidP="00BD127A">
      <w:pPr>
        <w:pStyle w:val="BodyText"/>
        <w:spacing w:before="0" w:after="0"/>
        <w:rPr>
          <w:rFonts w:ascii="Verdana" w:hAnsi="Verdana"/>
          <w:sz w:val="24"/>
          <w:szCs w:val="24"/>
        </w:rPr>
      </w:pPr>
    </w:p>
    <w:p w14:paraId="4A08F6FA" w14:textId="52C0BAB6" w:rsidR="00991DD7" w:rsidRPr="006F5609" w:rsidRDefault="00991DD7" w:rsidP="00BD127A">
      <w:pPr>
        <w:pStyle w:val="BodyText"/>
        <w:spacing w:before="0" w:after="0"/>
        <w:rPr>
          <w:rFonts w:ascii="Verdana" w:hAnsi="Verdana"/>
          <w:sz w:val="24"/>
          <w:szCs w:val="24"/>
        </w:rPr>
      </w:pPr>
      <w:r w:rsidRPr="006F5609">
        <w:rPr>
          <w:rFonts w:ascii="Verdana" w:hAnsi="Verdana"/>
          <w:sz w:val="24"/>
          <w:szCs w:val="24"/>
        </w:rPr>
        <w:t>This outcome appears to support the Deloitte</w:t>
      </w:r>
      <w:r w:rsidR="003F7FF4">
        <w:rPr>
          <w:rFonts w:ascii="Verdana" w:hAnsi="Verdana"/>
          <w:sz w:val="24"/>
          <w:szCs w:val="24"/>
        </w:rPr>
        <w:t xml:space="preserve"> (DAE)</w:t>
      </w:r>
      <w:r w:rsidRPr="006F5609">
        <w:rPr>
          <w:rFonts w:ascii="Verdana" w:hAnsi="Verdana"/>
          <w:sz w:val="24"/>
          <w:szCs w:val="24"/>
        </w:rPr>
        <w:t xml:space="preserve"> recommendation to remove the $98 million capital expenditure related to Melbourne Water’s proposed stormwater harvesting program.  The implication is that the $98 million of stormwater capital is part of the ESC decision for an average reduction of $50 million per annum to Melbourne Water’s capital program. The decision is </w:t>
      </w:r>
      <w:r w:rsidR="002A534F">
        <w:rPr>
          <w:rFonts w:ascii="Verdana" w:hAnsi="Verdana"/>
          <w:sz w:val="24"/>
          <w:szCs w:val="24"/>
        </w:rPr>
        <w:t xml:space="preserve">based on the Deloitte report, </w:t>
      </w:r>
      <w:r w:rsidRPr="006F5609">
        <w:rPr>
          <w:rFonts w:ascii="Verdana" w:hAnsi="Verdana"/>
          <w:sz w:val="24"/>
          <w:szCs w:val="24"/>
        </w:rPr>
        <w:t>which noted  “</w:t>
      </w:r>
      <w:r w:rsidRPr="006F5609">
        <w:rPr>
          <w:rFonts w:ascii="Verdana" w:hAnsi="Verdana"/>
          <w:i/>
          <w:sz w:val="24"/>
          <w:szCs w:val="24"/>
        </w:rPr>
        <w:t>we have recommended removal of a number of capital investment items associated with the waterways and drainage increased customer service levels (see section 3.4.2), approximately $98 million over RP5. We consider these capex reductions should be included as part of the broader $50m per annum reduction to the capital program</w:t>
      </w:r>
      <w:r w:rsidRPr="006F5609">
        <w:rPr>
          <w:rFonts w:ascii="Verdana" w:hAnsi="Verdana"/>
          <w:sz w:val="24"/>
          <w:szCs w:val="24"/>
        </w:rPr>
        <w:t xml:space="preserve">.” (see discussion in Table 3.14 on pgs. 35-36 and </w:t>
      </w:r>
      <w:proofErr w:type="spellStart"/>
      <w:r w:rsidRPr="006F5609">
        <w:rPr>
          <w:rFonts w:ascii="Verdana" w:hAnsi="Verdana"/>
          <w:sz w:val="24"/>
          <w:szCs w:val="24"/>
        </w:rPr>
        <w:t>pgs</w:t>
      </w:r>
      <w:proofErr w:type="spellEnd"/>
      <w:r w:rsidRPr="006F5609">
        <w:rPr>
          <w:rFonts w:ascii="Verdana" w:hAnsi="Verdana"/>
          <w:sz w:val="24"/>
          <w:szCs w:val="24"/>
        </w:rPr>
        <w:t xml:space="preserve"> 103-104 of the Deloitte report). Deloitte raised concerns about the prudency of stormwater harvesting projects and considered insufficient justification was presented, beyond willingness to pay.</w:t>
      </w:r>
    </w:p>
    <w:p w14:paraId="3852EBCA" w14:textId="77777777" w:rsidR="00BD127A" w:rsidRDefault="00BD127A" w:rsidP="00BD127A">
      <w:pPr>
        <w:pStyle w:val="BodyText"/>
        <w:spacing w:before="0" w:after="0"/>
        <w:rPr>
          <w:rFonts w:ascii="Verdana" w:hAnsi="Verdana"/>
          <w:sz w:val="24"/>
          <w:szCs w:val="24"/>
        </w:rPr>
      </w:pPr>
    </w:p>
    <w:p w14:paraId="367B811C" w14:textId="16BBA919" w:rsidR="00CC50D4" w:rsidRPr="006F5609" w:rsidRDefault="00991DD7" w:rsidP="00BD127A">
      <w:pPr>
        <w:pStyle w:val="BodyText"/>
        <w:spacing w:before="0" w:after="0"/>
        <w:rPr>
          <w:rFonts w:ascii="Verdana" w:eastAsiaTheme="minorEastAsia" w:hAnsi="Verdana" w:cstheme="minorHAnsi"/>
          <w:sz w:val="24"/>
          <w:szCs w:val="24"/>
        </w:rPr>
      </w:pPr>
      <w:r w:rsidRPr="006F5609">
        <w:rPr>
          <w:rFonts w:ascii="Verdana" w:hAnsi="Verdana"/>
          <w:sz w:val="24"/>
          <w:szCs w:val="24"/>
        </w:rPr>
        <w:t xml:space="preserve">The consequence of the removal of the large scale stormwater operational expenditure means the associated capital expenditure cannot substantially progress.  This operational and capital expenditure is </w:t>
      </w:r>
      <w:r w:rsidR="00996BBF" w:rsidRPr="006F5609">
        <w:rPr>
          <w:rFonts w:ascii="Verdana" w:eastAsiaTheme="minorEastAsia" w:hAnsi="Verdana" w:cstheme="minorHAnsi"/>
          <w:sz w:val="24"/>
          <w:szCs w:val="24"/>
        </w:rPr>
        <w:t xml:space="preserve">required to </w:t>
      </w:r>
      <w:r w:rsidR="00CC50D4" w:rsidRPr="006F5609">
        <w:rPr>
          <w:rFonts w:ascii="Verdana" w:eastAsiaTheme="minorEastAsia" w:hAnsi="Verdana" w:cstheme="minorHAnsi"/>
          <w:sz w:val="24"/>
          <w:szCs w:val="24"/>
        </w:rPr>
        <w:t xml:space="preserve">meet MW’s legislative and regulatory obligations under the </w:t>
      </w:r>
      <w:r w:rsidR="00CC50D4" w:rsidRPr="006F5609">
        <w:rPr>
          <w:rFonts w:ascii="Verdana" w:eastAsiaTheme="minorEastAsia" w:hAnsi="Verdana" w:cstheme="minorHAnsi"/>
          <w:i/>
          <w:sz w:val="24"/>
          <w:szCs w:val="24"/>
        </w:rPr>
        <w:t>Water Act 1989</w:t>
      </w:r>
      <w:r w:rsidR="00CC50D4" w:rsidRPr="006F5609">
        <w:rPr>
          <w:rFonts w:ascii="Verdana" w:eastAsiaTheme="minorEastAsia" w:hAnsi="Verdana" w:cstheme="minorHAnsi"/>
          <w:sz w:val="24"/>
          <w:szCs w:val="24"/>
        </w:rPr>
        <w:t xml:space="preserve">, the </w:t>
      </w:r>
      <w:r w:rsidR="00CC50D4" w:rsidRPr="006F5609">
        <w:rPr>
          <w:rFonts w:ascii="Verdana" w:eastAsiaTheme="minorEastAsia" w:hAnsi="Verdana" w:cstheme="minorHAnsi"/>
          <w:i/>
          <w:sz w:val="24"/>
          <w:szCs w:val="24"/>
        </w:rPr>
        <w:t>Environment Protection Act 2017 / Environment Protection Act 1970</w:t>
      </w:r>
      <w:r w:rsidR="00CC50D4" w:rsidRPr="006F5609">
        <w:rPr>
          <w:rFonts w:ascii="Verdana" w:eastAsiaTheme="minorEastAsia" w:hAnsi="Verdana" w:cstheme="minorHAnsi"/>
          <w:sz w:val="24"/>
          <w:szCs w:val="24"/>
        </w:rPr>
        <w:t>, and contained within the Statement of Obligation (2015), with respect to:</w:t>
      </w:r>
    </w:p>
    <w:p w14:paraId="3B14DDD9" w14:textId="77777777" w:rsidR="00CC50D4" w:rsidRPr="006F5609" w:rsidRDefault="00CC50D4" w:rsidP="00BD127A">
      <w:pPr>
        <w:pStyle w:val="ListParagraph"/>
        <w:numPr>
          <w:ilvl w:val="0"/>
          <w:numId w:val="29"/>
        </w:numPr>
        <w:spacing w:after="0"/>
        <w:ind w:left="714" w:hanging="357"/>
        <w:rPr>
          <w:rFonts w:ascii="Verdana" w:eastAsiaTheme="minorEastAsia" w:hAnsi="Verdana" w:cstheme="minorHAnsi"/>
          <w:sz w:val="24"/>
          <w:szCs w:val="24"/>
        </w:rPr>
      </w:pPr>
      <w:r w:rsidRPr="006F5609">
        <w:rPr>
          <w:rFonts w:ascii="Verdana" w:eastAsiaTheme="minorEastAsia" w:hAnsi="Verdana" w:cstheme="minorHAnsi"/>
          <w:sz w:val="24"/>
          <w:szCs w:val="24"/>
        </w:rPr>
        <w:t>waterway management;</w:t>
      </w:r>
    </w:p>
    <w:p w14:paraId="2A8F9D08" w14:textId="77777777" w:rsidR="00CC50D4" w:rsidRPr="006F5609" w:rsidRDefault="00CC50D4" w:rsidP="00BD127A">
      <w:pPr>
        <w:pStyle w:val="ListParagraph"/>
        <w:numPr>
          <w:ilvl w:val="0"/>
          <w:numId w:val="29"/>
        </w:numPr>
        <w:spacing w:after="0"/>
        <w:rPr>
          <w:rFonts w:ascii="Verdana" w:eastAsiaTheme="minorEastAsia" w:hAnsi="Verdana" w:cstheme="minorHAnsi"/>
          <w:sz w:val="24"/>
          <w:szCs w:val="24"/>
        </w:rPr>
      </w:pPr>
      <w:r w:rsidRPr="006F5609">
        <w:rPr>
          <w:rFonts w:ascii="Verdana" w:eastAsiaTheme="minorEastAsia" w:hAnsi="Verdana" w:cstheme="minorHAnsi"/>
          <w:sz w:val="24"/>
          <w:szCs w:val="24"/>
        </w:rPr>
        <w:t>environmental protection; and</w:t>
      </w:r>
    </w:p>
    <w:p w14:paraId="62881585" w14:textId="77777777" w:rsidR="00CC50D4" w:rsidRPr="006F5609" w:rsidRDefault="00CC50D4" w:rsidP="00BD127A">
      <w:pPr>
        <w:pStyle w:val="ListParagraph"/>
        <w:numPr>
          <w:ilvl w:val="0"/>
          <w:numId w:val="29"/>
        </w:numPr>
        <w:spacing w:after="0"/>
        <w:ind w:left="714" w:hanging="357"/>
        <w:rPr>
          <w:rFonts w:ascii="Verdana" w:eastAsiaTheme="minorEastAsia" w:hAnsi="Verdana" w:cstheme="minorHAnsi"/>
          <w:sz w:val="24"/>
          <w:szCs w:val="24"/>
        </w:rPr>
      </w:pPr>
      <w:r w:rsidRPr="006F5609">
        <w:rPr>
          <w:rFonts w:ascii="Verdana" w:eastAsiaTheme="minorEastAsia" w:hAnsi="Verdana" w:cstheme="minorHAnsi"/>
          <w:sz w:val="24"/>
          <w:szCs w:val="24"/>
        </w:rPr>
        <w:t>maintaining social and economic uses of valued urban waterways.</w:t>
      </w:r>
    </w:p>
    <w:p w14:paraId="11702803" w14:textId="77777777" w:rsidR="00BD127A" w:rsidRDefault="00BD127A" w:rsidP="00BD127A">
      <w:pPr>
        <w:rPr>
          <w:rFonts w:ascii="Verdana" w:eastAsiaTheme="minorEastAsia" w:hAnsi="Verdana" w:cstheme="minorHAnsi"/>
        </w:rPr>
      </w:pPr>
    </w:p>
    <w:p w14:paraId="19AE7273" w14:textId="1E35CFC3" w:rsidR="00CC50D4" w:rsidRPr="006F5609" w:rsidRDefault="00CC50D4" w:rsidP="00BD127A">
      <w:pPr>
        <w:rPr>
          <w:rFonts w:ascii="Verdana" w:eastAsiaTheme="minorEastAsia" w:hAnsi="Verdana" w:cstheme="minorHAnsi"/>
        </w:rPr>
      </w:pPr>
      <w:r w:rsidRPr="006F5609">
        <w:rPr>
          <w:rFonts w:ascii="Verdana" w:eastAsiaTheme="minorEastAsia" w:hAnsi="Verdana" w:cstheme="minorHAnsi"/>
        </w:rPr>
        <w:t>Note the three business cases relevant to this program have been updated to more clearly articulate the program drivers and reflect these specific obligations.</w:t>
      </w:r>
      <w:r w:rsidRPr="006F5609">
        <w:rPr>
          <w:rFonts w:ascii="Verdana" w:hAnsi="Verdana"/>
        </w:rPr>
        <w:t xml:space="preserve"> </w:t>
      </w:r>
    </w:p>
    <w:p w14:paraId="5469652A" w14:textId="3D302290" w:rsidR="00CC50D4" w:rsidRPr="006F5609" w:rsidRDefault="00CC50D4" w:rsidP="00BD127A">
      <w:pPr>
        <w:rPr>
          <w:rFonts w:ascii="Verdana" w:eastAsiaTheme="minorEastAsia" w:hAnsi="Verdana" w:cstheme="minorBidi"/>
        </w:rPr>
      </w:pPr>
      <w:r w:rsidRPr="006F5609">
        <w:rPr>
          <w:rFonts w:ascii="Verdana" w:eastAsiaTheme="minorEastAsia" w:hAnsi="Verdana" w:cstheme="minorBidi"/>
        </w:rPr>
        <w:lastRenderedPageBreak/>
        <w:t xml:space="preserve">The works proposed are designed to prevent a decline in the health of waterways that would result from maintaining the current level of investment (i.e. business-as-usual).  In addition to broader studies on the impact of stormwater on waterways (Uttigauer,2016; Walsh &amp; </w:t>
      </w:r>
      <w:proofErr w:type="spellStart"/>
      <w:r w:rsidRPr="006F5609">
        <w:rPr>
          <w:rFonts w:ascii="Verdana" w:eastAsiaTheme="minorEastAsia" w:hAnsi="Verdana" w:cstheme="minorBidi"/>
        </w:rPr>
        <w:t>Kunapo</w:t>
      </w:r>
      <w:proofErr w:type="spellEnd"/>
      <w:r w:rsidRPr="006F5609">
        <w:rPr>
          <w:rFonts w:ascii="Verdana" w:eastAsiaTheme="minorEastAsia" w:hAnsi="Verdana" w:cstheme="minorBidi"/>
        </w:rPr>
        <w:t xml:space="preserve">, 2009; Wenger, et al., 2009), detailed studies have been completed by Melbourne University (Chee et al,2020, Healthy Waterways Strategy 2008) which have identified that under a business-as-usual approach for Melbourne’s waterways impacted by urban growth, there will be broad and irreversible loss of waterway values such as birds, fish, frogs, macroinvertebrates, platypus, amenity, community connection and recreation if appropriate stormwater management is not undertaken.  Of specific note is that no action in the Sunbury region is likely to result in extinction of platypus within the Jacksons and Emu Creeks, potentially the </w:t>
      </w:r>
      <w:r w:rsidRPr="00065088">
        <w:rPr>
          <w:rFonts w:ascii="Verdana" w:eastAsiaTheme="minorEastAsia" w:hAnsi="Verdana" w:cstheme="minorBidi"/>
        </w:rPr>
        <w:t>entire Maribyrnong River catchment. Platypus are now officially a</w:t>
      </w:r>
      <w:r w:rsidRPr="006F5609">
        <w:rPr>
          <w:rFonts w:ascii="Verdana" w:eastAsiaTheme="minorEastAsia" w:hAnsi="Verdana" w:cstheme="minorBidi"/>
          <w:sz w:val="20"/>
          <w:szCs w:val="20"/>
        </w:rPr>
        <w:t xml:space="preserve"> </w:t>
      </w:r>
      <w:r w:rsidRPr="006F5609">
        <w:rPr>
          <w:rFonts w:ascii="Verdana" w:eastAsiaTheme="minorEastAsia" w:hAnsi="Verdana" w:cstheme="minorBidi"/>
        </w:rPr>
        <w:t xml:space="preserve">threatened species and listed as ‘vulnerable’ in Victoria under Flora and Fauna Guarantee Act 1988 (Vic). </w:t>
      </w:r>
    </w:p>
    <w:p w14:paraId="7BBD0A01" w14:textId="77777777" w:rsidR="00BD127A" w:rsidRDefault="00BD127A" w:rsidP="00BD127A">
      <w:pPr>
        <w:rPr>
          <w:rFonts w:ascii="Verdana" w:eastAsiaTheme="minorEastAsia" w:hAnsi="Verdana" w:cstheme="minorHAnsi"/>
        </w:rPr>
      </w:pPr>
    </w:p>
    <w:p w14:paraId="6A5AEFB8" w14:textId="6E6A3696" w:rsidR="00CC50D4" w:rsidRPr="006F5609" w:rsidRDefault="00CC50D4" w:rsidP="00BD127A">
      <w:pPr>
        <w:rPr>
          <w:rFonts w:ascii="Verdana" w:eastAsiaTheme="minorEastAsia" w:hAnsi="Verdana" w:cstheme="minorHAnsi"/>
        </w:rPr>
      </w:pPr>
      <w:r w:rsidRPr="006F5609">
        <w:rPr>
          <w:rFonts w:ascii="Verdana" w:eastAsiaTheme="minorEastAsia" w:hAnsi="Verdana" w:cstheme="minorHAnsi"/>
        </w:rPr>
        <w:t>Evidence that supports the basis for these impacts can be found in the three business cases under this program. This includes information on the supporting research carried out by Melbourne University and the loss of values relevant to the specific waterways.</w:t>
      </w:r>
    </w:p>
    <w:p w14:paraId="3DAB6286" w14:textId="77777777" w:rsidR="00CC50D4" w:rsidRPr="006F5609" w:rsidRDefault="00CC50D4" w:rsidP="00BD127A">
      <w:pPr>
        <w:rPr>
          <w:rFonts w:ascii="Verdana" w:eastAsiaTheme="minorEastAsia" w:hAnsi="Verdana" w:cstheme="minorHAnsi"/>
        </w:rPr>
      </w:pPr>
    </w:p>
    <w:p w14:paraId="72EF921B" w14:textId="77777777" w:rsidR="00CC50D4" w:rsidRPr="006F5609" w:rsidRDefault="00CC50D4" w:rsidP="00BD127A">
      <w:pPr>
        <w:rPr>
          <w:rFonts w:ascii="Verdana" w:eastAsiaTheme="minorEastAsia" w:hAnsi="Verdana" w:cstheme="minorHAnsi"/>
        </w:rPr>
      </w:pPr>
      <w:r w:rsidRPr="006F5609">
        <w:rPr>
          <w:rFonts w:ascii="Verdana" w:eastAsiaTheme="minorEastAsia" w:hAnsi="Verdana" w:cstheme="minorHAnsi"/>
        </w:rPr>
        <w:t>To determine the appropriate level of investment required to maintain waterway health, MW:</w:t>
      </w:r>
    </w:p>
    <w:p w14:paraId="6BC5176F" w14:textId="761D543D" w:rsidR="00CC50D4" w:rsidRPr="006F5609" w:rsidRDefault="00CC50D4" w:rsidP="00BD127A">
      <w:pPr>
        <w:pStyle w:val="ListParagraph"/>
        <w:numPr>
          <w:ilvl w:val="0"/>
          <w:numId w:val="30"/>
        </w:numPr>
        <w:spacing w:after="0"/>
        <w:rPr>
          <w:rFonts w:ascii="Verdana" w:eastAsiaTheme="minorEastAsia" w:hAnsi="Verdana" w:cstheme="minorHAnsi"/>
          <w:sz w:val="24"/>
          <w:szCs w:val="24"/>
        </w:rPr>
      </w:pPr>
      <w:r w:rsidRPr="006F5609">
        <w:rPr>
          <w:rFonts w:ascii="Verdana" w:eastAsiaTheme="minorEastAsia" w:hAnsi="Verdana" w:cstheme="minorHAnsi"/>
          <w:b/>
          <w:sz w:val="24"/>
          <w:szCs w:val="24"/>
        </w:rPr>
        <w:t xml:space="preserve">identified waterways that required remediation – </w:t>
      </w:r>
      <w:r w:rsidRPr="006F5609">
        <w:rPr>
          <w:rFonts w:ascii="Verdana" w:eastAsiaTheme="minorEastAsia" w:hAnsi="Verdana" w:cstheme="minorHAnsi"/>
          <w:sz w:val="24"/>
          <w:szCs w:val="24"/>
        </w:rPr>
        <w:t xml:space="preserve"> used waterway specific data and specialised models to identify those waterways where further investment was necessary to prevent a decline (Chee et al,2020, H</w:t>
      </w:r>
      <w:r w:rsidR="00065088">
        <w:rPr>
          <w:rFonts w:ascii="Verdana" w:eastAsiaTheme="minorEastAsia" w:hAnsi="Verdana" w:cstheme="minorHAnsi"/>
          <w:sz w:val="24"/>
          <w:szCs w:val="24"/>
        </w:rPr>
        <w:t>ealthy Waterways Strategy 2008);</w:t>
      </w:r>
      <w:r w:rsidRPr="006F5609">
        <w:rPr>
          <w:rFonts w:ascii="Verdana" w:eastAsiaTheme="minorEastAsia" w:hAnsi="Verdana" w:cstheme="minorHAnsi"/>
          <w:sz w:val="24"/>
          <w:szCs w:val="24"/>
        </w:rPr>
        <w:t xml:space="preserve"> </w:t>
      </w:r>
    </w:p>
    <w:p w14:paraId="0320E075" w14:textId="77777777" w:rsidR="00CC50D4" w:rsidRPr="006F5609" w:rsidRDefault="00CC50D4" w:rsidP="00BD127A">
      <w:pPr>
        <w:pStyle w:val="ListParagraph"/>
        <w:numPr>
          <w:ilvl w:val="0"/>
          <w:numId w:val="30"/>
        </w:numPr>
        <w:spacing w:after="0"/>
        <w:rPr>
          <w:rFonts w:ascii="Verdana" w:eastAsiaTheme="minorEastAsia" w:hAnsi="Verdana" w:cstheme="minorHAnsi"/>
          <w:sz w:val="24"/>
          <w:szCs w:val="24"/>
        </w:rPr>
      </w:pPr>
      <w:r w:rsidRPr="006F5609">
        <w:rPr>
          <w:rFonts w:ascii="Verdana" w:eastAsiaTheme="minorEastAsia" w:hAnsi="Verdana" w:cstheme="minorHAnsi"/>
          <w:b/>
          <w:sz w:val="24"/>
          <w:szCs w:val="24"/>
        </w:rPr>
        <w:t>prioritised waterways that delivered the best value for money outcome –</w:t>
      </w:r>
      <w:r w:rsidRPr="006F5609">
        <w:rPr>
          <w:rFonts w:ascii="Verdana" w:eastAsiaTheme="minorEastAsia" w:hAnsi="Verdana" w:cstheme="minorHAnsi"/>
          <w:sz w:val="24"/>
          <w:szCs w:val="24"/>
        </w:rPr>
        <w:t xml:space="preserve"> these same models were used to compare the impact on future trajectory from undertaking different waterway management actions, including relative costs, to identify ‘priority areas’ for stormwater management across Melbourne (Chee et al,2020, Healthy Waterways Strategy 2008);</w:t>
      </w:r>
    </w:p>
    <w:p w14:paraId="1F4FA7F8" w14:textId="77777777" w:rsidR="00CC50D4" w:rsidRPr="006F5609" w:rsidRDefault="00CC50D4" w:rsidP="00BD127A">
      <w:pPr>
        <w:pStyle w:val="ListParagraph"/>
        <w:numPr>
          <w:ilvl w:val="0"/>
          <w:numId w:val="30"/>
        </w:numPr>
        <w:spacing w:after="0"/>
        <w:rPr>
          <w:rFonts w:ascii="Verdana" w:eastAsiaTheme="minorEastAsia" w:hAnsi="Verdana" w:cstheme="minorHAnsi"/>
          <w:sz w:val="24"/>
          <w:szCs w:val="24"/>
        </w:rPr>
      </w:pPr>
      <w:r w:rsidRPr="006F5609">
        <w:rPr>
          <w:rFonts w:ascii="Verdana" w:eastAsiaTheme="minorEastAsia" w:hAnsi="Verdana" w:cstheme="minorHAnsi"/>
          <w:b/>
          <w:sz w:val="24"/>
          <w:szCs w:val="24"/>
        </w:rPr>
        <w:t>identified how much stormwater needed to be captured/harvested to avoid the degradation of waterway health –</w:t>
      </w:r>
      <w:r w:rsidRPr="006F5609">
        <w:rPr>
          <w:rFonts w:ascii="Verdana" w:eastAsiaTheme="minorEastAsia" w:hAnsi="Verdana" w:cstheme="minorHAnsi"/>
          <w:sz w:val="24"/>
          <w:szCs w:val="24"/>
        </w:rPr>
        <w:t xml:space="preserve"> The best available science indicates that maintaining the current flow regime, and hence waterway condition, equates to around 4.4 ML/y harvested and 1.1 ML/y infiltrated respectively for every hectare of development or approximately 70-90% of the stormwater generated (Duncan et al., 2014);</w:t>
      </w:r>
    </w:p>
    <w:p w14:paraId="4DEBA92A" w14:textId="7B48AD34" w:rsidR="00CC50D4" w:rsidRPr="006F5609" w:rsidRDefault="00CC50D4" w:rsidP="00BD127A">
      <w:pPr>
        <w:pStyle w:val="ListParagraph"/>
        <w:numPr>
          <w:ilvl w:val="0"/>
          <w:numId w:val="30"/>
        </w:numPr>
        <w:spacing w:after="0"/>
        <w:rPr>
          <w:rFonts w:ascii="Verdana" w:eastAsiaTheme="minorEastAsia" w:hAnsi="Verdana"/>
          <w:sz w:val="24"/>
          <w:szCs w:val="24"/>
        </w:rPr>
      </w:pPr>
      <w:r w:rsidRPr="006F5609">
        <w:rPr>
          <w:rFonts w:ascii="Verdana" w:eastAsiaTheme="minorEastAsia" w:hAnsi="Verdana"/>
          <w:b/>
          <w:bCs/>
          <w:sz w:val="24"/>
          <w:szCs w:val="24"/>
        </w:rPr>
        <w:t>identify the waterways that require immediate action –</w:t>
      </w:r>
      <w:r w:rsidRPr="006F5609">
        <w:rPr>
          <w:rFonts w:ascii="Verdana" w:eastAsiaTheme="minorEastAsia" w:hAnsi="Verdana"/>
          <w:sz w:val="24"/>
          <w:szCs w:val="24"/>
        </w:rPr>
        <w:t xml:space="preserve"> of the identified ‘priority areas’, investment over the 2021-26 period is where there </w:t>
      </w:r>
      <w:r w:rsidR="002A534F">
        <w:rPr>
          <w:rFonts w:ascii="Verdana" w:eastAsiaTheme="minorEastAsia" w:hAnsi="Verdana"/>
          <w:sz w:val="24"/>
          <w:szCs w:val="24"/>
        </w:rPr>
        <w:t xml:space="preserve">is </w:t>
      </w:r>
      <w:r w:rsidRPr="006F5609">
        <w:rPr>
          <w:rFonts w:ascii="Verdana" w:eastAsiaTheme="minorEastAsia" w:hAnsi="Verdana"/>
          <w:sz w:val="24"/>
          <w:szCs w:val="24"/>
        </w:rPr>
        <w:t xml:space="preserve">evidence of rapid and expanding urban development (as shown in the Sunbury and Upper Merri Creek business cases), </w:t>
      </w:r>
      <w:r w:rsidRPr="006F5609">
        <w:rPr>
          <w:rFonts w:ascii="Verdana" w:eastAsiaTheme="minorEastAsia" w:hAnsi="Verdana"/>
          <w:sz w:val="24"/>
          <w:szCs w:val="24"/>
        </w:rPr>
        <w:lastRenderedPageBreak/>
        <w:t>and via a prioritisation process that screened potential intervent</w:t>
      </w:r>
      <w:r w:rsidR="00065088">
        <w:rPr>
          <w:rFonts w:ascii="Verdana" w:eastAsiaTheme="minorEastAsia" w:hAnsi="Verdana"/>
          <w:sz w:val="24"/>
          <w:szCs w:val="24"/>
        </w:rPr>
        <w:t>ions and capital works programs;</w:t>
      </w:r>
    </w:p>
    <w:p w14:paraId="64C59975" w14:textId="60B03D2C" w:rsidR="00CC50D4" w:rsidRPr="006F5609" w:rsidRDefault="00CC50D4" w:rsidP="00BD127A">
      <w:pPr>
        <w:pStyle w:val="ListParagraph"/>
        <w:numPr>
          <w:ilvl w:val="0"/>
          <w:numId w:val="30"/>
        </w:numPr>
        <w:spacing w:after="0"/>
        <w:rPr>
          <w:rFonts w:ascii="Verdana" w:eastAsiaTheme="minorEastAsia" w:hAnsi="Verdana" w:cstheme="minorHAnsi"/>
          <w:sz w:val="24"/>
          <w:szCs w:val="24"/>
        </w:rPr>
      </w:pPr>
      <w:r w:rsidRPr="006F5609">
        <w:rPr>
          <w:rFonts w:ascii="Verdana" w:eastAsiaTheme="minorEastAsia" w:hAnsi="Verdana" w:cstheme="minorHAnsi"/>
          <w:b/>
          <w:sz w:val="24"/>
          <w:szCs w:val="24"/>
        </w:rPr>
        <w:t>defined and assessed a suite of robust and comparable options –</w:t>
      </w:r>
      <w:r w:rsidRPr="006F5609">
        <w:rPr>
          <w:rFonts w:ascii="Verdana" w:eastAsiaTheme="minorEastAsia" w:hAnsi="Verdana" w:cstheme="minorHAnsi"/>
          <w:sz w:val="24"/>
          <w:szCs w:val="24"/>
        </w:rPr>
        <w:t xml:space="preserve"> for Sunbury and Upper Merri Creek, while a range of options were considered, given the large volume of stormwater that must be harvested to prevent waterway decline direct investment in centralised infrastructure is the preferred</w:t>
      </w:r>
      <w:r w:rsidR="002A534F">
        <w:rPr>
          <w:rFonts w:ascii="Verdana" w:eastAsiaTheme="minorEastAsia" w:hAnsi="Verdana" w:cstheme="minorHAnsi"/>
          <w:sz w:val="24"/>
          <w:szCs w:val="24"/>
        </w:rPr>
        <w:t xml:space="preserve"> option</w:t>
      </w:r>
      <w:r w:rsidRPr="006F5609">
        <w:rPr>
          <w:rFonts w:ascii="Verdana" w:eastAsiaTheme="minorEastAsia" w:hAnsi="Verdana" w:cstheme="minorHAnsi"/>
          <w:sz w:val="24"/>
          <w:szCs w:val="24"/>
        </w:rPr>
        <w:t>. For the regional business case, investment options included different asset types (</w:t>
      </w:r>
      <w:proofErr w:type="spellStart"/>
      <w:r w:rsidRPr="006F5609">
        <w:rPr>
          <w:rFonts w:ascii="Verdana" w:eastAsiaTheme="minorEastAsia" w:hAnsi="Verdana" w:cstheme="minorHAnsi"/>
          <w:sz w:val="24"/>
          <w:szCs w:val="24"/>
        </w:rPr>
        <w:t>ie</w:t>
      </w:r>
      <w:proofErr w:type="spellEnd"/>
      <w:r w:rsidRPr="006F5609">
        <w:rPr>
          <w:rFonts w:ascii="Verdana" w:eastAsiaTheme="minorEastAsia" w:hAnsi="Verdana" w:cstheme="minorHAnsi"/>
          <w:sz w:val="24"/>
          <w:szCs w:val="24"/>
        </w:rPr>
        <w:t>; aquifer recharge vs collection and reuse from wetlands) and different scales (lot scale, streetscape and neighbourhood scale). The analysis undertaken w</w:t>
      </w:r>
      <w:r w:rsidR="003F7FF4">
        <w:rPr>
          <w:rFonts w:ascii="Verdana" w:eastAsiaTheme="minorEastAsia" w:hAnsi="Verdana" w:cstheme="minorHAnsi"/>
          <w:sz w:val="24"/>
          <w:szCs w:val="24"/>
        </w:rPr>
        <w:t>as</w:t>
      </w:r>
      <w:r w:rsidRPr="006F5609">
        <w:rPr>
          <w:rFonts w:ascii="Verdana" w:eastAsiaTheme="minorEastAsia" w:hAnsi="Verdana" w:cstheme="minorHAnsi"/>
          <w:sz w:val="24"/>
          <w:szCs w:val="24"/>
        </w:rPr>
        <w:t xml:space="preserve"> bespoke for the spatial location and intervention was fit for purpose. Analysis and investigation was perfo</w:t>
      </w:r>
      <w:r w:rsidR="00065088">
        <w:rPr>
          <w:rFonts w:ascii="Verdana" w:eastAsiaTheme="minorEastAsia" w:hAnsi="Verdana" w:cstheme="minorHAnsi"/>
          <w:sz w:val="24"/>
          <w:szCs w:val="24"/>
        </w:rPr>
        <w:t>rmed by experienced consultants;</w:t>
      </w:r>
    </w:p>
    <w:p w14:paraId="0B9CF83F" w14:textId="77777777" w:rsidR="00CC50D4" w:rsidRPr="006F5609" w:rsidRDefault="00CC50D4" w:rsidP="00BD127A">
      <w:pPr>
        <w:pStyle w:val="ListParagraph"/>
        <w:numPr>
          <w:ilvl w:val="0"/>
          <w:numId w:val="30"/>
        </w:numPr>
        <w:spacing w:after="0"/>
        <w:rPr>
          <w:rFonts w:ascii="Verdana" w:eastAsiaTheme="minorEastAsia" w:hAnsi="Verdana"/>
          <w:sz w:val="24"/>
          <w:szCs w:val="24"/>
        </w:rPr>
      </w:pPr>
      <w:r w:rsidRPr="006F5609">
        <w:rPr>
          <w:rFonts w:ascii="Verdana" w:eastAsiaTheme="minorEastAsia" w:hAnsi="Verdana"/>
          <w:b/>
          <w:bCs/>
          <w:sz w:val="24"/>
          <w:szCs w:val="24"/>
        </w:rPr>
        <w:t>completed robust cost estimates</w:t>
      </w:r>
      <w:r w:rsidRPr="006F5609">
        <w:rPr>
          <w:rFonts w:ascii="Verdana" w:eastAsiaTheme="minorEastAsia" w:hAnsi="Verdana"/>
          <w:sz w:val="24"/>
          <w:szCs w:val="24"/>
        </w:rPr>
        <w:t xml:space="preserve">, based on modelling and engineering design completed by an appropriately experienced independent consultant, and engineering cost estimates for each of these projects (E2DesignLab, 2018; </w:t>
      </w:r>
      <w:proofErr w:type="spellStart"/>
      <w:r w:rsidRPr="006F5609">
        <w:rPr>
          <w:rFonts w:ascii="Verdana" w:eastAsiaTheme="minorEastAsia" w:hAnsi="Verdana"/>
          <w:sz w:val="24"/>
          <w:szCs w:val="24"/>
        </w:rPr>
        <w:t>Stantec</w:t>
      </w:r>
      <w:proofErr w:type="spellEnd"/>
      <w:r w:rsidRPr="006F5609">
        <w:rPr>
          <w:rFonts w:ascii="Verdana" w:eastAsiaTheme="minorEastAsia" w:hAnsi="Verdana"/>
          <w:sz w:val="24"/>
          <w:szCs w:val="24"/>
        </w:rPr>
        <w:t xml:space="preserve">, 2021; GHD, 2021; and Alluvium 2020). </w:t>
      </w:r>
    </w:p>
    <w:p w14:paraId="5BE8B6AE" w14:textId="77777777" w:rsidR="00BD127A" w:rsidRDefault="00BD127A" w:rsidP="00BD127A">
      <w:pPr>
        <w:rPr>
          <w:rFonts w:ascii="Verdana" w:eastAsiaTheme="minorEastAsia" w:hAnsi="Verdana" w:cstheme="minorHAnsi"/>
        </w:rPr>
      </w:pPr>
    </w:p>
    <w:p w14:paraId="33E181E3" w14:textId="57E088B0" w:rsidR="004D746A" w:rsidRPr="006F5609" w:rsidRDefault="004D746A" w:rsidP="00BD127A">
      <w:pPr>
        <w:rPr>
          <w:rFonts w:ascii="Verdana" w:eastAsiaTheme="minorEastAsia" w:hAnsi="Verdana" w:cstheme="minorHAnsi"/>
        </w:rPr>
      </w:pPr>
      <w:r w:rsidRPr="006F5609">
        <w:rPr>
          <w:rFonts w:ascii="Verdana" w:eastAsiaTheme="minorEastAsia" w:hAnsi="Verdana" w:cstheme="minorHAnsi"/>
        </w:rPr>
        <w:t>The following response seeks to:</w:t>
      </w:r>
    </w:p>
    <w:p w14:paraId="2F859EEF" w14:textId="77777777" w:rsidR="00D3783D" w:rsidRPr="006F5609" w:rsidRDefault="004D746A" w:rsidP="00BD127A">
      <w:pPr>
        <w:pStyle w:val="ListParagraph"/>
        <w:numPr>
          <w:ilvl w:val="0"/>
          <w:numId w:val="31"/>
        </w:numPr>
        <w:spacing w:after="0"/>
        <w:rPr>
          <w:rFonts w:ascii="Verdana" w:eastAsiaTheme="minorEastAsia" w:hAnsi="Verdana" w:cstheme="minorHAnsi"/>
          <w:sz w:val="24"/>
          <w:szCs w:val="24"/>
        </w:rPr>
      </w:pPr>
      <w:r w:rsidRPr="006F5609">
        <w:rPr>
          <w:rFonts w:ascii="Verdana" w:eastAsiaTheme="minorEastAsia" w:hAnsi="Verdana" w:cstheme="minorHAnsi"/>
          <w:sz w:val="24"/>
          <w:szCs w:val="24"/>
        </w:rPr>
        <w:t xml:space="preserve">Directly respond to </w:t>
      </w:r>
      <w:r w:rsidR="00EC7CF5" w:rsidRPr="006F5609">
        <w:rPr>
          <w:rFonts w:ascii="Verdana" w:eastAsiaTheme="minorEastAsia" w:hAnsi="Verdana" w:cstheme="minorHAnsi"/>
          <w:sz w:val="24"/>
          <w:szCs w:val="24"/>
        </w:rPr>
        <w:t xml:space="preserve">DAE’s </w:t>
      </w:r>
      <w:r w:rsidR="00D3783D" w:rsidRPr="006F5609">
        <w:rPr>
          <w:rFonts w:ascii="Verdana" w:eastAsiaTheme="minorEastAsia" w:hAnsi="Verdana" w:cstheme="minorHAnsi"/>
          <w:sz w:val="24"/>
          <w:szCs w:val="24"/>
        </w:rPr>
        <w:t>concerns regarding the prudency and efficiency of the stormwater harvesting program;</w:t>
      </w:r>
    </w:p>
    <w:p w14:paraId="1131DF92" w14:textId="77777777" w:rsidR="00D3783D" w:rsidRPr="006F5609" w:rsidRDefault="00D3783D" w:rsidP="00BD127A">
      <w:pPr>
        <w:pStyle w:val="ListParagraph"/>
        <w:numPr>
          <w:ilvl w:val="0"/>
          <w:numId w:val="31"/>
        </w:numPr>
        <w:spacing w:after="0"/>
        <w:rPr>
          <w:rFonts w:ascii="Verdana" w:eastAsiaTheme="minorEastAsia" w:hAnsi="Verdana" w:cstheme="minorHAnsi"/>
          <w:sz w:val="24"/>
          <w:szCs w:val="24"/>
        </w:rPr>
      </w:pPr>
      <w:r w:rsidRPr="006F5609">
        <w:rPr>
          <w:rFonts w:ascii="Verdana" w:eastAsiaTheme="minorEastAsia" w:hAnsi="Verdana" w:cstheme="minorHAnsi"/>
          <w:sz w:val="24"/>
          <w:szCs w:val="24"/>
        </w:rPr>
        <w:t>Demonstrate the prudency of the program; and</w:t>
      </w:r>
    </w:p>
    <w:p w14:paraId="26E8B12D" w14:textId="27438592" w:rsidR="00FF47D3" w:rsidRPr="006F5609" w:rsidRDefault="00D3783D" w:rsidP="00BD127A">
      <w:pPr>
        <w:pStyle w:val="ListParagraph"/>
        <w:numPr>
          <w:ilvl w:val="0"/>
          <w:numId w:val="31"/>
        </w:numPr>
        <w:spacing w:after="0"/>
        <w:rPr>
          <w:rFonts w:ascii="Verdana" w:eastAsiaTheme="minorEastAsia" w:hAnsi="Verdana" w:cstheme="minorHAnsi"/>
          <w:sz w:val="24"/>
          <w:szCs w:val="24"/>
        </w:rPr>
      </w:pPr>
      <w:r w:rsidRPr="006F5609">
        <w:rPr>
          <w:rFonts w:ascii="Verdana" w:eastAsiaTheme="minorEastAsia" w:hAnsi="Verdana" w:cstheme="minorHAnsi"/>
          <w:sz w:val="24"/>
          <w:szCs w:val="24"/>
        </w:rPr>
        <w:t>Demonstrate the efficiency of the proposed works.</w:t>
      </w:r>
    </w:p>
    <w:p w14:paraId="217A2FE0" w14:textId="77777777" w:rsidR="00AC7115" w:rsidRPr="000515A4" w:rsidRDefault="00AC7115" w:rsidP="00BD127A">
      <w:pPr>
        <w:rPr>
          <w:rFonts w:asciiTheme="minorHAnsi" w:eastAsiaTheme="minorEastAsia" w:hAnsiTheme="minorHAnsi" w:cstheme="minorHAnsi"/>
          <w:sz w:val="20"/>
          <w:szCs w:val="20"/>
        </w:rPr>
      </w:pPr>
    </w:p>
    <w:p w14:paraId="75F8F884" w14:textId="03AA1573" w:rsidR="00DB775F" w:rsidRPr="006F5609" w:rsidRDefault="00DB775F" w:rsidP="00BD127A">
      <w:pPr>
        <w:rPr>
          <w:rFonts w:ascii="Verdana" w:eastAsiaTheme="minorEastAsia" w:hAnsi="Verdana" w:cstheme="minorHAnsi"/>
          <w:b/>
          <w:bCs/>
          <w:color w:val="2F5496" w:themeColor="accent5" w:themeShade="BF"/>
          <w:sz w:val="28"/>
          <w:szCs w:val="28"/>
        </w:rPr>
      </w:pPr>
      <w:r w:rsidRPr="006F5609">
        <w:rPr>
          <w:rFonts w:ascii="Verdana" w:eastAsiaTheme="minorEastAsia" w:hAnsi="Verdana" w:cstheme="minorHAnsi"/>
          <w:b/>
          <w:bCs/>
          <w:color w:val="2F5496" w:themeColor="accent5" w:themeShade="BF"/>
          <w:sz w:val="28"/>
          <w:szCs w:val="28"/>
        </w:rPr>
        <w:t>ESC Draft Decision</w:t>
      </w:r>
    </w:p>
    <w:p w14:paraId="0421E49E" w14:textId="77777777" w:rsidR="00BD127A" w:rsidRDefault="00BD127A" w:rsidP="00BD127A">
      <w:pPr>
        <w:pStyle w:val="BodyText"/>
        <w:spacing w:before="0" w:after="0"/>
        <w:rPr>
          <w:rFonts w:ascii="Verdana" w:eastAsiaTheme="minorEastAsia" w:hAnsi="Verdana" w:cstheme="minorBidi"/>
          <w:sz w:val="24"/>
          <w:szCs w:val="24"/>
        </w:rPr>
      </w:pPr>
    </w:p>
    <w:p w14:paraId="2A217C0A" w14:textId="192389AA" w:rsidR="00842C18" w:rsidRPr="006F5609" w:rsidRDefault="00DB775F" w:rsidP="00BD127A">
      <w:pPr>
        <w:pStyle w:val="BodyText"/>
        <w:spacing w:before="0" w:after="0"/>
        <w:rPr>
          <w:rFonts w:ascii="Verdana" w:eastAsiaTheme="minorEastAsia" w:hAnsi="Verdana" w:cstheme="minorBidi"/>
          <w:color w:val="auto"/>
          <w:sz w:val="24"/>
          <w:szCs w:val="24"/>
          <w:lang w:val="en-US" w:eastAsia="en-US"/>
        </w:rPr>
      </w:pPr>
      <w:r w:rsidRPr="006F5609">
        <w:rPr>
          <w:rFonts w:ascii="Verdana" w:eastAsiaTheme="minorEastAsia" w:hAnsi="Verdana" w:cstheme="minorBidi"/>
          <w:sz w:val="24"/>
          <w:szCs w:val="24"/>
        </w:rPr>
        <w:t xml:space="preserve">In its Draft Decision, </w:t>
      </w:r>
      <w:r w:rsidR="003F7FF4">
        <w:rPr>
          <w:rFonts w:ascii="Verdana" w:eastAsiaTheme="minorEastAsia" w:hAnsi="Verdana" w:cstheme="minorBidi"/>
          <w:sz w:val="24"/>
          <w:szCs w:val="24"/>
        </w:rPr>
        <w:t xml:space="preserve">it appeared that </w:t>
      </w:r>
      <w:r w:rsidRPr="006F5609">
        <w:rPr>
          <w:rFonts w:ascii="Verdana" w:eastAsiaTheme="minorEastAsia" w:hAnsi="Verdana" w:cstheme="minorBidi"/>
          <w:sz w:val="24"/>
          <w:szCs w:val="24"/>
        </w:rPr>
        <w:t>the ESC accepted the recommendations of Deloitte Access Economics (DAE)</w:t>
      </w:r>
      <w:r w:rsidR="00D547AB" w:rsidRPr="006F5609">
        <w:rPr>
          <w:rFonts w:ascii="Verdana" w:eastAsiaTheme="minorEastAsia" w:hAnsi="Verdana" w:cstheme="minorBidi"/>
          <w:sz w:val="24"/>
          <w:szCs w:val="24"/>
        </w:rPr>
        <w:t xml:space="preserve"> - the </w:t>
      </w:r>
      <w:r w:rsidR="30CA2D85" w:rsidRPr="006F5609">
        <w:rPr>
          <w:rFonts w:ascii="Verdana" w:eastAsiaTheme="minorEastAsia" w:hAnsi="Verdana" w:cstheme="minorBidi"/>
          <w:sz w:val="24"/>
          <w:szCs w:val="24"/>
        </w:rPr>
        <w:t>remov</w:t>
      </w:r>
      <w:r w:rsidR="4FD7AAF5" w:rsidRPr="006F5609">
        <w:rPr>
          <w:rFonts w:ascii="Verdana" w:eastAsiaTheme="minorEastAsia" w:hAnsi="Verdana" w:cstheme="minorBidi"/>
          <w:sz w:val="24"/>
          <w:szCs w:val="24"/>
        </w:rPr>
        <w:t>al of</w:t>
      </w:r>
      <w:r w:rsidR="30CA2D85" w:rsidRPr="006F5609">
        <w:rPr>
          <w:rFonts w:ascii="Verdana" w:eastAsiaTheme="minorEastAsia" w:hAnsi="Verdana" w:cstheme="minorBidi"/>
          <w:sz w:val="24"/>
          <w:szCs w:val="24"/>
        </w:rPr>
        <w:t xml:space="preserve"> </w:t>
      </w:r>
      <w:r w:rsidR="003B1FFE" w:rsidRPr="006F5609">
        <w:rPr>
          <w:rFonts w:ascii="Verdana" w:eastAsiaTheme="minorEastAsia" w:hAnsi="Verdana" w:cstheme="minorBidi"/>
          <w:sz w:val="24"/>
          <w:szCs w:val="24"/>
        </w:rPr>
        <w:t xml:space="preserve">all </w:t>
      </w:r>
      <w:r w:rsidR="59B906CC" w:rsidRPr="006F5609">
        <w:rPr>
          <w:rFonts w:ascii="Verdana" w:eastAsiaTheme="minorEastAsia" w:hAnsi="Verdana" w:cstheme="minorBidi"/>
          <w:sz w:val="24"/>
          <w:szCs w:val="24"/>
        </w:rPr>
        <w:t xml:space="preserve">capital </w:t>
      </w:r>
      <w:r w:rsidR="003B1FFE" w:rsidRPr="006F5609">
        <w:rPr>
          <w:rFonts w:ascii="Verdana" w:eastAsiaTheme="minorEastAsia" w:hAnsi="Verdana" w:cstheme="minorBidi"/>
          <w:sz w:val="24"/>
          <w:szCs w:val="24"/>
        </w:rPr>
        <w:t xml:space="preserve">expenditure related to the proposed </w:t>
      </w:r>
      <w:r w:rsidR="00D547AB" w:rsidRPr="006F5609">
        <w:rPr>
          <w:rFonts w:ascii="Verdana" w:eastAsiaTheme="minorEastAsia" w:hAnsi="Verdana" w:cstheme="minorBidi"/>
          <w:sz w:val="24"/>
          <w:szCs w:val="24"/>
        </w:rPr>
        <w:t xml:space="preserve">stormwater harvesting </w:t>
      </w:r>
      <w:r w:rsidR="30CA2D85" w:rsidRPr="006F5609">
        <w:rPr>
          <w:rFonts w:ascii="Verdana" w:eastAsiaTheme="minorEastAsia" w:hAnsi="Verdana" w:cstheme="minorBidi"/>
          <w:sz w:val="24"/>
          <w:szCs w:val="24"/>
        </w:rPr>
        <w:t xml:space="preserve">program </w:t>
      </w:r>
      <w:r w:rsidR="7E303293" w:rsidRPr="006F5609">
        <w:rPr>
          <w:rFonts w:ascii="Verdana" w:eastAsiaTheme="minorEastAsia" w:hAnsi="Verdana" w:cstheme="minorBidi"/>
          <w:sz w:val="24"/>
          <w:szCs w:val="24"/>
        </w:rPr>
        <w:t>($98</w:t>
      </w:r>
      <w:r w:rsidR="32DEE5C7" w:rsidRPr="006F5609">
        <w:rPr>
          <w:rFonts w:ascii="Verdana" w:eastAsiaTheme="minorEastAsia" w:hAnsi="Verdana" w:cstheme="minorBidi"/>
          <w:sz w:val="24"/>
          <w:szCs w:val="24"/>
        </w:rPr>
        <w:t>M</w:t>
      </w:r>
      <w:r w:rsidR="7E303293" w:rsidRPr="006F5609">
        <w:rPr>
          <w:rFonts w:ascii="Verdana" w:eastAsiaTheme="minorEastAsia" w:hAnsi="Verdana" w:cstheme="minorBidi"/>
          <w:sz w:val="24"/>
          <w:szCs w:val="24"/>
        </w:rPr>
        <w:t>)</w:t>
      </w:r>
      <w:r w:rsidR="00842C18" w:rsidRPr="006F5609">
        <w:rPr>
          <w:rFonts w:ascii="Verdana" w:eastAsiaTheme="minorEastAsia" w:hAnsi="Verdana" w:cstheme="minorBidi"/>
          <w:sz w:val="24"/>
          <w:szCs w:val="24"/>
        </w:rPr>
        <w:t xml:space="preserve">. </w:t>
      </w:r>
      <w:r w:rsidR="00085F69" w:rsidRPr="006F5609">
        <w:rPr>
          <w:rFonts w:ascii="Verdana" w:eastAsiaTheme="minorEastAsia" w:hAnsi="Verdana" w:cstheme="minorBidi"/>
          <w:sz w:val="24"/>
          <w:szCs w:val="24"/>
        </w:rPr>
        <w:t>DAE also</w:t>
      </w:r>
      <w:r w:rsidR="56186AE9" w:rsidRPr="006F5609">
        <w:rPr>
          <w:rFonts w:ascii="Verdana" w:eastAsiaTheme="minorEastAsia" w:hAnsi="Verdana" w:cstheme="minorBidi"/>
          <w:sz w:val="24"/>
          <w:szCs w:val="24"/>
        </w:rPr>
        <w:t xml:space="preserve"> recommended </w:t>
      </w:r>
      <w:r w:rsidR="00085F69" w:rsidRPr="006F5609">
        <w:rPr>
          <w:rFonts w:ascii="Verdana" w:eastAsiaTheme="minorEastAsia" w:hAnsi="Verdana" w:cstheme="minorBidi"/>
          <w:sz w:val="24"/>
          <w:szCs w:val="24"/>
        </w:rPr>
        <w:t>remov</w:t>
      </w:r>
      <w:r w:rsidR="20798419" w:rsidRPr="006F5609">
        <w:rPr>
          <w:rFonts w:ascii="Verdana" w:eastAsiaTheme="minorEastAsia" w:hAnsi="Verdana" w:cstheme="minorBidi"/>
          <w:sz w:val="24"/>
          <w:szCs w:val="24"/>
        </w:rPr>
        <w:t>al of</w:t>
      </w:r>
      <w:r w:rsidR="00842C18" w:rsidRPr="006F5609">
        <w:rPr>
          <w:rFonts w:ascii="Verdana" w:eastAsiaTheme="minorEastAsia" w:hAnsi="Verdana" w:cstheme="minorBidi"/>
          <w:sz w:val="24"/>
          <w:szCs w:val="24"/>
        </w:rPr>
        <w:t xml:space="preserve"> </w:t>
      </w:r>
      <w:r w:rsidR="00085F69" w:rsidRPr="006F5609">
        <w:rPr>
          <w:rFonts w:ascii="Verdana" w:eastAsiaTheme="minorEastAsia" w:hAnsi="Verdana" w:cstheme="minorBidi"/>
          <w:sz w:val="24"/>
          <w:szCs w:val="24"/>
        </w:rPr>
        <w:t xml:space="preserve">the associated </w:t>
      </w:r>
      <w:r w:rsidR="17145AE8" w:rsidRPr="006F5609">
        <w:rPr>
          <w:rFonts w:ascii="Verdana" w:eastAsiaTheme="minorEastAsia" w:hAnsi="Verdana" w:cstheme="minorBidi"/>
          <w:sz w:val="24"/>
          <w:szCs w:val="24"/>
        </w:rPr>
        <w:t>operational expenditure</w:t>
      </w:r>
      <w:r w:rsidR="00842C18" w:rsidRPr="006F5609">
        <w:rPr>
          <w:rFonts w:ascii="Verdana" w:eastAsiaTheme="minorEastAsia" w:hAnsi="Verdana" w:cstheme="minorBidi"/>
          <w:color w:val="auto"/>
          <w:sz w:val="24"/>
          <w:szCs w:val="24"/>
          <w:lang w:val="en-US" w:eastAsia="en-US"/>
        </w:rPr>
        <w:t xml:space="preserve"> to support the capital program ($4.5M)</w:t>
      </w:r>
      <w:r w:rsidR="3079F215" w:rsidRPr="006F5609">
        <w:rPr>
          <w:rFonts w:ascii="Verdana" w:eastAsiaTheme="minorEastAsia" w:hAnsi="Verdana" w:cstheme="minorBidi"/>
          <w:color w:val="auto"/>
          <w:sz w:val="24"/>
          <w:szCs w:val="24"/>
          <w:lang w:val="en-US" w:eastAsia="en-US"/>
        </w:rPr>
        <w:t>;</w:t>
      </w:r>
      <w:r w:rsidR="00085F69" w:rsidRPr="006F5609">
        <w:rPr>
          <w:rFonts w:ascii="Verdana" w:eastAsiaTheme="minorEastAsia" w:hAnsi="Verdana" w:cstheme="minorBidi"/>
          <w:color w:val="auto"/>
          <w:sz w:val="24"/>
          <w:szCs w:val="24"/>
          <w:lang w:val="en-US" w:eastAsia="en-US"/>
        </w:rPr>
        <w:t xml:space="preserve"> </w:t>
      </w:r>
      <w:r w:rsidR="6F109459" w:rsidRPr="006F5609">
        <w:rPr>
          <w:rFonts w:ascii="Verdana" w:eastAsiaTheme="minorEastAsia" w:hAnsi="Verdana" w:cstheme="minorBidi"/>
          <w:color w:val="auto"/>
          <w:sz w:val="24"/>
          <w:szCs w:val="24"/>
          <w:lang w:val="en-US" w:eastAsia="en-US"/>
        </w:rPr>
        <w:t xml:space="preserve">to carry out </w:t>
      </w:r>
      <w:r w:rsidR="00842C18" w:rsidRPr="006F5609">
        <w:rPr>
          <w:rFonts w:ascii="Verdana" w:eastAsiaTheme="minorEastAsia" w:hAnsi="Verdana" w:cstheme="minorBidi"/>
          <w:color w:val="auto"/>
          <w:sz w:val="24"/>
          <w:szCs w:val="24"/>
          <w:lang w:val="en-US" w:eastAsia="en-US"/>
        </w:rPr>
        <w:t xml:space="preserve">further analysis and investigation work </w:t>
      </w:r>
      <w:r w:rsidR="00085F69" w:rsidRPr="006F5609">
        <w:rPr>
          <w:rFonts w:ascii="Verdana" w:eastAsiaTheme="minorEastAsia" w:hAnsi="Verdana" w:cstheme="minorBidi"/>
          <w:color w:val="auto"/>
          <w:sz w:val="24"/>
          <w:szCs w:val="24"/>
          <w:lang w:val="en-US" w:eastAsia="en-US"/>
        </w:rPr>
        <w:t xml:space="preserve">and </w:t>
      </w:r>
      <w:r w:rsidR="0B47AC36" w:rsidRPr="006F5609">
        <w:rPr>
          <w:rFonts w:ascii="Verdana" w:eastAsiaTheme="minorEastAsia" w:hAnsi="Verdana" w:cstheme="minorBidi"/>
          <w:color w:val="auto"/>
          <w:sz w:val="24"/>
          <w:szCs w:val="24"/>
          <w:lang w:val="en-US" w:eastAsia="en-US"/>
        </w:rPr>
        <w:t xml:space="preserve">the </w:t>
      </w:r>
      <w:r w:rsidR="00085F69" w:rsidRPr="006F5609">
        <w:rPr>
          <w:rFonts w:ascii="Verdana" w:eastAsiaTheme="minorEastAsia" w:hAnsi="Verdana" w:cstheme="minorBidi"/>
          <w:color w:val="auto"/>
          <w:sz w:val="24"/>
          <w:szCs w:val="24"/>
          <w:lang w:val="en-US" w:eastAsia="en-US"/>
        </w:rPr>
        <w:t xml:space="preserve">associated FTE </w:t>
      </w:r>
      <w:r w:rsidR="00842C18" w:rsidRPr="006F5609">
        <w:rPr>
          <w:rFonts w:ascii="Verdana" w:eastAsiaTheme="minorEastAsia" w:hAnsi="Verdana" w:cstheme="minorBidi"/>
          <w:color w:val="auto"/>
          <w:sz w:val="24"/>
          <w:szCs w:val="24"/>
          <w:lang w:val="en-US" w:eastAsia="en-US"/>
        </w:rPr>
        <w:t>($3.</w:t>
      </w:r>
      <w:r w:rsidR="00085F69" w:rsidRPr="006F5609">
        <w:rPr>
          <w:rFonts w:ascii="Verdana" w:eastAsiaTheme="minorEastAsia" w:hAnsi="Verdana" w:cstheme="minorBidi"/>
          <w:color w:val="auto"/>
          <w:sz w:val="24"/>
          <w:szCs w:val="24"/>
          <w:lang w:val="en-US" w:eastAsia="en-US"/>
        </w:rPr>
        <w:t>5</w:t>
      </w:r>
      <w:r w:rsidR="00842C18" w:rsidRPr="006F5609">
        <w:rPr>
          <w:rFonts w:ascii="Verdana" w:eastAsiaTheme="minorEastAsia" w:hAnsi="Verdana" w:cstheme="minorBidi"/>
          <w:color w:val="auto"/>
          <w:sz w:val="24"/>
          <w:szCs w:val="24"/>
          <w:lang w:val="en-US" w:eastAsia="en-US"/>
        </w:rPr>
        <w:t>M)</w:t>
      </w:r>
      <w:r w:rsidR="77B05E96" w:rsidRPr="006F5609">
        <w:rPr>
          <w:rFonts w:ascii="Verdana" w:eastAsiaTheme="minorEastAsia" w:hAnsi="Verdana" w:cstheme="minorBidi"/>
          <w:color w:val="auto"/>
          <w:sz w:val="24"/>
          <w:szCs w:val="24"/>
          <w:lang w:val="en-US" w:eastAsia="en-US"/>
        </w:rPr>
        <w:t>;</w:t>
      </w:r>
      <w:r w:rsidR="00085F69" w:rsidRPr="006F5609">
        <w:rPr>
          <w:rFonts w:ascii="Verdana" w:eastAsiaTheme="minorEastAsia" w:hAnsi="Verdana" w:cstheme="minorBidi"/>
          <w:color w:val="auto"/>
          <w:sz w:val="24"/>
          <w:szCs w:val="24"/>
          <w:lang w:val="en-US" w:eastAsia="en-US"/>
        </w:rPr>
        <w:t xml:space="preserve"> and </w:t>
      </w:r>
      <w:r w:rsidR="00842C18" w:rsidRPr="006F5609">
        <w:rPr>
          <w:rFonts w:ascii="Verdana" w:eastAsiaTheme="minorEastAsia" w:hAnsi="Verdana" w:cstheme="minorBidi"/>
          <w:color w:val="auto"/>
          <w:sz w:val="24"/>
          <w:szCs w:val="24"/>
          <w:lang w:val="en-US" w:eastAsia="en-US"/>
        </w:rPr>
        <w:t>funding for research,</w:t>
      </w:r>
      <w:r w:rsidR="47454C44" w:rsidRPr="006F5609">
        <w:rPr>
          <w:rFonts w:ascii="Verdana" w:eastAsiaTheme="minorEastAsia" w:hAnsi="Verdana" w:cstheme="minorBidi"/>
          <w:color w:val="auto"/>
          <w:sz w:val="24"/>
          <w:szCs w:val="24"/>
          <w:lang w:val="en-US" w:eastAsia="en-US"/>
        </w:rPr>
        <w:t xml:space="preserve"> informing</w:t>
      </w:r>
      <w:r w:rsidR="00842C18" w:rsidRPr="006F5609">
        <w:rPr>
          <w:rFonts w:ascii="Verdana" w:eastAsiaTheme="minorEastAsia" w:hAnsi="Verdana" w:cstheme="minorBidi"/>
          <w:color w:val="auto"/>
          <w:sz w:val="24"/>
          <w:szCs w:val="24"/>
          <w:lang w:val="en-US" w:eastAsia="en-US"/>
        </w:rPr>
        <w:t xml:space="preserve"> policy and monitoring</w:t>
      </w:r>
      <w:r w:rsidR="00085F69" w:rsidRPr="006F5609">
        <w:rPr>
          <w:rFonts w:ascii="Verdana" w:eastAsiaTheme="minorEastAsia" w:hAnsi="Verdana" w:cstheme="minorBidi"/>
          <w:color w:val="auto"/>
          <w:sz w:val="24"/>
          <w:szCs w:val="24"/>
          <w:lang w:val="en-US" w:eastAsia="en-US"/>
        </w:rPr>
        <w:t xml:space="preserve"> programs</w:t>
      </w:r>
      <w:r w:rsidR="21D4FF0A" w:rsidRPr="006F5609">
        <w:rPr>
          <w:rFonts w:ascii="Verdana" w:eastAsiaTheme="minorEastAsia" w:hAnsi="Verdana" w:cstheme="minorBidi"/>
          <w:color w:val="auto"/>
          <w:sz w:val="24"/>
          <w:szCs w:val="24"/>
          <w:lang w:val="en-US" w:eastAsia="en-US"/>
        </w:rPr>
        <w:t xml:space="preserve"> to understand effectiveness</w:t>
      </w:r>
      <w:r w:rsidR="00842C18" w:rsidRPr="006F5609">
        <w:rPr>
          <w:rFonts w:ascii="Verdana" w:eastAsiaTheme="minorEastAsia" w:hAnsi="Verdana" w:cstheme="minorBidi"/>
          <w:color w:val="auto"/>
          <w:sz w:val="24"/>
          <w:szCs w:val="24"/>
          <w:lang w:val="en-US" w:eastAsia="en-US"/>
        </w:rPr>
        <w:t xml:space="preserve"> ($3.5M)</w:t>
      </w:r>
      <w:r w:rsidR="00085F69" w:rsidRPr="006F5609">
        <w:rPr>
          <w:rFonts w:ascii="Verdana" w:eastAsiaTheme="minorEastAsia" w:hAnsi="Verdana" w:cstheme="minorBidi"/>
          <w:color w:val="auto"/>
          <w:sz w:val="24"/>
          <w:szCs w:val="24"/>
          <w:lang w:val="en-US" w:eastAsia="en-US"/>
        </w:rPr>
        <w:t>.</w:t>
      </w:r>
    </w:p>
    <w:p w14:paraId="40022B1D" w14:textId="77777777" w:rsidR="00BD127A" w:rsidRDefault="00BD127A" w:rsidP="00BD127A">
      <w:pPr>
        <w:pStyle w:val="BodyText"/>
        <w:spacing w:before="0" w:after="0"/>
        <w:rPr>
          <w:rFonts w:ascii="Verdana" w:eastAsiaTheme="minorEastAsia" w:hAnsi="Verdana" w:cstheme="minorBidi"/>
          <w:color w:val="auto"/>
          <w:sz w:val="24"/>
          <w:szCs w:val="24"/>
          <w:lang w:val="en-US" w:eastAsia="en-US"/>
        </w:rPr>
      </w:pPr>
    </w:p>
    <w:p w14:paraId="27B6C53C" w14:textId="552600DC" w:rsidR="003B1FFE" w:rsidRPr="006F5609" w:rsidRDefault="003B1FFE" w:rsidP="00BD127A">
      <w:pPr>
        <w:rPr>
          <w:rFonts w:ascii="Verdana" w:eastAsiaTheme="minorEastAsia" w:hAnsi="Verdana" w:cstheme="minorHAnsi"/>
        </w:rPr>
      </w:pPr>
      <w:r w:rsidRPr="006F5609">
        <w:rPr>
          <w:rFonts w:ascii="Verdana" w:eastAsiaTheme="minorEastAsia" w:hAnsi="Verdana" w:cstheme="minorHAnsi"/>
        </w:rPr>
        <w:t>The justification for DAE’s findings were:</w:t>
      </w:r>
    </w:p>
    <w:p w14:paraId="6C60BCA6" w14:textId="10E7D34B" w:rsidR="003B1FFE" w:rsidRPr="006F5609" w:rsidRDefault="7F987AB7" w:rsidP="00BD127A">
      <w:pPr>
        <w:pStyle w:val="ListParagraph"/>
        <w:numPr>
          <w:ilvl w:val="0"/>
          <w:numId w:val="33"/>
        </w:numPr>
        <w:spacing w:after="0"/>
        <w:rPr>
          <w:rFonts w:ascii="Verdana" w:eastAsiaTheme="minorEastAsia" w:hAnsi="Verdana" w:cstheme="minorHAnsi"/>
          <w:sz w:val="24"/>
          <w:szCs w:val="24"/>
        </w:rPr>
      </w:pPr>
      <w:r w:rsidRPr="006F5609">
        <w:rPr>
          <w:rFonts w:ascii="Verdana" w:eastAsiaTheme="minorEastAsia" w:hAnsi="Verdana" w:cstheme="minorHAnsi"/>
          <w:sz w:val="24"/>
          <w:szCs w:val="24"/>
        </w:rPr>
        <w:t>“concerns about the prudency of stormwater harvesting projects”</w:t>
      </w:r>
      <w:r w:rsidR="003B1FFE" w:rsidRPr="006F5609">
        <w:rPr>
          <w:rFonts w:ascii="Verdana" w:eastAsiaTheme="minorEastAsia" w:hAnsi="Verdana" w:cstheme="minorHAnsi"/>
          <w:sz w:val="24"/>
          <w:szCs w:val="24"/>
        </w:rPr>
        <w:t>;</w:t>
      </w:r>
      <w:r w:rsidR="251B70BA" w:rsidRPr="006F5609">
        <w:rPr>
          <w:rFonts w:ascii="Verdana" w:eastAsiaTheme="minorEastAsia" w:hAnsi="Verdana" w:cstheme="minorHAnsi"/>
          <w:sz w:val="24"/>
          <w:szCs w:val="24"/>
        </w:rPr>
        <w:t xml:space="preserve"> and</w:t>
      </w:r>
    </w:p>
    <w:p w14:paraId="2C0B520B" w14:textId="3F936789" w:rsidR="00805A29" w:rsidRPr="006F5609" w:rsidRDefault="6768D6EB" w:rsidP="00BD127A">
      <w:pPr>
        <w:pStyle w:val="ListParagraph"/>
        <w:numPr>
          <w:ilvl w:val="0"/>
          <w:numId w:val="33"/>
        </w:numPr>
        <w:spacing w:after="0"/>
        <w:rPr>
          <w:rFonts w:ascii="Verdana" w:eastAsiaTheme="minorEastAsia" w:hAnsi="Verdana" w:cstheme="minorHAnsi"/>
          <w:sz w:val="24"/>
          <w:szCs w:val="24"/>
        </w:rPr>
      </w:pPr>
      <w:r w:rsidRPr="006F5609">
        <w:rPr>
          <w:rFonts w:ascii="Verdana" w:eastAsiaTheme="minorEastAsia" w:hAnsi="Verdana" w:cstheme="minorHAnsi"/>
          <w:sz w:val="24"/>
          <w:szCs w:val="24"/>
        </w:rPr>
        <w:t>“</w:t>
      </w:r>
      <w:r w:rsidR="00466C2A" w:rsidRPr="006F5609">
        <w:rPr>
          <w:rFonts w:ascii="Verdana" w:eastAsiaTheme="minorEastAsia" w:hAnsi="Verdana" w:cstheme="minorHAnsi"/>
          <w:sz w:val="24"/>
          <w:szCs w:val="24"/>
        </w:rPr>
        <w:t>the BNI cases did not sufficiently demonstrate that each of the projects would result in a net incremental benefit</w:t>
      </w:r>
    </w:p>
    <w:p w14:paraId="6CFCEFC5" w14:textId="77777777" w:rsidR="00BD127A" w:rsidRDefault="00BD127A" w:rsidP="00BD127A">
      <w:pPr>
        <w:rPr>
          <w:rFonts w:ascii="Verdana" w:eastAsiaTheme="minorEastAsia" w:hAnsi="Verdana" w:cstheme="minorHAnsi"/>
        </w:rPr>
      </w:pPr>
    </w:p>
    <w:p w14:paraId="77466CAB" w14:textId="096C3ACA" w:rsidR="00805A29" w:rsidRPr="006F5609" w:rsidRDefault="00017DFB" w:rsidP="00BD127A">
      <w:pPr>
        <w:rPr>
          <w:rFonts w:ascii="Verdana" w:eastAsiaTheme="minorEastAsia" w:hAnsi="Verdana" w:cstheme="minorHAnsi"/>
        </w:rPr>
      </w:pPr>
      <w:r w:rsidRPr="006F5609">
        <w:rPr>
          <w:rFonts w:ascii="Verdana" w:eastAsiaTheme="minorEastAsia" w:hAnsi="Verdana" w:cstheme="minorHAnsi"/>
        </w:rPr>
        <w:t>We have sought to address each of these concerns</w:t>
      </w:r>
      <w:r w:rsidR="00065088">
        <w:rPr>
          <w:rFonts w:ascii="Verdana" w:eastAsiaTheme="minorEastAsia" w:hAnsi="Verdana" w:cstheme="minorHAnsi"/>
        </w:rPr>
        <w:t>.</w:t>
      </w:r>
    </w:p>
    <w:p w14:paraId="6D7409F9" w14:textId="77777777" w:rsidR="00017DFB" w:rsidRPr="006F5609" w:rsidRDefault="00017DFB" w:rsidP="00BD127A">
      <w:pPr>
        <w:rPr>
          <w:rFonts w:ascii="Verdana" w:eastAsiaTheme="minorEastAsia" w:hAnsi="Verdana" w:cstheme="minorHAnsi"/>
          <w:sz w:val="20"/>
          <w:szCs w:val="20"/>
        </w:rPr>
      </w:pPr>
    </w:p>
    <w:p w14:paraId="4297EDF9" w14:textId="63748AE5" w:rsidR="00017DFB" w:rsidRPr="006F5609" w:rsidRDefault="00017DFB" w:rsidP="00BD127A">
      <w:pPr>
        <w:rPr>
          <w:rFonts w:ascii="Verdana" w:eastAsiaTheme="minorEastAsia" w:hAnsi="Verdana" w:cstheme="minorBidi"/>
          <w:b/>
          <w:bCs/>
          <w:color w:val="2F5496" w:themeColor="accent5" w:themeShade="BF"/>
        </w:rPr>
      </w:pPr>
      <w:r w:rsidRPr="006F5609">
        <w:rPr>
          <w:rFonts w:ascii="Verdana" w:eastAsiaTheme="minorEastAsia" w:hAnsi="Verdana" w:cstheme="minorBidi"/>
          <w:b/>
          <w:bCs/>
          <w:color w:val="2F5496" w:themeColor="accent5" w:themeShade="BF"/>
        </w:rPr>
        <w:t>Demonstrating the prudency of the program</w:t>
      </w:r>
    </w:p>
    <w:p w14:paraId="535E17CF" w14:textId="77777777" w:rsidR="006F5609" w:rsidRDefault="006F5609" w:rsidP="00BD127A">
      <w:pPr>
        <w:rPr>
          <w:rFonts w:ascii="Verdana" w:eastAsiaTheme="minorEastAsia" w:hAnsi="Verdana" w:cstheme="minorHAnsi"/>
          <w:sz w:val="20"/>
          <w:szCs w:val="20"/>
        </w:rPr>
      </w:pPr>
    </w:p>
    <w:p w14:paraId="6E878E8E" w14:textId="6F5963FF" w:rsidR="00794477" w:rsidRPr="006F5609" w:rsidRDefault="00794477" w:rsidP="00BD127A">
      <w:pPr>
        <w:rPr>
          <w:rFonts w:ascii="Verdana" w:eastAsiaTheme="minorEastAsia" w:hAnsi="Verdana" w:cstheme="minorHAnsi"/>
        </w:rPr>
      </w:pPr>
      <w:r w:rsidRPr="006F5609">
        <w:rPr>
          <w:rFonts w:ascii="Verdana" w:eastAsiaTheme="minorEastAsia" w:hAnsi="Verdana" w:cstheme="minorHAnsi"/>
        </w:rPr>
        <w:lastRenderedPageBreak/>
        <w:t>The ESC, as a result of advice provided by DAE, has inappropriately removed expenditure related to the delivery of MW’s regulatory obligations.</w:t>
      </w:r>
      <w:r w:rsidR="00EB7B6B" w:rsidRPr="006F5609">
        <w:rPr>
          <w:rFonts w:ascii="Verdana" w:eastAsiaTheme="minorEastAsia" w:hAnsi="Verdana" w:cstheme="minorHAnsi"/>
        </w:rPr>
        <w:t xml:space="preserve">  This is demonstrated by the following:</w:t>
      </w:r>
    </w:p>
    <w:p w14:paraId="34D490FB" w14:textId="77777777" w:rsidR="006F5609" w:rsidRDefault="006F5609" w:rsidP="00BD127A">
      <w:pPr>
        <w:rPr>
          <w:rFonts w:ascii="Verdana" w:eastAsiaTheme="minorEastAsia" w:hAnsi="Verdana" w:cstheme="minorHAnsi"/>
          <w:b/>
          <w:i/>
          <w:color w:val="2F5496" w:themeColor="accent5" w:themeShade="BF"/>
        </w:rPr>
      </w:pPr>
    </w:p>
    <w:p w14:paraId="584F08FF" w14:textId="56B33A68" w:rsidR="00653203" w:rsidRPr="006F5609" w:rsidRDefault="00653203" w:rsidP="00BD127A">
      <w:pPr>
        <w:rPr>
          <w:rFonts w:ascii="Verdana" w:eastAsiaTheme="minorEastAsia" w:hAnsi="Verdana" w:cstheme="minorHAnsi"/>
        </w:rPr>
      </w:pPr>
      <w:r w:rsidRPr="006F5609">
        <w:rPr>
          <w:rFonts w:ascii="Verdana" w:eastAsiaTheme="minorEastAsia" w:hAnsi="Verdana" w:cstheme="minorHAnsi"/>
          <w:i/>
          <w:color w:val="2F5496" w:themeColor="accent5" w:themeShade="BF"/>
        </w:rPr>
        <w:t>Melbourne Water’s obligations</w:t>
      </w:r>
      <w:r w:rsidRPr="006F5609">
        <w:rPr>
          <w:rFonts w:ascii="Verdana" w:eastAsiaTheme="minorEastAsia" w:hAnsi="Verdana" w:cstheme="minorHAnsi"/>
          <w:color w:val="2F5496" w:themeColor="accent5" w:themeShade="BF"/>
        </w:rPr>
        <w:t xml:space="preserve"> </w:t>
      </w:r>
      <w:r w:rsidRPr="006F5609">
        <w:rPr>
          <w:rFonts w:ascii="Verdana" w:eastAsiaTheme="minorEastAsia" w:hAnsi="Verdana" w:cstheme="minorHAnsi"/>
        </w:rPr>
        <w:t>include:</w:t>
      </w:r>
    </w:p>
    <w:p w14:paraId="60092D61" w14:textId="67DE5AD2" w:rsidR="005F17DC" w:rsidRPr="006F5609" w:rsidRDefault="005F17DC" w:rsidP="00BD127A">
      <w:pPr>
        <w:pStyle w:val="ListParagraph"/>
        <w:numPr>
          <w:ilvl w:val="1"/>
          <w:numId w:val="34"/>
        </w:numPr>
        <w:spacing w:after="0"/>
        <w:ind w:left="709"/>
        <w:rPr>
          <w:rFonts w:ascii="Verdana" w:eastAsiaTheme="minorEastAsia" w:hAnsi="Verdana" w:cstheme="minorHAnsi"/>
          <w:sz w:val="24"/>
          <w:szCs w:val="24"/>
        </w:rPr>
      </w:pPr>
      <w:r w:rsidRPr="006F5609">
        <w:rPr>
          <w:rFonts w:ascii="Verdana" w:eastAsiaTheme="minorEastAsia" w:hAnsi="Verdana" w:cstheme="minorHAnsi"/>
          <w:sz w:val="24"/>
          <w:szCs w:val="24"/>
        </w:rPr>
        <w:t xml:space="preserve">Obligations as ‘waterway manager’ under the </w:t>
      </w:r>
      <w:r w:rsidRPr="006F5609">
        <w:rPr>
          <w:rFonts w:ascii="Verdana" w:eastAsiaTheme="minorEastAsia" w:hAnsi="Verdana" w:cstheme="minorHAnsi"/>
          <w:i/>
          <w:sz w:val="24"/>
          <w:szCs w:val="24"/>
        </w:rPr>
        <w:t>Water Act 1989</w:t>
      </w:r>
      <w:r w:rsidRPr="006F5609">
        <w:rPr>
          <w:rFonts w:ascii="Verdana" w:eastAsiaTheme="minorEastAsia" w:hAnsi="Verdana" w:cstheme="minorHAnsi"/>
          <w:sz w:val="24"/>
          <w:szCs w:val="24"/>
        </w:rPr>
        <w:t>, requiring Melbourne Water to maintain social, environmental and economic waterway values in waterways in its region, and to carry out works and activities to improve their environmental values and health, including biodiversity, ecological functions and water quality;</w:t>
      </w:r>
    </w:p>
    <w:p w14:paraId="5B1ECCEF" w14:textId="25C2C937" w:rsidR="005F17DC" w:rsidRPr="006F5609" w:rsidRDefault="00653203" w:rsidP="00BD127A">
      <w:pPr>
        <w:pStyle w:val="ListParagraph"/>
        <w:numPr>
          <w:ilvl w:val="1"/>
          <w:numId w:val="34"/>
        </w:numPr>
        <w:spacing w:after="0"/>
        <w:ind w:left="709"/>
        <w:rPr>
          <w:rFonts w:ascii="Verdana" w:eastAsiaTheme="minorEastAsia" w:hAnsi="Verdana" w:cstheme="minorHAnsi"/>
          <w:sz w:val="24"/>
          <w:szCs w:val="24"/>
        </w:rPr>
      </w:pPr>
      <w:r w:rsidRPr="006F5609">
        <w:rPr>
          <w:rFonts w:ascii="Verdana" w:eastAsiaTheme="minorEastAsia" w:hAnsi="Verdana" w:cstheme="minorHAnsi"/>
          <w:sz w:val="24"/>
          <w:szCs w:val="24"/>
        </w:rPr>
        <w:t>The o</w:t>
      </w:r>
      <w:r w:rsidR="005F17DC" w:rsidRPr="006F5609">
        <w:rPr>
          <w:rFonts w:ascii="Verdana" w:eastAsiaTheme="minorEastAsia" w:hAnsi="Verdana" w:cstheme="minorHAnsi"/>
          <w:sz w:val="24"/>
          <w:szCs w:val="24"/>
        </w:rPr>
        <w:t xml:space="preserve">bligation to comply with responsibilities under the General Environmental Duty (GED) within the </w:t>
      </w:r>
      <w:r w:rsidR="005F17DC" w:rsidRPr="006F5609">
        <w:rPr>
          <w:rFonts w:ascii="Verdana" w:eastAsiaTheme="minorEastAsia" w:hAnsi="Verdana" w:cstheme="minorHAnsi"/>
          <w:i/>
          <w:sz w:val="24"/>
          <w:szCs w:val="24"/>
        </w:rPr>
        <w:t>Environment Protection Act 2017</w:t>
      </w:r>
      <w:r w:rsidR="005F17DC" w:rsidRPr="006F5609">
        <w:rPr>
          <w:rFonts w:ascii="Verdana" w:eastAsiaTheme="minorEastAsia" w:hAnsi="Verdana" w:cstheme="minorHAnsi"/>
          <w:sz w:val="24"/>
          <w:szCs w:val="24"/>
        </w:rPr>
        <w:t>, which requires a preventative approach to avoiding harm to the environment</w:t>
      </w:r>
      <w:r w:rsidRPr="006F5609">
        <w:rPr>
          <w:rFonts w:ascii="Verdana" w:eastAsiaTheme="minorEastAsia" w:hAnsi="Verdana" w:cstheme="minorHAnsi"/>
          <w:sz w:val="24"/>
          <w:szCs w:val="24"/>
        </w:rPr>
        <w:t>; and</w:t>
      </w:r>
    </w:p>
    <w:p w14:paraId="007DB6CE" w14:textId="53846D3B" w:rsidR="00EB7B6B" w:rsidRPr="006F5609" w:rsidRDefault="005F17DC" w:rsidP="00BD127A">
      <w:pPr>
        <w:pStyle w:val="ListParagraph"/>
        <w:numPr>
          <w:ilvl w:val="1"/>
          <w:numId w:val="34"/>
        </w:numPr>
        <w:spacing w:after="0"/>
        <w:ind w:left="709"/>
        <w:rPr>
          <w:rFonts w:ascii="Verdana" w:eastAsiaTheme="minorEastAsia" w:hAnsi="Verdana" w:cstheme="minorHAnsi"/>
          <w:sz w:val="20"/>
          <w:szCs w:val="20"/>
        </w:rPr>
      </w:pPr>
      <w:r w:rsidRPr="006F5609">
        <w:rPr>
          <w:rFonts w:ascii="Verdana" w:eastAsiaTheme="minorEastAsia" w:hAnsi="Verdana" w:cstheme="minorHAnsi"/>
          <w:sz w:val="24"/>
          <w:szCs w:val="24"/>
        </w:rPr>
        <w:t>Deliver</w:t>
      </w:r>
      <w:r w:rsidR="00653203" w:rsidRPr="006F5609">
        <w:rPr>
          <w:rFonts w:ascii="Verdana" w:eastAsiaTheme="minorEastAsia" w:hAnsi="Verdana" w:cstheme="minorHAnsi"/>
          <w:sz w:val="24"/>
          <w:szCs w:val="24"/>
        </w:rPr>
        <w:t>ing</w:t>
      </w:r>
      <w:r w:rsidRPr="006F5609">
        <w:rPr>
          <w:rFonts w:ascii="Verdana" w:eastAsiaTheme="minorEastAsia" w:hAnsi="Verdana" w:cstheme="minorHAnsi"/>
          <w:sz w:val="24"/>
          <w:szCs w:val="24"/>
        </w:rPr>
        <w:t xml:space="preserve"> on opportunities for stormwater capture and fit-for-purpose reuse and take principles of integrated water management into account</w:t>
      </w:r>
      <w:r w:rsidR="00653203" w:rsidRPr="006F5609">
        <w:rPr>
          <w:rFonts w:ascii="Verdana" w:eastAsiaTheme="minorEastAsia" w:hAnsi="Verdana" w:cstheme="minorHAnsi"/>
          <w:sz w:val="24"/>
          <w:szCs w:val="24"/>
        </w:rPr>
        <w:t>, as directed by our Statement of Obligation (2015</w:t>
      </w:r>
      <w:r w:rsidR="00653203" w:rsidRPr="006F5609">
        <w:rPr>
          <w:rFonts w:ascii="Verdana" w:eastAsiaTheme="minorEastAsia" w:hAnsi="Verdana" w:cstheme="minorHAnsi"/>
          <w:sz w:val="20"/>
          <w:szCs w:val="20"/>
        </w:rPr>
        <w:t>).</w:t>
      </w:r>
      <w:r w:rsidR="000A4AEE" w:rsidRPr="000A4AEE">
        <w:rPr>
          <w:rFonts w:ascii="Verdana" w:eastAsiaTheme="minorEastAsia" w:hAnsi="Verdana" w:cstheme="minorHAnsi"/>
          <w:sz w:val="24"/>
          <w:szCs w:val="24"/>
        </w:rPr>
        <w:t xml:space="preserve"> </w:t>
      </w:r>
      <w:r w:rsidR="000A4AEE">
        <w:rPr>
          <w:rFonts w:ascii="Verdana" w:eastAsiaTheme="minorEastAsia" w:hAnsi="Verdana" w:cstheme="minorHAnsi"/>
          <w:sz w:val="24"/>
          <w:szCs w:val="24"/>
        </w:rPr>
        <w:t xml:space="preserve">This includes </w:t>
      </w:r>
      <w:r w:rsidR="000A4AEE" w:rsidRPr="006F5609">
        <w:rPr>
          <w:rFonts w:ascii="Verdana" w:eastAsiaTheme="minorEastAsia" w:hAnsi="Verdana" w:cstheme="minorHAnsi"/>
          <w:sz w:val="24"/>
          <w:szCs w:val="24"/>
        </w:rPr>
        <w:t>in the planning for the Sunbury Growth Corridor</w:t>
      </w:r>
      <w:r w:rsidR="000A4AEE">
        <w:rPr>
          <w:rFonts w:ascii="Verdana" w:eastAsiaTheme="minorEastAsia" w:hAnsi="Verdana" w:cstheme="minorHAnsi"/>
          <w:sz w:val="24"/>
          <w:szCs w:val="24"/>
        </w:rPr>
        <w:t>.</w:t>
      </w:r>
    </w:p>
    <w:p w14:paraId="04B0796B" w14:textId="64F0DF01" w:rsidR="00BD7783" w:rsidRPr="006F5609" w:rsidRDefault="00BD7783" w:rsidP="00BD127A">
      <w:pPr>
        <w:pStyle w:val="ListParagraph"/>
        <w:spacing w:after="0"/>
        <w:ind w:left="1440"/>
        <w:rPr>
          <w:rFonts w:ascii="Verdana" w:eastAsiaTheme="minorEastAsia" w:hAnsi="Verdana"/>
          <w:sz w:val="20"/>
          <w:szCs w:val="20"/>
        </w:rPr>
      </w:pPr>
    </w:p>
    <w:p w14:paraId="113C14FA" w14:textId="77777777" w:rsidR="006F5609" w:rsidRDefault="00BA6B71" w:rsidP="00BD127A">
      <w:pPr>
        <w:rPr>
          <w:rFonts w:ascii="Verdana" w:eastAsiaTheme="minorEastAsia" w:hAnsi="Verdana"/>
          <w:b/>
          <w:bCs/>
        </w:rPr>
      </w:pPr>
      <w:r w:rsidRPr="006F5609">
        <w:rPr>
          <w:rFonts w:ascii="Verdana" w:eastAsiaTheme="minorEastAsia" w:hAnsi="Verdana"/>
          <w:bCs/>
          <w:i/>
          <w:color w:val="2F5496" w:themeColor="accent5" w:themeShade="BF"/>
        </w:rPr>
        <w:t>Declining waterway health</w:t>
      </w:r>
    </w:p>
    <w:p w14:paraId="75C2392D" w14:textId="005CF873" w:rsidR="006F5609" w:rsidRDefault="00A91B53" w:rsidP="00BD127A">
      <w:pPr>
        <w:rPr>
          <w:rFonts w:ascii="Verdana" w:eastAsiaTheme="minorEastAsia" w:hAnsi="Verdana"/>
        </w:rPr>
      </w:pPr>
      <w:r w:rsidRPr="006F5609">
        <w:rPr>
          <w:rFonts w:ascii="Verdana" w:eastAsiaTheme="minorEastAsia" w:hAnsi="Verdana"/>
        </w:rPr>
        <w:t>A vast body of research confirms that where new urban areas are developed implementing current and/or conventional stormwater management practices</w:t>
      </w:r>
      <w:r w:rsidR="000A4AEE">
        <w:rPr>
          <w:rFonts w:ascii="Verdana" w:eastAsiaTheme="minorEastAsia" w:hAnsi="Verdana"/>
        </w:rPr>
        <w:t xml:space="preserve"> will result in</w:t>
      </w:r>
      <w:r w:rsidRPr="006F5609">
        <w:rPr>
          <w:rFonts w:ascii="Verdana" w:eastAsiaTheme="minorEastAsia" w:hAnsi="Verdana"/>
        </w:rPr>
        <w:t xml:space="preserve"> degradation</w:t>
      </w:r>
      <w:r w:rsidR="00BB4B09" w:rsidRPr="006F5609">
        <w:rPr>
          <w:rFonts w:ascii="Verdana" w:eastAsiaTheme="minorEastAsia" w:hAnsi="Verdana"/>
        </w:rPr>
        <w:t xml:space="preserve"> (Uttigauer,2016; Walsh &amp; </w:t>
      </w:r>
      <w:proofErr w:type="spellStart"/>
      <w:r w:rsidR="00BB4B09" w:rsidRPr="006F5609">
        <w:rPr>
          <w:rFonts w:ascii="Verdana" w:eastAsiaTheme="minorEastAsia" w:hAnsi="Verdana"/>
        </w:rPr>
        <w:t>Kunapo</w:t>
      </w:r>
      <w:proofErr w:type="spellEnd"/>
      <w:r w:rsidR="00BB4B09" w:rsidRPr="006F5609">
        <w:rPr>
          <w:rFonts w:ascii="Verdana" w:eastAsiaTheme="minorEastAsia" w:hAnsi="Verdana"/>
        </w:rPr>
        <w:t>, 2009; Wenger, et al., 2009)</w:t>
      </w:r>
      <w:r w:rsidRPr="006F5609">
        <w:rPr>
          <w:rFonts w:ascii="Verdana" w:eastAsiaTheme="minorEastAsia" w:hAnsi="Verdana"/>
        </w:rPr>
        <w:t xml:space="preserve">. </w:t>
      </w:r>
    </w:p>
    <w:p w14:paraId="5701F510" w14:textId="77777777" w:rsidR="00BD127A" w:rsidRDefault="00BA6B71" w:rsidP="00BD127A">
      <w:pPr>
        <w:rPr>
          <w:rFonts w:ascii="Verdana" w:eastAsiaTheme="minorEastAsia" w:hAnsi="Verdana"/>
        </w:rPr>
      </w:pPr>
      <w:r w:rsidRPr="006F5609">
        <w:rPr>
          <w:rFonts w:ascii="Verdana" w:eastAsiaTheme="minorEastAsia" w:hAnsi="Verdana" w:cstheme="minorHAnsi"/>
        </w:rPr>
        <w:br/>
      </w:r>
      <w:r w:rsidR="00BB4B09" w:rsidRPr="006F5609">
        <w:rPr>
          <w:rFonts w:ascii="Verdana" w:eastAsiaTheme="minorEastAsia" w:hAnsi="Verdana"/>
        </w:rPr>
        <w:t xml:space="preserve">Current waterway condition and key values across Melbourne’s 25,000 kilometres of waterways were described using measured data (Chee et al,2020, Healthy Waterways Strategy 2008). </w:t>
      </w:r>
      <w:r w:rsidRPr="006F5609">
        <w:rPr>
          <w:rFonts w:ascii="Verdana" w:eastAsiaTheme="minorEastAsia" w:hAnsi="Verdana"/>
        </w:rPr>
        <w:t>A specialised model was then used to understand the resulting future trajectory of waterway condition and key values due to urbanisation and population growth, consistent with official state government projections of population and households to 2056 (DELWP, 2019). A comparison of the current condition and future trajectories under a business-as-usual approach to management (</w:t>
      </w:r>
      <w:r w:rsidR="00542AB6" w:rsidRPr="006F5609">
        <w:rPr>
          <w:rFonts w:ascii="Verdana" w:eastAsiaTheme="minorEastAsia" w:hAnsi="Verdana"/>
          <w:color w:val="2B579A"/>
          <w:shd w:val="clear" w:color="auto" w:fill="E6E6E6"/>
        </w:rPr>
        <w:fldChar w:fldCharType="begin"/>
      </w:r>
      <w:r w:rsidR="00542AB6" w:rsidRPr="006F5609">
        <w:rPr>
          <w:rFonts w:ascii="Verdana" w:eastAsiaTheme="minorEastAsia" w:hAnsi="Verdana"/>
        </w:rPr>
        <w:instrText xml:space="preserve"> REF _Ref70062845 \h </w:instrText>
      </w:r>
      <w:r w:rsidR="006F5609" w:rsidRPr="006F5609">
        <w:rPr>
          <w:rFonts w:ascii="Verdana" w:eastAsiaTheme="minorEastAsia" w:hAnsi="Verdana"/>
          <w:color w:val="2B579A"/>
          <w:shd w:val="clear" w:color="auto" w:fill="E6E6E6"/>
        </w:rPr>
        <w:instrText xml:space="preserve"> \* MERGEFORMAT </w:instrText>
      </w:r>
      <w:r w:rsidR="00542AB6" w:rsidRPr="006F5609">
        <w:rPr>
          <w:rFonts w:ascii="Verdana" w:eastAsiaTheme="minorEastAsia" w:hAnsi="Verdana"/>
          <w:color w:val="2B579A"/>
          <w:shd w:val="clear" w:color="auto" w:fill="E6E6E6"/>
        </w:rPr>
      </w:r>
      <w:r w:rsidR="00542AB6" w:rsidRPr="006F5609">
        <w:rPr>
          <w:rFonts w:ascii="Verdana" w:eastAsiaTheme="minorEastAsia" w:hAnsi="Verdana"/>
          <w:color w:val="2B579A"/>
          <w:shd w:val="clear" w:color="auto" w:fill="E6E6E6"/>
        </w:rPr>
        <w:fldChar w:fldCharType="separate"/>
      </w:r>
      <w:r w:rsidR="00542AB6" w:rsidRPr="006F5609">
        <w:rPr>
          <w:rFonts w:ascii="Verdana" w:hAnsi="Verdana"/>
        </w:rPr>
        <w:t>Figure 2</w:t>
      </w:r>
      <w:r w:rsidR="00542AB6" w:rsidRPr="006F5609">
        <w:rPr>
          <w:rFonts w:ascii="Verdana" w:eastAsiaTheme="minorEastAsia" w:hAnsi="Verdana"/>
          <w:color w:val="2B579A"/>
          <w:shd w:val="clear" w:color="auto" w:fill="E6E6E6"/>
        </w:rPr>
        <w:fldChar w:fldCharType="end"/>
      </w:r>
      <w:r w:rsidRPr="006F5609">
        <w:rPr>
          <w:rFonts w:ascii="Verdana" w:eastAsiaTheme="minorEastAsia" w:hAnsi="Verdana"/>
        </w:rPr>
        <w:t xml:space="preserve">) identified a significant decline in waterway values: broad and irreversible loss of waterway values such as birds, fish, frogs, macroinvertebrates, platypus, amenity, community connection and recreation.  </w:t>
      </w:r>
    </w:p>
    <w:p w14:paraId="3F6E841C" w14:textId="77777777" w:rsidR="00BD127A" w:rsidRDefault="00BD127A" w:rsidP="00BD127A">
      <w:pPr>
        <w:rPr>
          <w:rFonts w:ascii="Verdana" w:eastAsiaTheme="minorEastAsia" w:hAnsi="Verdana"/>
        </w:rPr>
      </w:pPr>
    </w:p>
    <w:p w14:paraId="29CCE059" w14:textId="0204075D" w:rsidR="009B5100" w:rsidRPr="006F5609" w:rsidRDefault="00BA6B71" w:rsidP="00BD127A">
      <w:pPr>
        <w:rPr>
          <w:rFonts w:ascii="Verdana" w:eastAsiaTheme="minorEastAsia" w:hAnsi="Verdana"/>
        </w:rPr>
      </w:pPr>
      <w:r w:rsidRPr="006F5609">
        <w:rPr>
          <w:rFonts w:ascii="Verdana" w:eastAsiaTheme="minorEastAsia" w:hAnsi="Verdana"/>
        </w:rPr>
        <w:t xml:space="preserve">Of </w:t>
      </w:r>
      <w:r w:rsidR="007D270A">
        <w:rPr>
          <w:rFonts w:ascii="Verdana" w:eastAsiaTheme="minorEastAsia" w:hAnsi="Verdana"/>
        </w:rPr>
        <w:t>critical importance</w:t>
      </w:r>
      <w:r w:rsidRPr="006F5609">
        <w:rPr>
          <w:rFonts w:ascii="Verdana" w:eastAsiaTheme="minorEastAsia" w:hAnsi="Verdana"/>
        </w:rPr>
        <w:t xml:space="preserve"> is that no action in the Sunbury region </w:t>
      </w:r>
      <w:r w:rsidR="007D270A">
        <w:rPr>
          <w:rFonts w:ascii="Verdana" w:eastAsiaTheme="minorEastAsia" w:hAnsi="Verdana"/>
        </w:rPr>
        <w:t>will lead to</w:t>
      </w:r>
      <w:r w:rsidRPr="006F5609">
        <w:rPr>
          <w:rFonts w:ascii="Verdana" w:eastAsiaTheme="minorEastAsia" w:hAnsi="Verdana"/>
        </w:rPr>
        <w:t xml:space="preserve"> probable extinction of platypus within the Jacksons and Emu Creeks, potentially the entire Maribyrnong River catchment. Platypus are now officially a threatened species and listed as ‘vulnerable’ in Victoria under Flora and Fauna Guarantee Act 1988 (Vic). This will result in a reduced level of service for customers.</w:t>
      </w:r>
    </w:p>
    <w:p w14:paraId="1BEFC5C3" w14:textId="77777777" w:rsidR="008A44B5" w:rsidRPr="006F5609" w:rsidRDefault="008A44B5" w:rsidP="00BD127A">
      <w:pPr>
        <w:pStyle w:val="ListParagraph"/>
        <w:spacing w:after="0"/>
        <w:rPr>
          <w:rFonts w:ascii="Verdana" w:eastAsiaTheme="minorEastAsia" w:hAnsi="Verdana"/>
          <w:sz w:val="24"/>
          <w:szCs w:val="24"/>
        </w:rPr>
      </w:pPr>
    </w:p>
    <w:tbl>
      <w:tblPr>
        <w:tblStyle w:val="TableGrid"/>
        <w:tblW w:w="1133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669"/>
        <w:gridCol w:w="5669"/>
      </w:tblGrid>
      <w:tr w:rsidR="00A85A78" w:rsidRPr="006F5609" w14:paraId="67CEFD3A" w14:textId="77777777" w:rsidTr="008A44B5">
        <w:tc>
          <w:tcPr>
            <w:tcW w:w="5669" w:type="dxa"/>
            <w:vMerge w:val="restart"/>
            <w:vAlign w:val="center"/>
          </w:tcPr>
          <w:p w14:paraId="107872E6" w14:textId="00303082" w:rsidR="00A85A78" w:rsidRPr="006F5609" w:rsidRDefault="00451782" w:rsidP="00BD127A">
            <w:pPr>
              <w:ind w:left="-720"/>
              <w:jc w:val="center"/>
              <w:rPr>
                <w:rFonts w:ascii="Verdana" w:eastAsiaTheme="minorEastAsia" w:hAnsi="Verdana" w:cstheme="minorBidi"/>
                <w:sz w:val="20"/>
                <w:szCs w:val="20"/>
              </w:rPr>
            </w:pPr>
            <w:r w:rsidRPr="006F5609">
              <w:rPr>
                <w:rFonts w:ascii="Verdana" w:hAnsi="Verdana"/>
                <w:noProof/>
              </w:rPr>
              <w:lastRenderedPageBreak/>
              <w:drawing>
                <wp:inline distT="0" distB="0" distL="0" distR="0" wp14:anchorId="3B5DBB65" wp14:editId="53F47EBD">
                  <wp:extent cx="3083109" cy="2456650"/>
                  <wp:effectExtent l="19050" t="1905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83109" cy="2456650"/>
                          </a:xfrm>
                          <a:prstGeom prst="rect">
                            <a:avLst/>
                          </a:prstGeom>
                          <a:ln>
                            <a:solidFill>
                              <a:schemeClr val="accent1"/>
                            </a:solidFill>
                          </a:ln>
                        </pic:spPr>
                      </pic:pic>
                    </a:graphicData>
                  </a:graphic>
                </wp:inline>
              </w:drawing>
            </w:r>
            <w:r w:rsidRPr="006F5609">
              <w:rPr>
                <w:rFonts w:ascii="Verdana" w:eastAsiaTheme="minorEastAsia" w:hAnsi="Verdana" w:cstheme="minorBidi"/>
                <w:sz w:val="20"/>
                <w:szCs w:val="20"/>
              </w:rPr>
              <w:t xml:space="preserve"> </w:t>
            </w:r>
            <w:r w:rsidR="008A44B5" w:rsidRPr="006F5609">
              <w:rPr>
                <w:rFonts w:ascii="Verdana" w:eastAsiaTheme="minorEastAsia" w:hAnsi="Verdana" w:cstheme="minorBidi"/>
                <w:sz w:val="20"/>
                <w:szCs w:val="20"/>
              </w:rPr>
              <w:br/>
            </w:r>
            <w:r w:rsidRPr="006F5609">
              <w:rPr>
                <w:rFonts w:ascii="Verdana" w:eastAsiaTheme="minorEastAsia" w:hAnsi="Verdana" w:cstheme="minorBidi"/>
                <w:sz w:val="20"/>
                <w:szCs w:val="20"/>
              </w:rPr>
              <w:t xml:space="preserve">(a) </w:t>
            </w:r>
          </w:p>
        </w:tc>
        <w:tc>
          <w:tcPr>
            <w:tcW w:w="5669" w:type="dxa"/>
            <w:vAlign w:val="center"/>
          </w:tcPr>
          <w:p w14:paraId="77DCAC68" w14:textId="777037B1" w:rsidR="00A85A78" w:rsidRPr="006F5609" w:rsidRDefault="001173E6" w:rsidP="00BD127A">
            <w:pPr>
              <w:ind w:left="-720"/>
              <w:jc w:val="center"/>
              <w:rPr>
                <w:rFonts w:ascii="Verdana" w:eastAsiaTheme="minorEastAsia" w:hAnsi="Verdana" w:cstheme="minorBidi"/>
                <w:sz w:val="20"/>
                <w:szCs w:val="20"/>
              </w:rPr>
            </w:pPr>
            <w:r w:rsidRPr="006F5609">
              <w:rPr>
                <w:rFonts w:ascii="Verdana" w:hAnsi="Verdana"/>
                <w:noProof/>
              </w:rPr>
              <w:drawing>
                <wp:inline distT="0" distB="0" distL="0" distR="0" wp14:anchorId="1F4BA4FC" wp14:editId="16A6A251">
                  <wp:extent cx="3151812" cy="2439109"/>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51812" cy="2439109"/>
                          </a:xfrm>
                          <a:prstGeom prst="rect">
                            <a:avLst/>
                          </a:prstGeom>
                          <a:ln>
                            <a:solidFill>
                              <a:schemeClr val="accent1"/>
                            </a:solidFill>
                          </a:ln>
                        </pic:spPr>
                      </pic:pic>
                    </a:graphicData>
                  </a:graphic>
                </wp:inline>
              </w:drawing>
            </w:r>
            <w:r w:rsidR="008A44B5" w:rsidRPr="006F5609">
              <w:rPr>
                <w:rFonts w:ascii="Verdana" w:eastAsiaTheme="minorEastAsia" w:hAnsi="Verdana" w:cstheme="minorBidi"/>
                <w:sz w:val="20"/>
                <w:szCs w:val="20"/>
              </w:rPr>
              <w:br/>
            </w:r>
            <w:r w:rsidR="0019744E" w:rsidRPr="006F5609">
              <w:rPr>
                <w:rFonts w:ascii="Verdana" w:eastAsiaTheme="minorEastAsia" w:hAnsi="Verdana" w:cstheme="minorBidi"/>
                <w:sz w:val="20"/>
                <w:szCs w:val="20"/>
              </w:rPr>
              <w:t>(b)</w:t>
            </w:r>
            <w:r w:rsidR="00B05C60" w:rsidRPr="006F5609">
              <w:rPr>
                <w:rFonts w:ascii="Verdana" w:eastAsiaTheme="minorEastAsia" w:hAnsi="Verdana" w:cstheme="minorBidi"/>
                <w:sz w:val="20"/>
                <w:szCs w:val="20"/>
              </w:rPr>
              <w:br/>
            </w:r>
          </w:p>
        </w:tc>
      </w:tr>
      <w:tr w:rsidR="00A85A78" w:rsidRPr="006F5609" w14:paraId="10F38124" w14:textId="77777777" w:rsidTr="008A44B5">
        <w:tc>
          <w:tcPr>
            <w:tcW w:w="5669" w:type="dxa"/>
            <w:vMerge/>
          </w:tcPr>
          <w:p w14:paraId="0AD58632" w14:textId="77777777" w:rsidR="00A85A78" w:rsidRPr="006F5609" w:rsidRDefault="00A85A78" w:rsidP="00BD127A">
            <w:pPr>
              <w:rPr>
                <w:rFonts w:ascii="Verdana" w:eastAsiaTheme="minorEastAsia" w:hAnsi="Verdana" w:cstheme="minorBidi"/>
                <w:sz w:val="20"/>
                <w:szCs w:val="20"/>
              </w:rPr>
            </w:pPr>
          </w:p>
        </w:tc>
        <w:tc>
          <w:tcPr>
            <w:tcW w:w="5669" w:type="dxa"/>
            <w:vAlign w:val="center"/>
          </w:tcPr>
          <w:p w14:paraId="3C89E3C3" w14:textId="41C81B87" w:rsidR="00A85A78" w:rsidRPr="006F5609" w:rsidRDefault="001173E6" w:rsidP="00BD127A">
            <w:pPr>
              <w:ind w:left="-720"/>
              <w:jc w:val="center"/>
              <w:rPr>
                <w:rFonts w:ascii="Verdana" w:eastAsiaTheme="minorEastAsia" w:hAnsi="Verdana" w:cstheme="minorBidi"/>
                <w:sz w:val="20"/>
                <w:szCs w:val="20"/>
              </w:rPr>
            </w:pPr>
            <w:r w:rsidRPr="006F5609">
              <w:rPr>
                <w:rFonts w:ascii="Verdana" w:hAnsi="Verdana"/>
                <w:noProof/>
              </w:rPr>
              <w:drawing>
                <wp:inline distT="0" distB="0" distL="0" distR="0" wp14:anchorId="15EE2B14" wp14:editId="45216C2B">
                  <wp:extent cx="3092173" cy="2477918"/>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92173" cy="2477918"/>
                          </a:xfrm>
                          <a:prstGeom prst="rect">
                            <a:avLst/>
                          </a:prstGeom>
                          <a:ln>
                            <a:solidFill>
                              <a:schemeClr val="accent1"/>
                            </a:solidFill>
                          </a:ln>
                        </pic:spPr>
                      </pic:pic>
                    </a:graphicData>
                  </a:graphic>
                </wp:inline>
              </w:drawing>
            </w:r>
            <w:r w:rsidR="008A44B5" w:rsidRPr="006F5609">
              <w:rPr>
                <w:rFonts w:ascii="Verdana" w:eastAsiaTheme="minorEastAsia" w:hAnsi="Verdana" w:cstheme="minorBidi"/>
                <w:sz w:val="20"/>
                <w:szCs w:val="20"/>
              </w:rPr>
              <w:br/>
            </w:r>
            <w:r w:rsidR="0019744E" w:rsidRPr="006F5609">
              <w:rPr>
                <w:rFonts w:ascii="Verdana" w:eastAsiaTheme="minorEastAsia" w:hAnsi="Verdana" w:cstheme="minorBidi"/>
                <w:sz w:val="20"/>
                <w:szCs w:val="20"/>
              </w:rPr>
              <w:t>(c)</w:t>
            </w:r>
          </w:p>
        </w:tc>
      </w:tr>
    </w:tbl>
    <w:p w14:paraId="0E2E7489" w14:textId="203E76B0" w:rsidR="00542AB6" w:rsidRPr="006F5609" w:rsidRDefault="00542AB6" w:rsidP="00BD127A">
      <w:pPr>
        <w:pStyle w:val="Caption"/>
        <w:spacing w:after="0"/>
        <w:rPr>
          <w:rFonts w:ascii="Verdana" w:eastAsiaTheme="minorEastAsia" w:hAnsi="Verdana" w:cstheme="minorBidi"/>
          <w:color w:val="000000" w:themeColor="text1"/>
          <w:sz w:val="22"/>
          <w:szCs w:val="22"/>
        </w:rPr>
      </w:pPr>
      <w:bookmarkStart w:id="0" w:name="_Ref70062845"/>
      <w:r w:rsidRPr="006F5609">
        <w:rPr>
          <w:rFonts w:ascii="Verdana" w:eastAsiaTheme="minorEastAsia" w:hAnsi="Verdana" w:cstheme="minorBidi"/>
          <w:b/>
          <w:color w:val="000000" w:themeColor="text1"/>
          <w:sz w:val="22"/>
          <w:szCs w:val="22"/>
        </w:rPr>
        <w:t xml:space="preserve">Figure </w:t>
      </w:r>
      <w:r w:rsidRPr="006F5609">
        <w:rPr>
          <w:rFonts w:ascii="Verdana" w:hAnsi="Verdana" w:cstheme="minorBidi"/>
          <w:b/>
          <w:color w:val="000000" w:themeColor="text1"/>
          <w:sz w:val="22"/>
          <w:szCs w:val="22"/>
        </w:rPr>
        <w:fldChar w:fldCharType="begin"/>
      </w:r>
      <w:r w:rsidRPr="006F5609">
        <w:rPr>
          <w:rFonts w:ascii="Verdana" w:hAnsi="Verdana" w:cstheme="minorBidi"/>
          <w:b/>
          <w:color w:val="000000" w:themeColor="text1"/>
          <w:sz w:val="22"/>
          <w:szCs w:val="22"/>
        </w:rPr>
        <w:instrText xml:space="preserve"> SEQ Figure \* ARABIC </w:instrText>
      </w:r>
      <w:r w:rsidRPr="006F5609">
        <w:rPr>
          <w:rFonts w:ascii="Verdana" w:hAnsi="Verdana" w:cstheme="minorBidi"/>
          <w:b/>
          <w:color w:val="000000" w:themeColor="text1"/>
          <w:sz w:val="22"/>
          <w:szCs w:val="22"/>
        </w:rPr>
        <w:fldChar w:fldCharType="separate"/>
      </w:r>
      <w:r w:rsidRPr="006F5609">
        <w:rPr>
          <w:rFonts w:ascii="Verdana" w:hAnsi="Verdana" w:cstheme="minorBidi"/>
          <w:b/>
          <w:color w:val="000000" w:themeColor="text1"/>
          <w:sz w:val="22"/>
          <w:szCs w:val="22"/>
        </w:rPr>
        <w:t>2</w:t>
      </w:r>
      <w:r w:rsidRPr="006F5609">
        <w:rPr>
          <w:rFonts w:ascii="Verdana" w:hAnsi="Verdana" w:cstheme="minorBidi"/>
          <w:b/>
          <w:color w:val="000000" w:themeColor="text1"/>
          <w:sz w:val="22"/>
          <w:szCs w:val="22"/>
        </w:rPr>
        <w:fldChar w:fldCharType="end"/>
      </w:r>
      <w:bookmarkEnd w:id="0"/>
      <w:r w:rsidRPr="006F5609">
        <w:rPr>
          <w:rFonts w:ascii="Verdana" w:eastAsiaTheme="minorEastAsia" w:hAnsi="Verdana" w:cstheme="minorBidi"/>
          <w:b/>
          <w:color w:val="000000" w:themeColor="text1"/>
          <w:sz w:val="22"/>
          <w:szCs w:val="22"/>
        </w:rPr>
        <w:t>:</w:t>
      </w:r>
      <w:r w:rsidRPr="006F5609">
        <w:rPr>
          <w:rFonts w:ascii="Verdana" w:eastAsiaTheme="minorEastAsia" w:hAnsi="Verdana" w:cstheme="minorBidi"/>
          <w:color w:val="000000" w:themeColor="text1"/>
          <w:sz w:val="22"/>
          <w:szCs w:val="22"/>
        </w:rPr>
        <w:t xml:space="preserve"> A comparison of the </w:t>
      </w:r>
      <w:r w:rsidR="7E08BBE0" w:rsidRPr="006F5609">
        <w:rPr>
          <w:rFonts w:ascii="Verdana" w:eastAsiaTheme="minorEastAsia" w:hAnsi="Verdana" w:cstheme="minorBidi"/>
          <w:color w:val="000000" w:themeColor="text1"/>
          <w:sz w:val="22"/>
          <w:szCs w:val="22"/>
        </w:rPr>
        <w:t xml:space="preserve">(a) </w:t>
      </w:r>
      <w:r w:rsidR="00A33B91" w:rsidRPr="006F5609">
        <w:rPr>
          <w:rFonts w:ascii="Verdana" w:eastAsiaTheme="minorEastAsia" w:hAnsi="Verdana" w:cstheme="minorBidi"/>
          <w:color w:val="000000" w:themeColor="text1"/>
          <w:sz w:val="22"/>
          <w:szCs w:val="22"/>
        </w:rPr>
        <w:t xml:space="preserve">current state, </w:t>
      </w:r>
      <w:r w:rsidR="7826579E" w:rsidRPr="006F5609">
        <w:rPr>
          <w:rFonts w:ascii="Verdana" w:eastAsiaTheme="minorEastAsia" w:hAnsi="Verdana" w:cstheme="minorBidi"/>
          <w:color w:val="000000" w:themeColor="text1"/>
          <w:sz w:val="22"/>
          <w:szCs w:val="22"/>
        </w:rPr>
        <w:t xml:space="preserve">(b) </w:t>
      </w:r>
      <w:r w:rsidR="00A33B91" w:rsidRPr="006F5609">
        <w:rPr>
          <w:rFonts w:ascii="Verdana" w:eastAsiaTheme="minorEastAsia" w:hAnsi="Verdana" w:cstheme="minorBidi"/>
          <w:color w:val="000000" w:themeColor="text1"/>
          <w:sz w:val="22"/>
          <w:szCs w:val="22"/>
        </w:rPr>
        <w:t>current trajectory under BAU and</w:t>
      </w:r>
      <w:r w:rsidR="05F60EBB" w:rsidRPr="006F5609">
        <w:rPr>
          <w:rFonts w:ascii="Verdana" w:eastAsiaTheme="minorEastAsia" w:hAnsi="Verdana" w:cstheme="minorBidi"/>
          <w:color w:val="000000" w:themeColor="text1"/>
          <w:sz w:val="22"/>
          <w:szCs w:val="22"/>
        </w:rPr>
        <w:t xml:space="preserve"> (c)</w:t>
      </w:r>
      <w:r w:rsidR="00A33B91" w:rsidRPr="006F5609">
        <w:rPr>
          <w:rFonts w:ascii="Verdana" w:eastAsiaTheme="minorEastAsia" w:hAnsi="Verdana" w:cstheme="minorBidi"/>
          <w:color w:val="000000" w:themeColor="text1"/>
          <w:sz w:val="22"/>
          <w:szCs w:val="22"/>
        </w:rPr>
        <w:t xml:space="preserve"> target trajectory of</w:t>
      </w:r>
      <w:r w:rsidR="00B012EF" w:rsidRPr="006F5609">
        <w:rPr>
          <w:rFonts w:ascii="Verdana" w:eastAsiaTheme="minorEastAsia" w:hAnsi="Verdana" w:cstheme="minorBidi"/>
          <w:color w:val="000000" w:themeColor="text1"/>
          <w:sz w:val="22"/>
          <w:szCs w:val="22"/>
        </w:rPr>
        <w:t xml:space="preserve"> waterway health </w:t>
      </w:r>
      <w:r w:rsidR="00A33B91" w:rsidRPr="006F5609">
        <w:rPr>
          <w:rFonts w:ascii="Verdana" w:eastAsiaTheme="minorEastAsia" w:hAnsi="Verdana" w:cstheme="minorBidi"/>
          <w:color w:val="000000" w:themeColor="text1"/>
          <w:sz w:val="22"/>
          <w:szCs w:val="22"/>
        </w:rPr>
        <w:t>(Melbourne Water, 2018, Chee et al. 2020, Melbourne Water 2020).</w:t>
      </w:r>
      <w:r w:rsidR="008A44B5" w:rsidRPr="006F5609">
        <w:rPr>
          <w:rFonts w:ascii="Verdana" w:eastAsiaTheme="minorEastAsia" w:hAnsi="Verdana" w:cstheme="minorBidi"/>
          <w:color w:val="000000" w:themeColor="text1"/>
          <w:sz w:val="22"/>
          <w:szCs w:val="22"/>
        </w:rPr>
        <w:t xml:space="preserve"> </w:t>
      </w:r>
      <w:r w:rsidR="008A44B5" w:rsidRPr="006F5609">
        <w:rPr>
          <w:rFonts w:ascii="Verdana" w:eastAsiaTheme="minorEastAsia" w:hAnsi="Verdana" w:cstheme="minorBidi"/>
          <w:color w:val="000000" w:themeColor="text1"/>
          <w:sz w:val="22"/>
          <w:szCs w:val="22"/>
        </w:rPr>
        <w:br/>
      </w:r>
      <w:r w:rsidR="008A44B5" w:rsidRPr="006F5609">
        <w:rPr>
          <w:rFonts w:ascii="Verdana" w:eastAsiaTheme="minorEastAsia" w:hAnsi="Verdana" w:cstheme="minorBidi"/>
          <w:color w:val="000000" w:themeColor="text1"/>
          <w:sz w:val="20"/>
          <w:szCs w:val="20"/>
        </w:rPr>
        <w:t>Note the state of waterway health uses macroinvertebrate data as a representative metric. A Very High score indicates very good stream health with all or almost all macroinvertebrate taxa present, High indicates good stream health with most taxa present, Moderate indicates moderate stream health and some taxa present, Low indicates poor stream health with a low number of taxa present and Very Low indicates very poor stream health with a very low number of taxa present.</w:t>
      </w:r>
    </w:p>
    <w:p w14:paraId="34D7581B" w14:textId="175BFDA1" w:rsidR="00630F0F" w:rsidRPr="006F5609" w:rsidRDefault="00630F0F" w:rsidP="00BD127A">
      <w:pPr>
        <w:rPr>
          <w:rFonts w:ascii="Verdana" w:eastAsiaTheme="minorEastAsia" w:hAnsi="Verdana" w:cstheme="minorHAnsi"/>
          <w:sz w:val="20"/>
          <w:szCs w:val="20"/>
        </w:rPr>
      </w:pPr>
    </w:p>
    <w:p w14:paraId="2C0611A0" w14:textId="52B6F465" w:rsidR="006F5609" w:rsidRDefault="00BA6B71" w:rsidP="00BD127A">
      <w:pPr>
        <w:rPr>
          <w:rFonts w:ascii="Verdana" w:eastAsiaTheme="minorEastAsia" w:hAnsi="Verdana"/>
          <w:b/>
          <w:bCs/>
        </w:rPr>
      </w:pPr>
      <w:r w:rsidRPr="006F5609">
        <w:rPr>
          <w:rFonts w:ascii="Verdana" w:eastAsiaTheme="minorEastAsia" w:hAnsi="Verdana"/>
          <w:bCs/>
          <w:i/>
          <w:color w:val="2F5496" w:themeColor="accent5" w:themeShade="BF"/>
        </w:rPr>
        <w:t>Urgency of action</w:t>
      </w:r>
    </w:p>
    <w:p w14:paraId="28999C63" w14:textId="77777777" w:rsidR="006F5609" w:rsidRDefault="00A91B53" w:rsidP="00BD127A">
      <w:pPr>
        <w:rPr>
          <w:rFonts w:ascii="Verdana" w:eastAsiaTheme="minorEastAsia" w:hAnsi="Verdana"/>
        </w:rPr>
      </w:pPr>
      <w:r w:rsidRPr="006F5609">
        <w:rPr>
          <w:rFonts w:ascii="Verdana" w:eastAsiaTheme="minorEastAsia" w:hAnsi="Verdana"/>
        </w:rPr>
        <w:t xml:space="preserve">Urbanisation is occurring rapidly. While the impacts of </w:t>
      </w:r>
      <w:r w:rsidR="6A8A9D4D" w:rsidRPr="006F5609">
        <w:rPr>
          <w:rFonts w:ascii="Verdana" w:eastAsiaTheme="minorEastAsia" w:hAnsi="Verdana"/>
        </w:rPr>
        <w:t>C</w:t>
      </w:r>
      <w:r w:rsidRPr="006F5609">
        <w:rPr>
          <w:rFonts w:ascii="Verdana" w:eastAsiaTheme="minorEastAsia" w:hAnsi="Verdana"/>
        </w:rPr>
        <w:t xml:space="preserve">ovid-19 may have slowed growth in Victoria in the immediate term, housing development has not just continued, it has increased. The UDIA’s ‘State of the land report’ showed that the number of greenfield housing lots sold during 2020 were almost double the figure of 2019, and in the second half of 2020 were the highest since 2009 (UDIA, 2020).  </w:t>
      </w:r>
    </w:p>
    <w:p w14:paraId="3BC54D7A" w14:textId="77777777" w:rsidR="006F5609" w:rsidRDefault="00BA6B71" w:rsidP="00BD127A">
      <w:pPr>
        <w:rPr>
          <w:rFonts w:ascii="Verdana" w:eastAsiaTheme="minorEastAsia" w:hAnsi="Verdana"/>
        </w:rPr>
      </w:pPr>
      <w:r w:rsidRPr="006F5609">
        <w:rPr>
          <w:rFonts w:ascii="Verdana" w:hAnsi="Verdana"/>
        </w:rPr>
        <w:br/>
      </w:r>
      <w:r w:rsidR="00BD7783" w:rsidRPr="006F5609">
        <w:rPr>
          <w:rFonts w:ascii="Verdana" w:eastAsiaTheme="minorEastAsia" w:hAnsi="Verdana"/>
        </w:rPr>
        <w:t xml:space="preserve">Across the identified ‘priority areas’ for investment, there is </w:t>
      </w:r>
      <w:r w:rsidR="4AC727D8" w:rsidRPr="006F5609">
        <w:rPr>
          <w:rFonts w:ascii="Verdana" w:eastAsiaTheme="minorEastAsia" w:hAnsi="Verdana"/>
        </w:rPr>
        <w:t xml:space="preserve">already </w:t>
      </w:r>
      <w:r w:rsidR="00BD7783" w:rsidRPr="006F5609">
        <w:rPr>
          <w:rFonts w:ascii="Verdana" w:eastAsiaTheme="minorEastAsia" w:hAnsi="Verdana"/>
        </w:rPr>
        <w:t xml:space="preserve">rapid and expanding urban development occurring in both the Sunbury </w:t>
      </w:r>
      <w:r w:rsidR="00BD7783" w:rsidRPr="006F5609">
        <w:rPr>
          <w:rFonts w:ascii="Verdana" w:eastAsiaTheme="minorEastAsia" w:hAnsi="Verdana"/>
        </w:rPr>
        <w:lastRenderedPageBreak/>
        <w:t>(adjacent to Jacksons and Emu Creeks) and Northern (along Upper Merri Creek) Growth Corridors. In Sunbury, development applications have already been received for approximately 7,575 individual lots across 714 ha of development – this represents 25% of the total area of the PSPs gazetted in January 2019. In the Northern Growth Corridor</w:t>
      </w:r>
      <w:r w:rsidR="15997D47" w:rsidRPr="006F5609">
        <w:rPr>
          <w:rFonts w:ascii="Verdana" w:eastAsiaTheme="minorEastAsia" w:hAnsi="Verdana"/>
        </w:rPr>
        <w:t>, there are alread</w:t>
      </w:r>
      <w:r w:rsidR="21B729FD" w:rsidRPr="006F5609">
        <w:rPr>
          <w:rFonts w:ascii="Verdana" w:eastAsiaTheme="minorEastAsia" w:hAnsi="Verdana"/>
        </w:rPr>
        <w:t>y 20</w:t>
      </w:r>
      <w:r w:rsidR="4D1C8F5F" w:rsidRPr="006F5609">
        <w:rPr>
          <w:rFonts w:ascii="Verdana" w:eastAsiaTheme="minorEastAsia" w:hAnsi="Verdana"/>
        </w:rPr>
        <w:t xml:space="preserve"> completed and approved</w:t>
      </w:r>
      <w:r w:rsidR="21B729FD" w:rsidRPr="006F5609">
        <w:rPr>
          <w:rFonts w:ascii="Verdana" w:eastAsiaTheme="minorEastAsia" w:hAnsi="Verdana"/>
        </w:rPr>
        <w:t xml:space="preserve"> P</w:t>
      </w:r>
      <w:r w:rsidR="68A2F539" w:rsidRPr="006F5609">
        <w:rPr>
          <w:rFonts w:ascii="Verdana" w:eastAsiaTheme="minorEastAsia" w:hAnsi="Verdana"/>
        </w:rPr>
        <w:t xml:space="preserve">recinct </w:t>
      </w:r>
      <w:r w:rsidR="21B729FD" w:rsidRPr="006F5609">
        <w:rPr>
          <w:rFonts w:ascii="Verdana" w:eastAsiaTheme="minorEastAsia" w:hAnsi="Verdana"/>
        </w:rPr>
        <w:t>S</w:t>
      </w:r>
      <w:r w:rsidR="3A09D8A0" w:rsidRPr="006F5609">
        <w:rPr>
          <w:rFonts w:ascii="Verdana" w:eastAsiaTheme="minorEastAsia" w:hAnsi="Verdana"/>
        </w:rPr>
        <w:t xml:space="preserve">tructure </w:t>
      </w:r>
      <w:r w:rsidR="21B729FD" w:rsidRPr="006F5609">
        <w:rPr>
          <w:rFonts w:ascii="Verdana" w:eastAsiaTheme="minorEastAsia" w:hAnsi="Verdana"/>
        </w:rPr>
        <w:t>P</w:t>
      </w:r>
      <w:r w:rsidR="36EDDE10" w:rsidRPr="006F5609">
        <w:rPr>
          <w:rFonts w:ascii="Verdana" w:eastAsiaTheme="minorEastAsia" w:hAnsi="Verdana"/>
        </w:rPr>
        <w:t xml:space="preserve">lans adjacent to </w:t>
      </w:r>
      <w:r w:rsidR="21B729FD" w:rsidRPr="006F5609">
        <w:rPr>
          <w:rFonts w:ascii="Verdana" w:eastAsiaTheme="minorEastAsia" w:hAnsi="Verdana"/>
        </w:rPr>
        <w:t xml:space="preserve">Upper Merri Creek </w:t>
      </w:r>
      <w:r w:rsidR="4C774F75" w:rsidRPr="006F5609">
        <w:rPr>
          <w:rFonts w:ascii="Verdana" w:eastAsiaTheme="minorEastAsia" w:hAnsi="Verdana"/>
        </w:rPr>
        <w:t>and a</w:t>
      </w:r>
      <w:r w:rsidR="21B729FD" w:rsidRPr="006F5609">
        <w:rPr>
          <w:rFonts w:ascii="Verdana" w:eastAsiaTheme="minorEastAsia" w:hAnsi="Verdana"/>
        </w:rPr>
        <w:t>nother 6 are scheduled for completion within the next few years</w:t>
      </w:r>
      <w:r w:rsidR="58565B8B" w:rsidRPr="006F5609">
        <w:rPr>
          <w:rFonts w:ascii="Verdana" w:eastAsiaTheme="minorEastAsia" w:hAnsi="Verdana"/>
        </w:rPr>
        <w:t>. The</w:t>
      </w:r>
      <w:r w:rsidR="21B729FD" w:rsidRPr="006F5609">
        <w:rPr>
          <w:rFonts w:ascii="Verdana" w:eastAsiaTheme="minorEastAsia" w:hAnsi="Verdana"/>
        </w:rPr>
        <w:t xml:space="preserve"> 9 </w:t>
      </w:r>
      <w:r w:rsidR="618EBE9D" w:rsidRPr="006F5609">
        <w:rPr>
          <w:rFonts w:ascii="Verdana" w:eastAsiaTheme="minorEastAsia" w:hAnsi="Verdana"/>
        </w:rPr>
        <w:t>that are not yet underway</w:t>
      </w:r>
      <w:r w:rsidR="21B729FD" w:rsidRPr="006F5609">
        <w:rPr>
          <w:rFonts w:ascii="Verdana" w:eastAsiaTheme="minorEastAsia" w:hAnsi="Verdana"/>
        </w:rPr>
        <w:t xml:space="preserve"> will be developed under compressed </w:t>
      </w:r>
      <w:r w:rsidR="3FD9CFB7" w:rsidRPr="006F5609">
        <w:rPr>
          <w:rFonts w:ascii="Verdana" w:eastAsiaTheme="minorEastAsia" w:hAnsi="Verdana"/>
        </w:rPr>
        <w:t xml:space="preserve">State Government </w:t>
      </w:r>
      <w:r w:rsidR="21B729FD" w:rsidRPr="006F5609">
        <w:rPr>
          <w:rFonts w:ascii="Verdana" w:eastAsiaTheme="minorEastAsia" w:hAnsi="Verdana"/>
        </w:rPr>
        <w:t>timeframes</w:t>
      </w:r>
      <w:r w:rsidR="4640661B" w:rsidRPr="006F5609">
        <w:rPr>
          <w:rFonts w:ascii="Verdana" w:eastAsiaTheme="minorEastAsia" w:hAnsi="Verdana"/>
        </w:rPr>
        <w:t xml:space="preserve"> supporting Victoria’s Covid-19 response</w:t>
      </w:r>
      <w:r w:rsidR="21B729FD" w:rsidRPr="006F5609">
        <w:rPr>
          <w:rFonts w:ascii="Verdana" w:eastAsiaTheme="minorEastAsia" w:hAnsi="Verdana"/>
        </w:rPr>
        <w:t xml:space="preserve">. </w:t>
      </w:r>
      <w:r w:rsidR="3F5CCDF3" w:rsidRPr="006F5609">
        <w:rPr>
          <w:rFonts w:ascii="Verdana" w:eastAsiaTheme="minorEastAsia" w:hAnsi="Verdana"/>
        </w:rPr>
        <w:t>Further detail is included in the respective business cases.</w:t>
      </w:r>
    </w:p>
    <w:p w14:paraId="4259CD38" w14:textId="5B1426D8" w:rsidR="00954A9E" w:rsidRPr="006F5609" w:rsidRDefault="00BA6B71" w:rsidP="00BD127A">
      <w:pPr>
        <w:rPr>
          <w:rFonts w:ascii="Verdana" w:eastAsiaTheme="minorEastAsia" w:hAnsi="Verdana" w:cstheme="minorEastAsia"/>
        </w:rPr>
      </w:pPr>
      <w:r w:rsidRPr="006F5609">
        <w:rPr>
          <w:rFonts w:ascii="Verdana" w:hAnsi="Verdana"/>
        </w:rPr>
        <w:br/>
      </w:r>
      <w:r w:rsidR="6C535600" w:rsidRPr="006F5609">
        <w:rPr>
          <w:rFonts w:ascii="Verdana" w:eastAsiaTheme="minorEastAsia" w:hAnsi="Verdana"/>
        </w:rPr>
        <w:t>T</w:t>
      </w:r>
      <w:r w:rsidR="21B729FD" w:rsidRPr="006F5609">
        <w:rPr>
          <w:rFonts w:ascii="Verdana" w:eastAsiaTheme="minorEastAsia" w:hAnsi="Verdana"/>
        </w:rPr>
        <w:t>he opportunity to enable protection of waterways via large-scale stormwater harvesting schemes is closing at a very fast pace</w:t>
      </w:r>
      <w:r w:rsidR="5BFE82BB" w:rsidRPr="006F5609">
        <w:rPr>
          <w:rFonts w:ascii="Verdana" w:eastAsiaTheme="minorEastAsia" w:hAnsi="Verdana"/>
        </w:rPr>
        <w:t xml:space="preserve"> and i</w:t>
      </w:r>
      <w:r w:rsidR="00954A9E" w:rsidRPr="006F5609">
        <w:rPr>
          <w:rFonts w:ascii="Verdana" w:eastAsiaTheme="minorEastAsia" w:hAnsi="Verdana"/>
        </w:rPr>
        <w:t xml:space="preserve">t is necessary to invest in proposed infrastructure now, </w:t>
      </w:r>
      <w:r w:rsidR="49DB5D6A" w:rsidRPr="006F5609">
        <w:rPr>
          <w:rFonts w:ascii="Verdana" w:eastAsiaTheme="minorEastAsia" w:hAnsi="Verdana"/>
        </w:rPr>
        <w:t>to</w:t>
      </w:r>
      <w:r w:rsidR="00954A9E" w:rsidRPr="006F5609">
        <w:rPr>
          <w:rFonts w:ascii="Verdana" w:eastAsiaTheme="minorEastAsia" w:hAnsi="Verdana"/>
        </w:rPr>
        <w:t xml:space="preserve"> prevent decline. It is</w:t>
      </w:r>
      <w:r w:rsidRPr="006F5609">
        <w:rPr>
          <w:rFonts w:ascii="Verdana" w:eastAsiaTheme="minorEastAsia" w:hAnsi="Verdana"/>
        </w:rPr>
        <w:t xml:space="preserve"> also</w:t>
      </w:r>
      <w:r w:rsidR="00954A9E" w:rsidRPr="006F5609">
        <w:rPr>
          <w:rFonts w:ascii="Verdana" w:eastAsiaTheme="minorEastAsia" w:hAnsi="Verdana"/>
        </w:rPr>
        <w:t xml:space="preserve"> much more efficient to invest to </w:t>
      </w:r>
      <w:r w:rsidR="00954A9E" w:rsidRPr="006F5609">
        <w:rPr>
          <w:rFonts w:ascii="Verdana" w:eastAsiaTheme="minorEastAsia" w:hAnsi="Verdana"/>
          <w:i/>
          <w:iCs/>
        </w:rPr>
        <w:t>prevent</w:t>
      </w:r>
      <w:r w:rsidR="000A7F93">
        <w:rPr>
          <w:rFonts w:ascii="Verdana" w:eastAsiaTheme="minorEastAsia" w:hAnsi="Verdana"/>
        </w:rPr>
        <w:t xml:space="preserve"> waterway decline than</w:t>
      </w:r>
      <w:r w:rsidR="00954A9E" w:rsidRPr="006F5609">
        <w:rPr>
          <w:rFonts w:ascii="Verdana" w:eastAsiaTheme="minorEastAsia" w:hAnsi="Verdana"/>
        </w:rPr>
        <w:t xml:space="preserve"> to restore a</w:t>
      </w:r>
      <w:r w:rsidRPr="006F5609">
        <w:rPr>
          <w:rFonts w:ascii="Verdana" w:eastAsiaTheme="minorEastAsia" w:hAnsi="Verdana"/>
        </w:rPr>
        <w:t xml:space="preserve"> damaged</w:t>
      </w:r>
      <w:r w:rsidR="00954A9E" w:rsidRPr="006F5609">
        <w:rPr>
          <w:rFonts w:ascii="Verdana" w:eastAsiaTheme="minorEastAsia" w:hAnsi="Verdana"/>
        </w:rPr>
        <w:t xml:space="preserve"> waterway, and restoration may not even be possible.  </w:t>
      </w:r>
    </w:p>
    <w:p w14:paraId="038AE583" w14:textId="77777777" w:rsidR="00BD7783" w:rsidRPr="006F5609" w:rsidRDefault="00BD7783" w:rsidP="00BD127A">
      <w:pPr>
        <w:pStyle w:val="ListParagraph"/>
        <w:spacing w:after="0"/>
        <w:rPr>
          <w:rFonts w:ascii="Verdana" w:eastAsiaTheme="minorEastAsia" w:hAnsi="Verdana" w:cstheme="minorHAnsi"/>
          <w:i/>
          <w:color w:val="2F5496" w:themeColor="accent5" w:themeShade="BF"/>
          <w:sz w:val="24"/>
          <w:szCs w:val="24"/>
        </w:rPr>
      </w:pPr>
    </w:p>
    <w:p w14:paraId="27F3121E" w14:textId="4FCAA985" w:rsidR="006F5609" w:rsidRPr="00BD127A" w:rsidRDefault="00BD127A" w:rsidP="00BD127A">
      <w:pPr>
        <w:rPr>
          <w:rFonts w:ascii="Verdana" w:eastAsiaTheme="minorEastAsia" w:hAnsi="Verdana"/>
          <w:bCs/>
          <w:i/>
          <w:color w:val="2F5496" w:themeColor="accent5" w:themeShade="BF"/>
        </w:rPr>
      </w:pPr>
      <w:r>
        <w:rPr>
          <w:rFonts w:ascii="Verdana" w:eastAsiaTheme="minorEastAsia" w:hAnsi="Verdana"/>
          <w:bCs/>
          <w:i/>
          <w:color w:val="2F5496" w:themeColor="accent5" w:themeShade="BF"/>
        </w:rPr>
        <w:t>Customer support</w:t>
      </w:r>
    </w:p>
    <w:p w14:paraId="075A8F93" w14:textId="7679565D" w:rsidR="0019068B" w:rsidRPr="006F5609" w:rsidRDefault="00954A9E" w:rsidP="00BD127A">
      <w:pPr>
        <w:rPr>
          <w:rFonts w:ascii="Verdana" w:eastAsiaTheme="minorEastAsia" w:hAnsi="Verdana"/>
        </w:rPr>
      </w:pPr>
      <w:r w:rsidRPr="006F5609">
        <w:rPr>
          <w:rFonts w:ascii="Verdana" w:eastAsiaTheme="minorEastAsia" w:hAnsi="Verdana"/>
        </w:rPr>
        <w:t>Whilst the program drivers relate to Melbourne Water’s obligations, community concern regarding the impact of stormwater on waterway levels of service is clear, and strong customer feedback is supportive of the proposed expenditure. This includes</w:t>
      </w:r>
      <w:r w:rsidR="0019068B" w:rsidRPr="006F5609">
        <w:rPr>
          <w:rFonts w:ascii="Verdana" w:eastAsiaTheme="minorEastAsia" w:hAnsi="Verdana"/>
        </w:rPr>
        <w:t>:</w:t>
      </w:r>
    </w:p>
    <w:p w14:paraId="2A94DE13" w14:textId="77777777" w:rsidR="0019068B" w:rsidRPr="006F5609"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sz w:val="24"/>
          <w:szCs w:val="24"/>
        </w:rPr>
        <w:t>Co-development of the Healthy Waterway Strategy (2018) by 222 community groups and more than 600 individual community members, including development of stormwater harvesting and infiltration targets;</w:t>
      </w:r>
    </w:p>
    <w:p w14:paraId="2C183D52" w14:textId="18181979" w:rsidR="0019068B" w:rsidRPr="006F5609"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sz w:val="24"/>
          <w:szCs w:val="24"/>
        </w:rPr>
        <w:t>Ten percent of submissions to the Draft Yarra Strategic Plan reinforced the need for stronger action on waterway health and water quality resulting in the addition of specific content and actions in addition to those in the HWS Yarra Catchment Plan</w:t>
      </w:r>
      <w:r w:rsidR="00065088">
        <w:rPr>
          <w:rFonts w:ascii="Verdana" w:eastAsiaTheme="minorEastAsia" w:hAnsi="Verdana" w:cstheme="minorHAnsi"/>
          <w:sz w:val="24"/>
          <w:szCs w:val="24"/>
        </w:rPr>
        <w:t>;</w:t>
      </w:r>
    </w:p>
    <w:p w14:paraId="18290756" w14:textId="51ACDAE8" w:rsidR="00CD138E"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sz w:val="24"/>
          <w:szCs w:val="24"/>
        </w:rPr>
        <w:t>Melbourne Water’s biennial Perceptions of Waterways survey has seen a 50% growth (between 2016 and 2020) of community recognition of urban d</w:t>
      </w:r>
      <w:r w:rsidR="00CD138E">
        <w:rPr>
          <w:rFonts w:ascii="Verdana" w:eastAsiaTheme="minorEastAsia" w:hAnsi="Verdana" w:cstheme="minorHAnsi"/>
          <w:sz w:val="24"/>
          <w:szCs w:val="24"/>
        </w:rPr>
        <w:t xml:space="preserve">evelopment impacts on waterways; </w:t>
      </w:r>
    </w:p>
    <w:p w14:paraId="38F53208" w14:textId="5117C68E" w:rsidR="0019068B" w:rsidRPr="006F5609"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sz w:val="24"/>
          <w:szCs w:val="24"/>
        </w:rPr>
        <w:t xml:space="preserve">Qualitative research for Melbourne Water exploring community perceptions, expectations, values, and preferences relating to the Waterways and Drainage Charge  found communities highly supportive of increased stormwater harvesting, reflecting a sensitivity to waste and water security concerns in the context of climate change and population growth; </w:t>
      </w:r>
    </w:p>
    <w:p w14:paraId="318D1C12" w14:textId="6F95F25F" w:rsidR="0019068B" w:rsidRPr="006F5609"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sz w:val="24"/>
          <w:szCs w:val="24"/>
        </w:rPr>
        <w:t>The Waterways and Drainage Customer Council emphasised stormwater as a priority for the Waterways and Drainage Investment Plan</w:t>
      </w:r>
      <w:r w:rsidR="00065088">
        <w:rPr>
          <w:rFonts w:ascii="Verdana" w:eastAsiaTheme="minorEastAsia" w:hAnsi="Verdana" w:cstheme="minorHAnsi"/>
          <w:sz w:val="24"/>
          <w:szCs w:val="24"/>
        </w:rPr>
        <w:t>;</w:t>
      </w:r>
    </w:p>
    <w:p w14:paraId="0D7ABD1A" w14:textId="5A8A597C" w:rsidR="0019068B" w:rsidRPr="006F5609"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sz w:val="24"/>
          <w:szCs w:val="24"/>
        </w:rPr>
        <w:t>A poll of the Community Deliberative Panel showed 74% strongly support</w:t>
      </w:r>
      <w:r w:rsidR="00CD138E">
        <w:rPr>
          <w:rFonts w:ascii="Verdana" w:eastAsiaTheme="minorEastAsia" w:hAnsi="Verdana" w:cstheme="minorHAnsi"/>
          <w:sz w:val="24"/>
          <w:szCs w:val="24"/>
        </w:rPr>
        <w:t>ed</w:t>
      </w:r>
      <w:r w:rsidRPr="006F5609">
        <w:rPr>
          <w:rFonts w:ascii="Verdana" w:eastAsiaTheme="minorEastAsia" w:hAnsi="Verdana" w:cstheme="minorHAnsi"/>
          <w:sz w:val="24"/>
          <w:szCs w:val="24"/>
        </w:rPr>
        <w:t xml:space="preserve"> Stormwater Harvesting in local and new developments </w:t>
      </w:r>
      <w:r w:rsidRPr="006F5609">
        <w:rPr>
          <w:rFonts w:ascii="Verdana" w:eastAsiaTheme="minorEastAsia" w:hAnsi="Verdana" w:cstheme="minorHAnsi"/>
          <w:sz w:val="24"/>
          <w:szCs w:val="24"/>
        </w:rPr>
        <w:lastRenderedPageBreak/>
        <w:t>(23% supported) and the majority (64%) saw the need to act rapidly.</w:t>
      </w:r>
    </w:p>
    <w:p w14:paraId="49A45004" w14:textId="77777777" w:rsidR="00BD7783" w:rsidRPr="006F5609" w:rsidRDefault="00BD7783" w:rsidP="00BD127A">
      <w:pPr>
        <w:pStyle w:val="ListParagraph"/>
        <w:spacing w:after="0"/>
        <w:ind w:left="1440"/>
        <w:rPr>
          <w:rFonts w:ascii="Verdana" w:eastAsiaTheme="minorEastAsia" w:hAnsi="Verdana" w:cstheme="minorHAnsi"/>
          <w:sz w:val="24"/>
          <w:szCs w:val="24"/>
        </w:rPr>
      </w:pPr>
    </w:p>
    <w:p w14:paraId="7B657BD1" w14:textId="32EAA289" w:rsidR="006F5609" w:rsidRPr="00BD127A" w:rsidRDefault="00BD7783" w:rsidP="00BD127A">
      <w:pPr>
        <w:rPr>
          <w:rFonts w:ascii="Verdana" w:eastAsiaTheme="minorEastAsia" w:hAnsi="Verdana"/>
          <w:bCs/>
          <w:i/>
          <w:color w:val="2F5496" w:themeColor="accent5" w:themeShade="BF"/>
        </w:rPr>
      </w:pPr>
      <w:r w:rsidRPr="006F5609">
        <w:rPr>
          <w:rFonts w:ascii="Verdana" w:eastAsiaTheme="minorEastAsia" w:hAnsi="Verdana"/>
          <w:bCs/>
          <w:i/>
          <w:color w:val="2F5496" w:themeColor="accent5" w:themeShade="BF"/>
        </w:rPr>
        <w:t>A</w:t>
      </w:r>
      <w:r w:rsidR="00BD127A">
        <w:rPr>
          <w:rFonts w:ascii="Verdana" w:eastAsiaTheme="minorEastAsia" w:hAnsi="Verdana"/>
          <w:bCs/>
          <w:i/>
          <w:color w:val="2F5496" w:themeColor="accent5" w:themeShade="BF"/>
        </w:rPr>
        <w:t>lignment with government policy</w:t>
      </w:r>
    </w:p>
    <w:p w14:paraId="63E201FB" w14:textId="4CDDFDFC" w:rsidR="0019068B" w:rsidRPr="006F5609" w:rsidRDefault="0019068B" w:rsidP="00BD127A">
      <w:pPr>
        <w:rPr>
          <w:rFonts w:ascii="Verdana" w:eastAsiaTheme="minorEastAsia" w:hAnsi="Verdana"/>
        </w:rPr>
      </w:pPr>
      <w:r w:rsidRPr="006F5609">
        <w:rPr>
          <w:rFonts w:ascii="Verdana" w:eastAsiaTheme="minorEastAsia" w:hAnsi="Verdana"/>
        </w:rPr>
        <w:t xml:space="preserve">The proposed program of investment also directly aligns with government policy, including: </w:t>
      </w:r>
    </w:p>
    <w:p w14:paraId="7072E3AE" w14:textId="77777777" w:rsidR="0019068B" w:rsidRPr="006F5609"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i/>
          <w:sz w:val="24"/>
          <w:szCs w:val="24"/>
        </w:rPr>
        <w:t>Victorian Waterway Management Strategy, Improving Our Waterways (2013).</w:t>
      </w:r>
      <w:r w:rsidRPr="006F5609">
        <w:rPr>
          <w:rFonts w:ascii="Verdana" w:eastAsiaTheme="minorEastAsia" w:hAnsi="Verdana" w:cstheme="minorHAnsi"/>
          <w:sz w:val="24"/>
          <w:szCs w:val="24"/>
        </w:rPr>
        <w:t xml:space="preserve"> The overarching objective of the strategy is to maintain or improve the environmental condition of waterways to support environmental, social, cultural and economic values. Management activities will focus on maintaining or improving the environmental condition of priority waterways to provide public benefits. Melbourne Water’s Statement of Obligation (2015) requires Melbourne Water to take this Strategy into consideration in delivery of its services.</w:t>
      </w:r>
    </w:p>
    <w:p w14:paraId="029580D4" w14:textId="77777777" w:rsidR="0019068B" w:rsidRPr="006F5609"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i/>
          <w:sz w:val="24"/>
          <w:szCs w:val="24"/>
        </w:rPr>
        <w:t>Water for Victoria (DELWP, 2016)</w:t>
      </w:r>
      <w:r w:rsidRPr="006F5609">
        <w:rPr>
          <w:rFonts w:ascii="Verdana" w:eastAsiaTheme="minorEastAsia" w:hAnsi="Verdana" w:cstheme="minorHAnsi"/>
          <w:sz w:val="24"/>
          <w:szCs w:val="24"/>
        </w:rPr>
        <w:t xml:space="preserve"> sets the State Government’s long-term direction for managing Victoria's water resources. Its specific objectives include protecting waterways and their catchments from the adverse impacts of future human use and improving the health of priority waterways and their catchments to support our environmental, social, cultural and economic needs and values now and into the future. It also aims to transform Victorian cities and towns into the most resilient and liveable in the world, including all elements of the urban water cycle in the way we plan and manage water so that Victorian communities can continue to thrive in all climates.  </w:t>
      </w:r>
    </w:p>
    <w:p w14:paraId="785269F7" w14:textId="39B962F6" w:rsidR="0019068B" w:rsidRPr="006F5609" w:rsidRDefault="0019068B" w:rsidP="00BD127A">
      <w:pPr>
        <w:pStyle w:val="ListParagraph"/>
        <w:numPr>
          <w:ilvl w:val="1"/>
          <w:numId w:val="34"/>
        </w:numPr>
        <w:spacing w:after="0"/>
        <w:ind w:left="567"/>
        <w:rPr>
          <w:rFonts w:ascii="Verdana" w:eastAsiaTheme="minorEastAsia" w:hAnsi="Verdana" w:cstheme="minorHAnsi"/>
          <w:sz w:val="24"/>
          <w:szCs w:val="24"/>
        </w:rPr>
      </w:pPr>
      <w:r w:rsidRPr="006F5609">
        <w:rPr>
          <w:rFonts w:ascii="Verdana" w:eastAsiaTheme="minorEastAsia" w:hAnsi="Verdana" w:cstheme="minorHAnsi"/>
          <w:i/>
          <w:sz w:val="24"/>
          <w:szCs w:val="24"/>
        </w:rPr>
        <w:t>Waterways of the West Action Plan (DELWP, 2018)</w:t>
      </w:r>
      <w:r w:rsidRPr="006F5609">
        <w:rPr>
          <w:rFonts w:ascii="Verdana" w:eastAsiaTheme="minorEastAsia" w:hAnsi="Verdana" w:cstheme="minorHAnsi"/>
          <w:sz w:val="24"/>
          <w:szCs w:val="24"/>
        </w:rPr>
        <w:t xml:space="preserve"> – community led approach to protecting Melbourne’s western waterways for generations to come, highlight</w:t>
      </w:r>
      <w:r w:rsidR="00F11940">
        <w:rPr>
          <w:rFonts w:ascii="Verdana" w:eastAsiaTheme="minorEastAsia" w:hAnsi="Verdana" w:cstheme="minorHAnsi"/>
          <w:sz w:val="24"/>
          <w:szCs w:val="24"/>
        </w:rPr>
        <w:t>s</w:t>
      </w:r>
      <w:r w:rsidRPr="006F5609">
        <w:rPr>
          <w:rFonts w:ascii="Verdana" w:eastAsiaTheme="minorEastAsia" w:hAnsi="Verdana" w:cstheme="minorHAnsi"/>
          <w:sz w:val="24"/>
          <w:szCs w:val="24"/>
        </w:rPr>
        <w:t xml:space="preserve"> that waterways are essential to the liveability of local neighbourhoods, community health and the broader environment.</w:t>
      </w:r>
    </w:p>
    <w:p w14:paraId="0CB8269D" w14:textId="7CD16137" w:rsidR="0019068B" w:rsidRPr="006F5609" w:rsidRDefault="0019068B" w:rsidP="00BD127A">
      <w:pPr>
        <w:rPr>
          <w:rFonts w:ascii="Verdana" w:eastAsiaTheme="minorEastAsia" w:hAnsi="Verdana" w:cstheme="minorHAnsi"/>
        </w:rPr>
      </w:pPr>
    </w:p>
    <w:p w14:paraId="743C39AA" w14:textId="7362C7E5" w:rsidR="009E552B" w:rsidRPr="006F5609" w:rsidRDefault="006E7536" w:rsidP="00BD127A">
      <w:pPr>
        <w:rPr>
          <w:rFonts w:ascii="Verdana" w:eastAsiaTheme="minorEastAsia" w:hAnsi="Verdana" w:cstheme="minorHAnsi"/>
        </w:rPr>
      </w:pPr>
      <w:r w:rsidRPr="006F5609">
        <w:rPr>
          <w:rFonts w:ascii="Verdana" w:eastAsiaTheme="minorEastAsia" w:hAnsi="Verdana" w:cstheme="minorHAnsi"/>
        </w:rPr>
        <w:t>As demonstrated,</w:t>
      </w:r>
      <w:r w:rsidR="00BA5EC4" w:rsidRPr="006F5609">
        <w:rPr>
          <w:rFonts w:ascii="Verdana" w:eastAsiaTheme="minorEastAsia" w:hAnsi="Verdana" w:cstheme="minorHAnsi"/>
        </w:rPr>
        <w:t xml:space="preserve"> there is a clear need for Melbourne Water to respond </w:t>
      </w:r>
      <w:r w:rsidR="00343A2F" w:rsidRPr="006F5609">
        <w:rPr>
          <w:rFonts w:ascii="Verdana" w:eastAsiaTheme="minorEastAsia" w:hAnsi="Verdana" w:cstheme="minorHAnsi"/>
        </w:rPr>
        <w:t>to</w:t>
      </w:r>
      <w:r w:rsidR="00181744" w:rsidRPr="006F5609">
        <w:rPr>
          <w:rFonts w:ascii="Verdana" w:eastAsiaTheme="minorEastAsia" w:hAnsi="Verdana" w:cstheme="minorHAnsi"/>
        </w:rPr>
        <w:t xml:space="preserve"> declining waterway health.  Any response relates to maintaining waterway health, consistent with MW’s legislative and regulatory obligations</w:t>
      </w:r>
      <w:r w:rsidR="00AF7DF7" w:rsidRPr="006F5609">
        <w:rPr>
          <w:rFonts w:ascii="Verdana" w:eastAsiaTheme="minorEastAsia" w:hAnsi="Verdana" w:cstheme="minorHAnsi"/>
        </w:rPr>
        <w:t>.</w:t>
      </w:r>
    </w:p>
    <w:p w14:paraId="2F9B943A" w14:textId="7E924E9B" w:rsidR="00AF7DF7" w:rsidRPr="006F5609" w:rsidRDefault="00AF7DF7" w:rsidP="009E552B">
      <w:pPr>
        <w:rPr>
          <w:rFonts w:ascii="Verdana" w:eastAsiaTheme="minorEastAsia" w:hAnsi="Verdana" w:cstheme="minorHAnsi"/>
        </w:rPr>
      </w:pPr>
    </w:p>
    <w:p w14:paraId="5D96696F" w14:textId="77777777" w:rsidR="00065088" w:rsidRDefault="00065088" w:rsidP="209EA308">
      <w:pPr>
        <w:rPr>
          <w:rFonts w:ascii="Verdana" w:eastAsiaTheme="minorEastAsia" w:hAnsi="Verdana" w:cstheme="minorBidi"/>
          <w:b/>
          <w:bCs/>
          <w:color w:val="2F5496" w:themeColor="accent5" w:themeShade="BF"/>
        </w:rPr>
      </w:pPr>
    </w:p>
    <w:p w14:paraId="4DDE92D5" w14:textId="45D8AD40" w:rsidR="00AF7DF7" w:rsidRPr="006F5609" w:rsidRDefault="00AF7DF7" w:rsidP="209EA308">
      <w:pPr>
        <w:rPr>
          <w:rFonts w:ascii="Verdana" w:eastAsiaTheme="minorEastAsia" w:hAnsi="Verdana" w:cstheme="minorBidi"/>
          <w:b/>
          <w:bCs/>
          <w:color w:val="2F5496" w:themeColor="accent5" w:themeShade="BF"/>
        </w:rPr>
      </w:pPr>
      <w:r w:rsidRPr="006F5609">
        <w:rPr>
          <w:rFonts w:ascii="Verdana" w:eastAsiaTheme="minorEastAsia" w:hAnsi="Verdana" w:cstheme="minorBidi"/>
          <w:b/>
          <w:bCs/>
          <w:color w:val="2F5496" w:themeColor="accent5" w:themeShade="BF"/>
        </w:rPr>
        <w:t xml:space="preserve">Demonstrating </w:t>
      </w:r>
      <w:r w:rsidR="00466C2A" w:rsidRPr="006F5609">
        <w:rPr>
          <w:rFonts w:ascii="Verdana" w:eastAsiaTheme="minorEastAsia" w:hAnsi="Verdana" w:cstheme="minorBidi"/>
          <w:b/>
          <w:bCs/>
          <w:color w:val="2F5496" w:themeColor="accent5" w:themeShade="BF"/>
        </w:rPr>
        <w:t>net benefits</w:t>
      </w:r>
    </w:p>
    <w:p w14:paraId="57E47FDF" w14:textId="77777777" w:rsidR="00BD127A" w:rsidRDefault="00BD127A" w:rsidP="494674E9">
      <w:pPr>
        <w:rPr>
          <w:rFonts w:ascii="Verdana" w:eastAsiaTheme="minorEastAsia" w:hAnsi="Verdana" w:cstheme="minorBidi"/>
        </w:rPr>
      </w:pPr>
    </w:p>
    <w:p w14:paraId="4D56E85F" w14:textId="0DCEF6F3" w:rsidR="00AF7DF7" w:rsidRPr="006F5609" w:rsidRDefault="0015653C" w:rsidP="494674E9">
      <w:pPr>
        <w:rPr>
          <w:rFonts w:ascii="Verdana" w:eastAsiaTheme="minorEastAsia" w:hAnsi="Verdana" w:cstheme="minorBidi"/>
        </w:rPr>
      </w:pPr>
      <w:r w:rsidRPr="006F5609">
        <w:rPr>
          <w:rFonts w:ascii="Verdana" w:eastAsiaTheme="minorEastAsia" w:hAnsi="Verdana" w:cstheme="minorBidi"/>
        </w:rPr>
        <w:t xml:space="preserve">It is our understanding that the basis for </w:t>
      </w:r>
      <w:r w:rsidR="35DDA080" w:rsidRPr="006F5609">
        <w:rPr>
          <w:rFonts w:ascii="Verdana" w:eastAsiaTheme="minorEastAsia" w:hAnsi="Verdana" w:cstheme="minorBidi"/>
        </w:rPr>
        <w:t>DAE’s</w:t>
      </w:r>
      <w:r w:rsidRPr="006F5609">
        <w:rPr>
          <w:rFonts w:ascii="Verdana" w:eastAsiaTheme="minorEastAsia" w:hAnsi="Verdana" w:cstheme="minorBidi"/>
        </w:rPr>
        <w:t xml:space="preserve"> concern was that there was no clear driver, hence MW would need to demonstrate</w:t>
      </w:r>
      <w:r w:rsidRPr="006F5609" w:rsidDel="0015653C">
        <w:rPr>
          <w:rFonts w:ascii="Verdana" w:eastAsiaTheme="minorEastAsia" w:hAnsi="Verdana" w:cstheme="minorBidi"/>
        </w:rPr>
        <w:t xml:space="preserve"> </w:t>
      </w:r>
      <w:r w:rsidRPr="006F5609">
        <w:rPr>
          <w:rFonts w:ascii="Verdana" w:eastAsiaTheme="minorEastAsia" w:hAnsi="Verdana" w:cstheme="minorBidi"/>
        </w:rPr>
        <w:t>net benefits delivered to customers to justify additional expenditure.</w:t>
      </w:r>
    </w:p>
    <w:p w14:paraId="3B4B8236" w14:textId="5ACF33B2" w:rsidR="0015653C" w:rsidRPr="006F5609" w:rsidRDefault="0015653C" w:rsidP="009E552B">
      <w:pPr>
        <w:rPr>
          <w:rFonts w:ascii="Verdana" w:eastAsiaTheme="minorEastAsia" w:hAnsi="Verdana" w:cstheme="minorHAnsi"/>
        </w:rPr>
      </w:pPr>
    </w:p>
    <w:p w14:paraId="59FF2AF3" w14:textId="156D7AAF" w:rsidR="0015653C" w:rsidRPr="006F5609" w:rsidRDefault="00EE6CA9" w:rsidP="494674E9">
      <w:pPr>
        <w:rPr>
          <w:rFonts w:ascii="Verdana" w:eastAsiaTheme="minorEastAsia" w:hAnsi="Verdana" w:cstheme="minorBidi"/>
        </w:rPr>
      </w:pPr>
      <w:r w:rsidRPr="006F5609">
        <w:rPr>
          <w:rFonts w:ascii="Verdana" w:eastAsiaTheme="minorEastAsia" w:hAnsi="Verdana" w:cstheme="minorBidi"/>
        </w:rPr>
        <w:t xml:space="preserve">As </w:t>
      </w:r>
      <w:r w:rsidR="006E0AAA" w:rsidRPr="006F5609">
        <w:rPr>
          <w:rFonts w:ascii="Verdana" w:eastAsiaTheme="minorEastAsia" w:hAnsi="Verdana" w:cstheme="minorBidi"/>
        </w:rPr>
        <w:t>evidenced</w:t>
      </w:r>
      <w:r w:rsidRPr="006F5609">
        <w:rPr>
          <w:rFonts w:ascii="Verdana" w:eastAsiaTheme="minorEastAsia" w:hAnsi="Verdana" w:cstheme="minorBidi"/>
        </w:rPr>
        <w:t xml:space="preserve"> </w:t>
      </w:r>
      <w:r w:rsidR="00E04AA0" w:rsidRPr="006F5609">
        <w:rPr>
          <w:rFonts w:ascii="Verdana" w:eastAsiaTheme="minorEastAsia" w:hAnsi="Verdana" w:cstheme="minorBidi"/>
        </w:rPr>
        <w:t>above</w:t>
      </w:r>
      <w:r w:rsidR="0091405F" w:rsidRPr="006F5609">
        <w:rPr>
          <w:rFonts w:ascii="Verdana" w:eastAsiaTheme="minorEastAsia" w:hAnsi="Verdana" w:cstheme="minorBidi"/>
        </w:rPr>
        <w:t xml:space="preserve">, </w:t>
      </w:r>
      <w:r w:rsidR="00E04AA0" w:rsidRPr="006F5609">
        <w:rPr>
          <w:rFonts w:ascii="Verdana" w:eastAsiaTheme="minorEastAsia" w:hAnsi="Verdana" w:cstheme="minorBidi"/>
        </w:rPr>
        <w:t xml:space="preserve">the drivers for this program are to maintain the delivery of waterway health consistent with MW’s legislative and </w:t>
      </w:r>
      <w:r w:rsidR="00E04AA0" w:rsidRPr="006F5609">
        <w:rPr>
          <w:rFonts w:ascii="Verdana" w:eastAsiaTheme="minorEastAsia" w:hAnsi="Verdana" w:cstheme="minorBidi"/>
        </w:rPr>
        <w:lastRenderedPageBreak/>
        <w:t>regulatory obligations.</w:t>
      </w:r>
      <w:r w:rsidR="009544CD" w:rsidRPr="006F5609">
        <w:rPr>
          <w:rFonts w:ascii="Verdana" w:eastAsiaTheme="minorEastAsia" w:hAnsi="Verdana" w:cstheme="minorBidi"/>
        </w:rPr>
        <w:t xml:space="preserve"> </w:t>
      </w:r>
      <w:r w:rsidR="2963D1CC" w:rsidRPr="006F5609">
        <w:rPr>
          <w:rFonts w:ascii="Verdana" w:eastAsiaTheme="minorEastAsia" w:hAnsi="Verdana" w:cstheme="minorBidi"/>
        </w:rPr>
        <w:t xml:space="preserve">Given this, Melbourne Water is </w:t>
      </w:r>
      <w:r w:rsidR="009544CD" w:rsidRPr="006F5609">
        <w:rPr>
          <w:rFonts w:ascii="Verdana" w:eastAsiaTheme="minorEastAsia" w:hAnsi="Verdana" w:cstheme="minorBidi"/>
        </w:rPr>
        <w:t xml:space="preserve">required to </w:t>
      </w:r>
      <w:r w:rsidR="0F4DAED7" w:rsidRPr="006F5609">
        <w:rPr>
          <w:rFonts w:ascii="Verdana" w:eastAsiaTheme="minorEastAsia" w:hAnsi="Verdana" w:cstheme="minorBidi"/>
        </w:rPr>
        <w:t>adopt</w:t>
      </w:r>
      <w:r w:rsidR="009544CD" w:rsidRPr="006F5609">
        <w:rPr>
          <w:rFonts w:ascii="Verdana" w:eastAsiaTheme="minorEastAsia" w:hAnsi="Verdana" w:cstheme="minorBidi"/>
        </w:rPr>
        <w:t xml:space="preserve"> </w:t>
      </w:r>
      <w:r w:rsidR="002748AB" w:rsidRPr="006F5609">
        <w:rPr>
          <w:rFonts w:ascii="Verdana" w:eastAsiaTheme="minorEastAsia" w:hAnsi="Verdana" w:cstheme="minorBidi"/>
        </w:rPr>
        <w:t>the most efficient</w:t>
      </w:r>
      <w:r w:rsidR="006E0AAA" w:rsidRPr="006F5609">
        <w:rPr>
          <w:rFonts w:ascii="Verdana" w:eastAsiaTheme="minorEastAsia" w:hAnsi="Verdana" w:cstheme="minorBidi"/>
        </w:rPr>
        <w:t xml:space="preserve"> and least cost</w:t>
      </w:r>
      <w:r w:rsidR="002748AB" w:rsidRPr="006F5609">
        <w:rPr>
          <w:rFonts w:ascii="Verdana" w:eastAsiaTheme="minorEastAsia" w:hAnsi="Verdana" w:cstheme="minorBidi"/>
        </w:rPr>
        <w:t xml:space="preserve"> </w:t>
      </w:r>
      <w:r w:rsidR="2963D1CC" w:rsidRPr="006F5609">
        <w:rPr>
          <w:rFonts w:ascii="Verdana" w:eastAsiaTheme="minorEastAsia" w:hAnsi="Verdana" w:cstheme="minorBidi"/>
        </w:rPr>
        <w:t xml:space="preserve">benefit </w:t>
      </w:r>
      <w:r w:rsidR="002748AB" w:rsidRPr="006F5609">
        <w:rPr>
          <w:rFonts w:ascii="Verdana" w:eastAsiaTheme="minorEastAsia" w:hAnsi="Verdana" w:cstheme="minorBidi"/>
        </w:rPr>
        <w:t>solution to deliver the outcome.</w:t>
      </w:r>
      <w:r w:rsidR="2963D1CC" w:rsidRPr="006F5609">
        <w:rPr>
          <w:rFonts w:ascii="Verdana" w:eastAsiaTheme="minorEastAsia" w:hAnsi="Verdana" w:cstheme="minorBidi"/>
        </w:rPr>
        <w:t xml:space="preserve"> </w:t>
      </w:r>
      <w:r w:rsidR="2963D1CC" w:rsidRPr="00F11940">
        <w:rPr>
          <w:rFonts w:ascii="Verdana" w:eastAsiaTheme="minorEastAsia" w:hAnsi="Verdana" w:cstheme="minorBidi"/>
          <w:highlight w:val="yellow"/>
        </w:rPr>
        <w:t>While net benefit to customers is clearly our intent, this is not the focus of assessment for funding under the ESC framework</w:t>
      </w:r>
      <w:r w:rsidR="2963D1CC" w:rsidRPr="006F5609">
        <w:rPr>
          <w:rFonts w:ascii="Verdana" w:eastAsiaTheme="minorEastAsia" w:hAnsi="Verdana" w:cstheme="minorBidi"/>
        </w:rPr>
        <w:t xml:space="preserve">. </w:t>
      </w:r>
      <w:r w:rsidR="009544CD" w:rsidRPr="006F5609">
        <w:rPr>
          <w:rFonts w:ascii="Verdana" w:eastAsiaTheme="minorEastAsia" w:hAnsi="Verdana" w:cstheme="minorBidi"/>
        </w:rPr>
        <w:t xml:space="preserve"> </w:t>
      </w:r>
    </w:p>
    <w:p w14:paraId="4253C7BE" w14:textId="4A7761B4" w:rsidR="00630F0F" w:rsidRPr="006F5609" w:rsidRDefault="00630F0F" w:rsidP="009E552B">
      <w:pPr>
        <w:rPr>
          <w:rFonts w:ascii="Verdana" w:eastAsiaTheme="minorEastAsia" w:hAnsi="Verdana" w:cstheme="minorHAnsi"/>
        </w:rPr>
      </w:pPr>
    </w:p>
    <w:p w14:paraId="5D5E3E19" w14:textId="77777777" w:rsidR="00630F0F" w:rsidRPr="006F5609" w:rsidRDefault="00630F0F" w:rsidP="00630F0F">
      <w:pPr>
        <w:rPr>
          <w:rFonts w:ascii="Verdana" w:eastAsiaTheme="minorEastAsia" w:hAnsi="Verdana" w:cstheme="minorHAnsi"/>
        </w:rPr>
      </w:pPr>
      <w:r w:rsidRPr="006F5609">
        <w:rPr>
          <w:rFonts w:ascii="Verdana" w:eastAsiaTheme="minorEastAsia" w:hAnsi="Verdana" w:cstheme="minorHAnsi"/>
        </w:rPr>
        <w:t>To do this, MW completed the following tasks:</w:t>
      </w:r>
    </w:p>
    <w:p w14:paraId="66217CB8" w14:textId="77777777" w:rsidR="0054242B" w:rsidRDefault="0054242B" w:rsidP="0054242B">
      <w:pPr>
        <w:rPr>
          <w:rFonts w:ascii="Verdana" w:eastAsiaTheme="minorEastAsia" w:hAnsi="Verdana" w:cstheme="minorHAnsi"/>
          <w:b/>
        </w:rPr>
      </w:pPr>
    </w:p>
    <w:p w14:paraId="3D030BB3" w14:textId="77777777" w:rsidR="0054242B" w:rsidRDefault="00630F0F" w:rsidP="0054242B">
      <w:pPr>
        <w:rPr>
          <w:rFonts w:ascii="Verdana" w:eastAsiaTheme="minorEastAsia" w:hAnsi="Verdana" w:cstheme="minorHAnsi"/>
          <w:i/>
          <w:color w:val="2F5496" w:themeColor="accent5" w:themeShade="BF"/>
        </w:rPr>
      </w:pPr>
      <w:r w:rsidRPr="0054242B">
        <w:rPr>
          <w:rFonts w:ascii="Verdana" w:eastAsiaTheme="minorEastAsia" w:hAnsi="Verdana" w:cstheme="minorHAnsi"/>
          <w:i/>
          <w:color w:val="2F5496" w:themeColor="accent5" w:themeShade="BF"/>
        </w:rPr>
        <w:t>Identified the required outcomes</w:t>
      </w:r>
    </w:p>
    <w:p w14:paraId="22D7408A" w14:textId="38E49D55" w:rsidR="0054242B" w:rsidRPr="0054242B" w:rsidRDefault="00E92BBD" w:rsidP="0054242B">
      <w:pPr>
        <w:rPr>
          <w:rFonts w:ascii="Verdana" w:eastAsiaTheme="minorEastAsia" w:hAnsi="Verdana" w:cstheme="minorHAnsi"/>
        </w:rPr>
      </w:pPr>
      <w:r w:rsidRPr="0054242B">
        <w:rPr>
          <w:rFonts w:ascii="Verdana" w:eastAsiaTheme="minorEastAsia" w:hAnsi="Verdana" w:cstheme="minorHAnsi"/>
        </w:rPr>
        <w:t xml:space="preserve">Of those waterways showing a decline in waterway values and overall condition due to urbanisation, it was important to understand the future trajectory of waterway values from undertaking different types of waterway management actions. These same specialist models were then used to compare the impact of streamside revegetation, stormwater management or removal of fish barriers. The relative cost of these measures (informed by Melbourne Water’s previous expenditure and experience) and the relative improvement in trajectory, was used to identify 36 ‘priority areas’ for stormwater management across Melbourne (Chee et al,2020, Healthy Waterways Strategy 2008). </w:t>
      </w:r>
    </w:p>
    <w:p w14:paraId="4B0E45A7" w14:textId="77777777" w:rsidR="0054242B" w:rsidRDefault="0054242B" w:rsidP="0054242B">
      <w:pPr>
        <w:rPr>
          <w:rFonts w:ascii="Verdana" w:eastAsiaTheme="minorEastAsia" w:hAnsi="Verdana" w:cstheme="minorHAnsi"/>
        </w:rPr>
      </w:pPr>
    </w:p>
    <w:p w14:paraId="6CA0DA0C" w14:textId="7DB2AFC6" w:rsidR="00E92BBD" w:rsidRPr="0054242B" w:rsidRDefault="00E92BBD" w:rsidP="0054242B">
      <w:pPr>
        <w:rPr>
          <w:rFonts w:ascii="Verdana" w:eastAsiaTheme="minorEastAsia" w:hAnsi="Verdana" w:cstheme="minorHAnsi"/>
        </w:rPr>
      </w:pPr>
      <w:r w:rsidRPr="0054242B">
        <w:rPr>
          <w:rFonts w:ascii="Verdana" w:eastAsiaTheme="minorEastAsia" w:hAnsi="Verdana" w:cstheme="minorHAnsi"/>
        </w:rPr>
        <w:t>For these areas, t</w:t>
      </w:r>
      <w:r w:rsidR="00630F0F" w:rsidRPr="0054242B">
        <w:rPr>
          <w:rFonts w:ascii="Verdana" w:eastAsiaTheme="minorEastAsia" w:hAnsi="Verdana" w:cstheme="minorHAnsi"/>
        </w:rPr>
        <w:t xml:space="preserve">he best available science indicates that maintaining the current flow regime, and hence waterway condition, equates to harvesting 4.4 ML/y and infiltrating 1.1 ML/y respectively for every hectare of development or ‘removing’ approximately 70-90% of the stormwater generated before it enters the waterway (Duncan et al., 2014). </w:t>
      </w:r>
      <w:r w:rsidRPr="0054242B">
        <w:rPr>
          <w:rFonts w:ascii="Verdana" w:eastAsiaTheme="minorEastAsia" w:hAnsi="Verdana" w:cstheme="minorHAnsi"/>
        </w:rPr>
        <w:t xml:space="preserve">This was confirmed with hydrological modelling of these creeks for the current and future BAU states (E2DesignLab, 2018, </w:t>
      </w:r>
      <w:proofErr w:type="spellStart"/>
      <w:r w:rsidRPr="0054242B">
        <w:rPr>
          <w:rFonts w:ascii="Verdana" w:eastAsiaTheme="minorEastAsia" w:hAnsi="Verdana" w:cstheme="minorHAnsi"/>
        </w:rPr>
        <w:t>Stantec</w:t>
      </w:r>
      <w:proofErr w:type="spellEnd"/>
      <w:r w:rsidRPr="0054242B">
        <w:rPr>
          <w:rFonts w:ascii="Verdana" w:eastAsiaTheme="minorEastAsia" w:hAnsi="Verdana" w:cstheme="minorHAnsi"/>
        </w:rPr>
        <w:t xml:space="preserve">, 2021). </w:t>
      </w:r>
      <w:r w:rsidR="00630F0F" w:rsidRPr="0054242B">
        <w:rPr>
          <w:rFonts w:ascii="Verdana" w:eastAsiaTheme="minorEastAsia" w:hAnsi="Verdana" w:cstheme="minorHAnsi"/>
        </w:rPr>
        <w:t>For Jacksons and Emu Creek</w:t>
      </w:r>
      <w:r w:rsidR="00542AB6" w:rsidRPr="0054242B">
        <w:rPr>
          <w:rFonts w:ascii="Verdana" w:eastAsiaTheme="minorEastAsia" w:hAnsi="Verdana" w:cstheme="minorHAnsi"/>
        </w:rPr>
        <w:t xml:space="preserve"> adjacent to Sunbury</w:t>
      </w:r>
      <w:r w:rsidR="00630F0F" w:rsidRPr="0054242B">
        <w:rPr>
          <w:rFonts w:ascii="Verdana" w:eastAsiaTheme="minorEastAsia" w:hAnsi="Verdana" w:cstheme="minorHAnsi"/>
        </w:rPr>
        <w:t xml:space="preserve"> this equates to approximately 3GL/year</w:t>
      </w:r>
      <w:r w:rsidR="00542AB6" w:rsidRPr="0054242B">
        <w:rPr>
          <w:rFonts w:ascii="Verdana" w:eastAsiaTheme="minorEastAsia" w:hAnsi="Verdana" w:cstheme="minorHAnsi"/>
        </w:rPr>
        <w:t xml:space="preserve"> combined</w:t>
      </w:r>
      <w:r w:rsidR="00630F0F" w:rsidRPr="0054242B">
        <w:rPr>
          <w:rFonts w:ascii="Verdana" w:eastAsiaTheme="minorEastAsia" w:hAnsi="Verdana" w:cstheme="minorHAnsi"/>
        </w:rPr>
        <w:t xml:space="preserve">. For Merri Creek this equates to over 21 GL/year. This is a significant volume of water. </w:t>
      </w:r>
      <w:r w:rsidR="00630F0F" w:rsidRPr="0054242B">
        <w:rPr>
          <w:rFonts w:ascii="Verdana" w:eastAsiaTheme="minorEastAsia" w:hAnsi="Verdana" w:cstheme="minorHAnsi"/>
        </w:rPr>
        <w:br/>
      </w:r>
    </w:p>
    <w:p w14:paraId="58983E31" w14:textId="2A68A539" w:rsidR="0054242B" w:rsidRDefault="00E92BBD" w:rsidP="0054242B">
      <w:pPr>
        <w:rPr>
          <w:rFonts w:ascii="Verdana" w:eastAsiaTheme="minorEastAsia" w:hAnsi="Verdana"/>
        </w:rPr>
      </w:pPr>
      <w:r w:rsidRPr="0054242B">
        <w:rPr>
          <w:rFonts w:ascii="Verdana" w:eastAsiaTheme="minorEastAsia" w:hAnsi="Verdana"/>
          <w:bCs/>
          <w:i/>
          <w:color w:val="2F5496" w:themeColor="accent5" w:themeShade="BF"/>
        </w:rPr>
        <w:t>Assessing options</w:t>
      </w:r>
      <w:r w:rsidRPr="0054242B">
        <w:rPr>
          <w:rFonts w:ascii="Verdana" w:eastAsiaTheme="minorEastAsia" w:hAnsi="Verdana"/>
        </w:rPr>
        <w:t xml:space="preserve"> </w:t>
      </w:r>
    </w:p>
    <w:p w14:paraId="3A095309" w14:textId="0B9743CB" w:rsidR="008A5CA9" w:rsidRPr="0054242B" w:rsidRDefault="00630F0F" w:rsidP="0054242B">
      <w:pPr>
        <w:rPr>
          <w:rFonts w:ascii="Verdana" w:eastAsiaTheme="minorEastAsia" w:hAnsi="Verdana"/>
        </w:rPr>
      </w:pPr>
      <w:r w:rsidRPr="0054242B">
        <w:rPr>
          <w:rFonts w:ascii="Verdana" w:eastAsiaTheme="minorEastAsia" w:hAnsi="Verdana"/>
        </w:rPr>
        <w:t>There are a range of available options used by waterway managers for waterway protection</w:t>
      </w:r>
      <w:r w:rsidRPr="006F5609">
        <w:rPr>
          <w:rStyle w:val="FootnoteReference"/>
          <w:rFonts w:ascii="Verdana" w:eastAsiaTheme="minorEastAsia" w:hAnsi="Verdana"/>
        </w:rPr>
        <w:footnoteReference w:id="2"/>
      </w:r>
      <w:r w:rsidR="00B16F8A" w:rsidRPr="0054242B">
        <w:rPr>
          <w:rFonts w:ascii="Verdana" w:eastAsiaTheme="minorEastAsia" w:hAnsi="Verdana"/>
        </w:rPr>
        <w:t xml:space="preserve"> other than </w:t>
      </w:r>
      <w:r w:rsidR="008A5CA9" w:rsidRPr="0054242B">
        <w:rPr>
          <w:rFonts w:ascii="Verdana" w:eastAsiaTheme="minorEastAsia" w:hAnsi="Verdana"/>
        </w:rPr>
        <w:t xml:space="preserve">direct </w:t>
      </w:r>
      <w:r w:rsidR="00B16F8A" w:rsidRPr="0054242B">
        <w:rPr>
          <w:rFonts w:ascii="Verdana" w:eastAsiaTheme="minorEastAsia" w:hAnsi="Verdana"/>
        </w:rPr>
        <w:t>i</w:t>
      </w:r>
      <w:r w:rsidR="008A5CA9" w:rsidRPr="0054242B">
        <w:rPr>
          <w:rFonts w:ascii="Verdana" w:eastAsiaTheme="minorEastAsia" w:hAnsi="Verdana"/>
        </w:rPr>
        <w:t>nvestment</w:t>
      </w:r>
      <w:r w:rsidR="00B16F8A" w:rsidRPr="0054242B">
        <w:rPr>
          <w:rFonts w:ascii="Verdana" w:eastAsiaTheme="minorEastAsia" w:hAnsi="Verdana"/>
        </w:rPr>
        <w:t xml:space="preserve">. These include </w:t>
      </w:r>
      <w:r w:rsidR="008A5CA9" w:rsidRPr="0054242B">
        <w:rPr>
          <w:rFonts w:ascii="Verdana" w:eastAsiaTheme="minorEastAsia" w:hAnsi="Verdana"/>
        </w:rPr>
        <w:t>market</w:t>
      </w:r>
      <w:r w:rsidR="7C82B336" w:rsidRPr="0054242B">
        <w:rPr>
          <w:rFonts w:ascii="Verdana" w:eastAsiaTheme="minorEastAsia" w:hAnsi="Verdana"/>
        </w:rPr>
        <w:t>-</w:t>
      </w:r>
      <w:r w:rsidR="008A5CA9" w:rsidRPr="0054242B">
        <w:rPr>
          <w:rFonts w:ascii="Verdana" w:eastAsiaTheme="minorEastAsia" w:hAnsi="Verdana"/>
        </w:rPr>
        <w:t>based instruments</w:t>
      </w:r>
      <w:r w:rsidR="00B16F8A" w:rsidRPr="0054242B">
        <w:rPr>
          <w:rFonts w:ascii="Verdana" w:eastAsiaTheme="minorEastAsia" w:hAnsi="Verdana"/>
        </w:rPr>
        <w:t xml:space="preserve"> (MBIs)</w:t>
      </w:r>
      <w:r w:rsidR="008A5CA9" w:rsidRPr="0054242B">
        <w:rPr>
          <w:rFonts w:ascii="Verdana" w:eastAsiaTheme="minorEastAsia" w:hAnsi="Verdana"/>
        </w:rPr>
        <w:t xml:space="preserve"> </w:t>
      </w:r>
      <w:r w:rsidR="00B16F8A" w:rsidRPr="0054242B">
        <w:rPr>
          <w:rFonts w:ascii="Verdana" w:eastAsiaTheme="minorEastAsia" w:hAnsi="Verdana"/>
        </w:rPr>
        <w:t xml:space="preserve">such as </w:t>
      </w:r>
      <w:r w:rsidR="008A5CA9" w:rsidRPr="0054242B">
        <w:rPr>
          <w:rFonts w:ascii="Verdana" w:eastAsiaTheme="minorEastAsia" w:hAnsi="Verdana"/>
        </w:rPr>
        <w:t>grants</w:t>
      </w:r>
      <w:r w:rsidR="00B16F8A" w:rsidRPr="0054242B">
        <w:rPr>
          <w:rFonts w:ascii="Verdana" w:eastAsiaTheme="minorEastAsia" w:hAnsi="Verdana"/>
        </w:rPr>
        <w:t xml:space="preserve"> or subsidies for work on the customer side; </w:t>
      </w:r>
      <w:r w:rsidR="008A5CA9" w:rsidRPr="0054242B">
        <w:rPr>
          <w:rFonts w:ascii="Verdana" w:eastAsiaTheme="minorEastAsia" w:hAnsi="Verdana"/>
        </w:rPr>
        <w:t>information provision</w:t>
      </w:r>
      <w:r w:rsidR="00B16F8A" w:rsidRPr="0054242B">
        <w:rPr>
          <w:rFonts w:ascii="Verdana" w:eastAsiaTheme="minorEastAsia" w:hAnsi="Verdana"/>
        </w:rPr>
        <w:t xml:space="preserve"> to promote customer-side or council innovation</w:t>
      </w:r>
      <w:r w:rsidR="008A5CA9" w:rsidRPr="0054242B">
        <w:rPr>
          <w:rFonts w:ascii="Verdana" w:eastAsiaTheme="minorEastAsia" w:hAnsi="Verdana"/>
        </w:rPr>
        <w:t>; regulation</w:t>
      </w:r>
      <w:r w:rsidR="00B16F8A" w:rsidRPr="0054242B">
        <w:rPr>
          <w:rFonts w:ascii="Verdana" w:eastAsiaTheme="minorEastAsia" w:hAnsi="Verdana"/>
        </w:rPr>
        <w:t xml:space="preserve"> or a combination of these. Melbourne Water has had a great deal of experience with information provision, has initiated a couple of MBI pilots (the </w:t>
      </w:r>
      <w:proofErr w:type="spellStart"/>
      <w:r w:rsidR="00B16F8A" w:rsidRPr="0054242B">
        <w:rPr>
          <w:rFonts w:ascii="Verdana" w:eastAsiaTheme="minorEastAsia" w:hAnsi="Verdana"/>
        </w:rPr>
        <w:t>Dobsons</w:t>
      </w:r>
      <w:proofErr w:type="spellEnd"/>
      <w:r w:rsidR="00B16F8A" w:rsidRPr="0054242B">
        <w:rPr>
          <w:rFonts w:ascii="Verdana" w:eastAsiaTheme="minorEastAsia" w:hAnsi="Verdana"/>
        </w:rPr>
        <w:t xml:space="preserve"> Creek and Little Stringybark Creek projects) and has piloted a ‘regulatory’ approach </w:t>
      </w:r>
      <w:r w:rsidR="61B78085" w:rsidRPr="0054242B">
        <w:rPr>
          <w:rFonts w:ascii="Verdana" w:eastAsiaTheme="minorEastAsia" w:hAnsi="Verdana"/>
        </w:rPr>
        <w:t>using</w:t>
      </w:r>
      <w:r w:rsidR="00B16F8A" w:rsidRPr="0054242B">
        <w:rPr>
          <w:rFonts w:ascii="Verdana" w:eastAsiaTheme="minorEastAsia" w:hAnsi="Verdana"/>
        </w:rPr>
        <w:t xml:space="preserve"> an Environmental Significance Overlay.  While there has been some success with these measures, they all are limited as they do not typically address as large a volume as has been identified in the target areas, the outcomes are slow and do not allow Melbourne Water a sufficient level of control. Given </w:t>
      </w:r>
      <w:r w:rsidR="00B16F8A" w:rsidRPr="0054242B">
        <w:rPr>
          <w:rFonts w:ascii="Verdana" w:eastAsiaTheme="minorEastAsia" w:hAnsi="Verdana"/>
        </w:rPr>
        <w:lastRenderedPageBreak/>
        <w:t xml:space="preserve">Melbourne Water’s obligation with respect to waterway management, none other than direct investment are sufficient. </w:t>
      </w:r>
    </w:p>
    <w:p w14:paraId="04A23D92" w14:textId="77777777" w:rsidR="0054242B" w:rsidRDefault="0054242B" w:rsidP="0054242B">
      <w:pPr>
        <w:rPr>
          <w:rFonts w:ascii="Verdana" w:eastAsiaTheme="minorEastAsia" w:hAnsi="Verdana"/>
        </w:rPr>
      </w:pPr>
    </w:p>
    <w:p w14:paraId="04FF4F0B" w14:textId="77777777" w:rsidR="0054242B" w:rsidRDefault="008A5CA9" w:rsidP="0054242B">
      <w:pPr>
        <w:rPr>
          <w:rFonts w:ascii="Verdana" w:eastAsiaTheme="minorEastAsia" w:hAnsi="Verdana"/>
        </w:rPr>
      </w:pPr>
      <w:r w:rsidRPr="0054242B">
        <w:rPr>
          <w:rFonts w:ascii="Verdana" w:eastAsiaTheme="minorEastAsia" w:hAnsi="Verdana"/>
        </w:rPr>
        <w:t>In terms of</w:t>
      </w:r>
      <w:r w:rsidR="00B16F8A" w:rsidRPr="0054242B">
        <w:rPr>
          <w:rFonts w:ascii="Verdana" w:eastAsiaTheme="minorEastAsia" w:hAnsi="Verdana"/>
        </w:rPr>
        <w:t xml:space="preserve"> investment in </w:t>
      </w:r>
      <w:r w:rsidRPr="0054242B">
        <w:rPr>
          <w:rFonts w:ascii="Verdana" w:eastAsiaTheme="minorEastAsia" w:hAnsi="Verdana"/>
        </w:rPr>
        <w:t xml:space="preserve">infrastructure solutions there are either </w:t>
      </w:r>
      <w:r w:rsidR="00630F0F" w:rsidRPr="0054242B">
        <w:rPr>
          <w:rFonts w:ascii="Verdana" w:eastAsiaTheme="minorEastAsia" w:hAnsi="Verdana"/>
        </w:rPr>
        <w:t>de-centralised measures</w:t>
      </w:r>
      <w:r w:rsidRPr="0054242B">
        <w:rPr>
          <w:rFonts w:ascii="Verdana" w:eastAsiaTheme="minorEastAsia" w:hAnsi="Verdana"/>
        </w:rPr>
        <w:t>,</w:t>
      </w:r>
      <w:r w:rsidR="00630F0F" w:rsidRPr="0054242B">
        <w:rPr>
          <w:rFonts w:ascii="Verdana" w:eastAsiaTheme="minorEastAsia" w:hAnsi="Verdana"/>
        </w:rPr>
        <w:t xml:space="preserve"> such as rainwater tanks</w:t>
      </w:r>
      <w:r w:rsidRPr="0054242B">
        <w:rPr>
          <w:rFonts w:ascii="Verdana" w:eastAsiaTheme="minorEastAsia" w:hAnsi="Verdana"/>
        </w:rPr>
        <w:t>,</w:t>
      </w:r>
      <w:r w:rsidR="00630F0F" w:rsidRPr="0054242B">
        <w:rPr>
          <w:rFonts w:ascii="Verdana" w:eastAsiaTheme="minorEastAsia" w:hAnsi="Verdana"/>
        </w:rPr>
        <w:t xml:space="preserve"> permeable pavements</w:t>
      </w:r>
      <w:r w:rsidRPr="0054242B">
        <w:rPr>
          <w:rFonts w:ascii="Verdana" w:eastAsiaTheme="minorEastAsia" w:hAnsi="Verdana"/>
        </w:rPr>
        <w:t xml:space="preserve"> and/</w:t>
      </w:r>
      <w:r w:rsidR="00630F0F" w:rsidRPr="0054242B">
        <w:rPr>
          <w:rFonts w:ascii="Verdana" w:eastAsiaTheme="minorEastAsia" w:hAnsi="Verdana"/>
        </w:rPr>
        <w:t>or passive irrigation</w:t>
      </w:r>
      <w:r w:rsidRPr="0054242B">
        <w:rPr>
          <w:rFonts w:ascii="Verdana" w:eastAsiaTheme="minorEastAsia" w:hAnsi="Verdana"/>
        </w:rPr>
        <w:t xml:space="preserve"> or ‘centralised’ infrastructure measures such as stormwater harvesting networks.  </w:t>
      </w:r>
      <w:r w:rsidR="00630F0F" w:rsidRPr="0054242B">
        <w:rPr>
          <w:rFonts w:ascii="Verdana" w:eastAsiaTheme="minorEastAsia" w:hAnsi="Verdana"/>
        </w:rPr>
        <w:t xml:space="preserve">Modelling for Sunbury, Upper Merri Creek and other catchments in the Southern Macedon Ranges has shown that it is not possible to achieve capture of </w:t>
      </w:r>
      <w:r w:rsidR="00B16F8A" w:rsidRPr="0054242B">
        <w:rPr>
          <w:rFonts w:ascii="Verdana" w:eastAsiaTheme="minorEastAsia" w:hAnsi="Verdana"/>
        </w:rPr>
        <w:t>sufficient</w:t>
      </w:r>
      <w:r w:rsidR="00630F0F" w:rsidRPr="0054242B">
        <w:rPr>
          <w:rFonts w:ascii="Verdana" w:eastAsiaTheme="minorEastAsia" w:hAnsi="Verdana"/>
        </w:rPr>
        <w:t xml:space="preserve"> volumes of water, necessary to maintain waterway values, using any approach other than direct investment in large-scale stormwater harvesting. This is also consistent with over a decade of Melbourne Water’s experience in promoting other methods. Our experience with all options is outlined in </w:t>
      </w:r>
      <w:r w:rsidR="00630F0F" w:rsidRPr="0054242B">
        <w:rPr>
          <w:rFonts w:ascii="Verdana" w:eastAsiaTheme="minorEastAsia" w:hAnsi="Verdana"/>
          <w:color w:val="2B579A"/>
          <w:shd w:val="clear" w:color="auto" w:fill="E6E6E6"/>
        </w:rPr>
        <w:fldChar w:fldCharType="begin"/>
      </w:r>
      <w:r w:rsidR="00630F0F" w:rsidRPr="0054242B">
        <w:rPr>
          <w:rFonts w:ascii="Verdana" w:eastAsiaTheme="minorEastAsia" w:hAnsi="Verdana"/>
        </w:rPr>
        <w:instrText xml:space="preserve"> REF _Ref70004294 \h  \* MERGEFORMAT </w:instrText>
      </w:r>
      <w:r w:rsidR="00630F0F" w:rsidRPr="0054242B">
        <w:rPr>
          <w:rFonts w:ascii="Verdana" w:eastAsiaTheme="minorEastAsia" w:hAnsi="Verdana"/>
          <w:color w:val="2B579A"/>
          <w:shd w:val="clear" w:color="auto" w:fill="E6E6E6"/>
        </w:rPr>
      </w:r>
      <w:r w:rsidR="00630F0F" w:rsidRPr="0054242B">
        <w:rPr>
          <w:rFonts w:ascii="Verdana" w:eastAsiaTheme="minorEastAsia" w:hAnsi="Verdana"/>
          <w:color w:val="2B579A"/>
          <w:shd w:val="clear" w:color="auto" w:fill="E6E6E6"/>
        </w:rPr>
        <w:fldChar w:fldCharType="separate"/>
      </w:r>
      <w:r w:rsidR="00630F0F" w:rsidRPr="0054242B">
        <w:rPr>
          <w:rFonts w:ascii="Verdana" w:hAnsi="Verdana"/>
        </w:rPr>
        <w:t xml:space="preserve">Table </w:t>
      </w:r>
      <w:r w:rsidR="00630F0F" w:rsidRPr="0054242B">
        <w:rPr>
          <w:rFonts w:ascii="Verdana" w:hAnsi="Verdana"/>
          <w:noProof/>
        </w:rPr>
        <w:t>1</w:t>
      </w:r>
      <w:r w:rsidR="00630F0F" w:rsidRPr="0054242B">
        <w:rPr>
          <w:rFonts w:ascii="Verdana" w:eastAsiaTheme="minorEastAsia" w:hAnsi="Verdana"/>
          <w:color w:val="2B579A"/>
          <w:shd w:val="clear" w:color="auto" w:fill="E6E6E6"/>
        </w:rPr>
        <w:fldChar w:fldCharType="end"/>
      </w:r>
      <w:r w:rsidR="00630F0F" w:rsidRPr="0054242B">
        <w:rPr>
          <w:rFonts w:ascii="Verdana" w:eastAsiaTheme="minorEastAsia" w:hAnsi="Verdana"/>
        </w:rPr>
        <w:t>.</w:t>
      </w:r>
    </w:p>
    <w:p w14:paraId="0381242C" w14:textId="5F20B652" w:rsidR="00630F0F" w:rsidRPr="0054242B" w:rsidRDefault="008A44B5" w:rsidP="0054242B">
      <w:pPr>
        <w:rPr>
          <w:rFonts w:ascii="Verdana" w:eastAsiaTheme="minorEastAsia" w:hAnsi="Verdana"/>
        </w:rPr>
      </w:pPr>
      <w:r w:rsidRPr="0054242B">
        <w:rPr>
          <w:rFonts w:ascii="Verdana" w:eastAsiaTheme="minorEastAsia" w:hAnsi="Verdana"/>
        </w:rPr>
        <w:br/>
        <w:t>For the regional business case, investment options included different asset types (</w:t>
      </w:r>
      <w:r w:rsidR="001D7B9B" w:rsidRPr="0054242B">
        <w:rPr>
          <w:rFonts w:ascii="Verdana" w:eastAsiaTheme="minorEastAsia" w:hAnsi="Verdana"/>
        </w:rPr>
        <w:t>i.e.</w:t>
      </w:r>
      <w:r w:rsidRPr="0054242B">
        <w:rPr>
          <w:rFonts w:ascii="Verdana" w:eastAsiaTheme="minorEastAsia" w:hAnsi="Verdana"/>
        </w:rPr>
        <w:t xml:space="preserve"> aquifer recharge vs collection and reuse from wetlands) and different scales (lot scale, streetscape and neighbourhood scale). The analysis undertaken were bespoke for the spatial location and intervention was fit for purpose. Analysis and investigation was performed by experienced consultants.</w:t>
      </w:r>
    </w:p>
    <w:p w14:paraId="20E3780E" w14:textId="77777777" w:rsidR="0054242B" w:rsidRPr="0054242B" w:rsidRDefault="0054242B" w:rsidP="0054242B">
      <w:pPr>
        <w:rPr>
          <w:rFonts w:ascii="Verdana" w:eastAsiaTheme="minorEastAsia" w:hAnsi="Verdana" w:cstheme="minorHAnsi"/>
          <w:i/>
          <w:color w:val="2F5496" w:themeColor="accent5" w:themeShade="BF"/>
        </w:rPr>
      </w:pPr>
    </w:p>
    <w:p w14:paraId="38153C5E" w14:textId="77777777" w:rsidR="0054242B" w:rsidRPr="0054242B" w:rsidRDefault="0054242B" w:rsidP="0054242B">
      <w:pPr>
        <w:rPr>
          <w:rFonts w:ascii="Verdana" w:eastAsiaTheme="minorEastAsia" w:hAnsi="Verdana" w:cstheme="minorHAnsi"/>
          <w:i/>
          <w:color w:val="2F5496" w:themeColor="accent5" w:themeShade="BF"/>
        </w:rPr>
      </w:pPr>
      <w:r w:rsidRPr="0054242B">
        <w:rPr>
          <w:rFonts w:ascii="Verdana" w:eastAsiaTheme="minorEastAsia" w:hAnsi="Verdana" w:cstheme="minorHAnsi"/>
          <w:i/>
          <w:color w:val="2F5496" w:themeColor="accent5" w:themeShade="BF"/>
        </w:rPr>
        <w:t>Assessing costs</w:t>
      </w:r>
    </w:p>
    <w:p w14:paraId="3B3D2467" w14:textId="21B9B818" w:rsidR="00630F0F" w:rsidRPr="0054242B" w:rsidRDefault="00B24E0A" w:rsidP="0054242B">
      <w:pPr>
        <w:rPr>
          <w:rFonts w:ascii="Verdana" w:eastAsiaTheme="minorEastAsia" w:hAnsi="Verdana" w:cstheme="minorHAnsi"/>
        </w:rPr>
      </w:pPr>
      <w:r w:rsidRPr="0054242B">
        <w:rPr>
          <w:rFonts w:ascii="Verdana" w:eastAsiaTheme="minorEastAsia" w:hAnsi="Verdana" w:cstheme="minorHAnsi"/>
        </w:rPr>
        <w:t>Cost estimates for each of the separate business cases have been developed using information from a detailed concept design phase using an independent consultant (</w:t>
      </w:r>
      <w:r w:rsidR="001D7B9B" w:rsidRPr="0054242B">
        <w:rPr>
          <w:rFonts w:ascii="Verdana" w:eastAsiaTheme="minorEastAsia" w:hAnsi="Verdana"/>
        </w:rPr>
        <w:t xml:space="preserve">E2DesignLab, 2018; </w:t>
      </w:r>
      <w:proofErr w:type="spellStart"/>
      <w:r w:rsidR="001D7B9B" w:rsidRPr="0054242B">
        <w:rPr>
          <w:rFonts w:ascii="Verdana" w:eastAsiaTheme="minorEastAsia" w:hAnsi="Verdana"/>
        </w:rPr>
        <w:t>Stantec</w:t>
      </w:r>
      <w:proofErr w:type="spellEnd"/>
      <w:r w:rsidR="001D7B9B" w:rsidRPr="0054242B">
        <w:rPr>
          <w:rFonts w:ascii="Verdana" w:eastAsiaTheme="minorEastAsia" w:hAnsi="Verdana"/>
        </w:rPr>
        <w:t>, 2021; GHD, 2021; and Alluvium 2014</w:t>
      </w:r>
      <w:r w:rsidR="00A524F1" w:rsidRPr="0054242B">
        <w:rPr>
          <w:rFonts w:ascii="Verdana" w:eastAsiaTheme="minorEastAsia" w:hAnsi="Verdana" w:cstheme="minorHAnsi"/>
        </w:rPr>
        <w:t xml:space="preserve"> and </w:t>
      </w:r>
      <w:r w:rsidR="001D7B9B" w:rsidRPr="0054242B">
        <w:rPr>
          <w:rFonts w:ascii="Verdana" w:eastAsiaTheme="minorEastAsia" w:hAnsi="Verdana" w:cstheme="minorHAnsi"/>
        </w:rPr>
        <w:t>2020</w:t>
      </w:r>
      <w:r w:rsidRPr="0054242B">
        <w:rPr>
          <w:rFonts w:ascii="Verdana" w:eastAsiaTheme="minorEastAsia" w:hAnsi="Verdana" w:cstheme="minorHAnsi"/>
        </w:rPr>
        <w:t>)</w:t>
      </w:r>
      <w:r w:rsidR="00A524F1" w:rsidRPr="0054242B">
        <w:rPr>
          <w:rFonts w:ascii="Verdana" w:eastAsiaTheme="minorEastAsia" w:hAnsi="Verdana" w:cstheme="minorHAnsi"/>
        </w:rPr>
        <w:t xml:space="preserve">. Cost estimates include investigations, waterway health monitoring and harvesting infrastructure such as pumps, transfer pipelines, construction of storage and associated land requirements.  For the Sunbury project, consultants </w:t>
      </w:r>
      <w:proofErr w:type="spellStart"/>
      <w:r w:rsidR="00A524F1" w:rsidRPr="0054242B">
        <w:rPr>
          <w:rFonts w:ascii="Verdana" w:eastAsiaTheme="minorEastAsia" w:hAnsi="Verdana" w:cstheme="minorHAnsi"/>
        </w:rPr>
        <w:t>Stantec</w:t>
      </w:r>
      <w:proofErr w:type="spellEnd"/>
      <w:r w:rsidR="00A524F1" w:rsidRPr="0054242B">
        <w:rPr>
          <w:rFonts w:ascii="Verdana" w:eastAsiaTheme="minorEastAsia" w:hAnsi="Verdana" w:cstheme="minorHAnsi"/>
        </w:rPr>
        <w:t xml:space="preserve"> were engaged through a competitive tender process to provide an independent review of the work, and further develop the concept design and costing. Land costs are based on the current per hectare residential development rates for land in the Sunbury area. Note that a contingency of 30% has been applied as the proposed infrastructure differs from infrastructure typically constructed alongside development.</w:t>
      </w:r>
    </w:p>
    <w:p w14:paraId="0AF630D5" w14:textId="77777777" w:rsidR="00630F0F" w:rsidRPr="006F5609" w:rsidRDefault="00630F0F" w:rsidP="009E552B">
      <w:pPr>
        <w:rPr>
          <w:rFonts w:ascii="Verdana" w:eastAsiaTheme="minorEastAsia" w:hAnsi="Verdana" w:cstheme="minorHAnsi"/>
          <w:sz w:val="20"/>
          <w:szCs w:val="20"/>
        </w:rPr>
      </w:pPr>
    </w:p>
    <w:p w14:paraId="0F087FE2" w14:textId="77777777" w:rsidR="00BD7783" w:rsidRPr="006F5609" w:rsidRDefault="00BD7783" w:rsidP="00BD7783">
      <w:pPr>
        <w:rPr>
          <w:rFonts w:ascii="Verdana" w:eastAsiaTheme="minorEastAsia" w:hAnsi="Verdana" w:cstheme="minorHAnsi"/>
          <w:sz w:val="20"/>
          <w:szCs w:val="20"/>
        </w:rPr>
      </w:pPr>
      <w:r w:rsidRPr="006F5609">
        <w:rPr>
          <w:rFonts w:ascii="Verdana" w:hAnsi="Verdana"/>
          <w:noProof/>
        </w:rPr>
        <w:lastRenderedPageBreak/>
        <w:drawing>
          <wp:inline distT="0" distB="0" distL="0" distR="0" wp14:anchorId="3779C9E9" wp14:editId="7810F0AA">
            <wp:extent cx="3935896" cy="262378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935896" cy="2623785"/>
                    </a:xfrm>
                    <a:prstGeom prst="rect">
                      <a:avLst/>
                    </a:prstGeom>
                  </pic:spPr>
                </pic:pic>
              </a:graphicData>
            </a:graphic>
          </wp:inline>
        </w:drawing>
      </w:r>
    </w:p>
    <w:p w14:paraId="541EC477" w14:textId="46DEF16E" w:rsidR="00BD7783" w:rsidRPr="0054242B" w:rsidRDefault="00BD7783" w:rsidP="00630F0F">
      <w:pPr>
        <w:pStyle w:val="Caption"/>
        <w:rPr>
          <w:rFonts w:ascii="Verdana" w:eastAsiaTheme="minorEastAsia" w:hAnsi="Verdana" w:cstheme="minorHAnsi"/>
          <w:i w:val="0"/>
          <w:iCs w:val="0"/>
          <w:color w:val="auto"/>
          <w:sz w:val="22"/>
          <w:szCs w:val="22"/>
        </w:rPr>
      </w:pPr>
      <w:r w:rsidRPr="0054242B">
        <w:rPr>
          <w:rFonts w:ascii="Verdana" w:eastAsiaTheme="minorEastAsia" w:hAnsi="Verdana" w:cstheme="minorHAnsi"/>
          <w:b/>
          <w:i w:val="0"/>
          <w:iCs w:val="0"/>
          <w:color w:val="auto"/>
          <w:sz w:val="22"/>
          <w:szCs w:val="22"/>
        </w:rPr>
        <w:t xml:space="preserve">Figure </w:t>
      </w:r>
      <w:r w:rsidRPr="0054242B">
        <w:rPr>
          <w:rFonts w:ascii="Verdana" w:eastAsiaTheme="minorEastAsia" w:hAnsi="Verdana" w:cstheme="minorHAnsi"/>
          <w:b/>
          <w:i w:val="0"/>
          <w:iCs w:val="0"/>
          <w:color w:val="auto"/>
          <w:sz w:val="22"/>
          <w:szCs w:val="22"/>
        </w:rPr>
        <w:fldChar w:fldCharType="begin"/>
      </w:r>
      <w:r w:rsidRPr="0054242B">
        <w:rPr>
          <w:rFonts w:ascii="Verdana" w:eastAsiaTheme="minorEastAsia" w:hAnsi="Verdana" w:cstheme="minorHAnsi"/>
          <w:b/>
          <w:i w:val="0"/>
          <w:iCs w:val="0"/>
          <w:color w:val="auto"/>
          <w:sz w:val="22"/>
          <w:szCs w:val="22"/>
        </w:rPr>
        <w:instrText xml:space="preserve"> SEQ Figure \* ARABIC </w:instrText>
      </w:r>
      <w:r w:rsidRPr="0054242B">
        <w:rPr>
          <w:rFonts w:ascii="Verdana" w:eastAsiaTheme="minorEastAsia" w:hAnsi="Verdana" w:cstheme="minorHAnsi"/>
          <w:b/>
          <w:i w:val="0"/>
          <w:iCs w:val="0"/>
          <w:color w:val="auto"/>
          <w:sz w:val="22"/>
          <w:szCs w:val="22"/>
        </w:rPr>
        <w:fldChar w:fldCharType="separate"/>
      </w:r>
      <w:r w:rsidRPr="0054242B">
        <w:rPr>
          <w:rFonts w:ascii="Verdana" w:eastAsiaTheme="minorEastAsia" w:hAnsi="Verdana" w:cstheme="minorHAnsi"/>
          <w:b/>
          <w:i w:val="0"/>
          <w:iCs w:val="0"/>
          <w:color w:val="auto"/>
          <w:sz w:val="22"/>
          <w:szCs w:val="22"/>
        </w:rPr>
        <w:t>1</w:t>
      </w:r>
      <w:r w:rsidRPr="0054242B">
        <w:rPr>
          <w:rFonts w:ascii="Verdana" w:eastAsiaTheme="minorEastAsia" w:hAnsi="Verdana" w:cstheme="minorHAnsi"/>
          <w:b/>
          <w:i w:val="0"/>
          <w:iCs w:val="0"/>
          <w:color w:val="auto"/>
          <w:sz w:val="22"/>
          <w:szCs w:val="22"/>
        </w:rPr>
        <w:fldChar w:fldCharType="end"/>
      </w:r>
      <w:r w:rsidRPr="0054242B">
        <w:rPr>
          <w:rFonts w:ascii="Verdana" w:eastAsiaTheme="minorEastAsia" w:hAnsi="Verdana" w:cstheme="minorHAnsi"/>
          <w:b/>
          <w:i w:val="0"/>
          <w:iCs w:val="0"/>
          <w:color w:val="auto"/>
          <w:sz w:val="22"/>
          <w:szCs w:val="22"/>
        </w:rPr>
        <w:t>:</w:t>
      </w:r>
      <w:r w:rsidRPr="0054242B">
        <w:rPr>
          <w:rFonts w:ascii="Verdana" w:eastAsiaTheme="minorEastAsia" w:hAnsi="Verdana" w:cstheme="minorHAnsi"/>
          <w:i w:val="0"/>
          <w:iCs w:val="0"/>
          <w:color w:val="auto"/>
          <w:sz w:val="22"/>
          <w:szCs w:val="22"/>
        </w:rPr>
        <w:t xml:space="preserve"> Process for determining the priority areas for interventions</w:t>
      </w:r>
      <w:r w:rsidR="00A524F1" w:rsidRPr="0054242B">
        <w:rPr>
          <w:rFonts w:ascii="Verdana" w:eastAsiaTheme="minorEastAsia" w:hAnsi="Verdana" w:cstheme="minorHAnsi"/>
          <w:i w:val="0"/>
          <w:iCs w:val="0"/>
          <w:color w:val="auto"/>
          <w:sz w:val="22"/>
          <w:szCs w:val="22"/>
        </w:rPr>
        <w:t xml:space="preserve"> (Healthy Waterways Strategy 2008)</w:t>
      </w:r>
    </w:p>
    <w:p w14:paraId="05DDDF6F" w14:textId="77777777" w:rsidR="008A44B5" w:rsidRPr="006F5609" w:rsidRDefault="008A44B5" w:rsidP="000515A4">
      <w:pPr>
        <w:pStyle w:val="Caption"/>
        <w:rPr>
          <w:rFonts w:ascii="Verdana" w:hAnsi="Verdana" w:cstheme="minorHAnsi"/>
          <w:sz w:val="20"/>
          <w:szCs w:val="20"/>
        </w:rPr>
        <w:sectPr w:rsidR="008A44B5" w:rsidRPr="006F5609" w:rsidSect="006F560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pPr>
      <w:bookmarkStart w:id="1" w:name="_Ref70004294"/>
    </w:p>
    <w:p w14:paraId="4139FBAF" w14:textId="1CEE87D6" w:rsidR="0019068B" w:rsidRPr="0054242B" w:rsidRDefault="000515A4" w:rsidP="000515A4">
      <w:pPr>
        <w:pStyle w:val="Caption"/>
        <w:rPr>
          <w:rFonts w:ascii="Verdana" w:eastAsiaTheme="minorEastAsia" w:hAnsi="Verdana" w:cstheme="minorHAnsi"/>
          <w:sz w:val="24"/>
          <w:szCs w:val="24"/>
        </w:rPr>
      </w:pPr>
      <w:r w:rsidRPr="0054242B">
        <w:rPr>
          <w:rFonts w:ascii="Verdana" w:hAnsi="Verdana" w:cstheme="minorHAnsi"/>
          <w:b/>
          <w:i w:val="0"/>
          <w:sz w:val="24"/>
          <w:szCs w:val="24"/>
        </w:rPr>
        <w:lastRenderedPageBreak/>
        <w:t xml:space="preserve">Table </w:t>
      </w:r>
      <w:r w:rsidRPr="0054242B">
        <w:rPr>
          <w:rFonts w:ascii="Verdana" w:hAnsi="Verdana" w:cstheme="minorHAnsi"/>
          <w:b/>
          <w:i w:val="0"/>
          <w:color w:val="2B579A"/>
          <w:sz w:val="24"/>
          <w:szCs w:val="24"/>
          <w:shd w:val="clear" w:color="auto" w:fill="E6E6E6"/>
        </w:rPr>
        <w:fldChar w:fldCharType="begin"/>
      </w:r>
      <w:r w:rsidRPr="0054242B">
        <w:rPr>
          <w:rFonts w:ascii="Verdana" w:hAnsi="Verdana" w:cstheme="minorHAnsi"/>
          <w:b/>
          <w:i w:val="0"/>
          <w:sz w:val="24"/>
          <w:szCs w:val="24"/>
        </w:rPr>
        <w:instrText xml:space="preserve"> SEQ Table \* ARABIC </w:instrText>
      </w:r>
      <w:r w:rsidRPr="0054242B">
        <w:rPr>
          <w:rFonts w:ascii="Verdana" w:hAnsi="Verdana" w:cstheme="minorHAnsi"/>
          <w:b/>
          <w:i w:val="0"/>
          <w:color w:val="2B579A"/>
          <w:sz w:val="24"/>
          <w:szCs w:val="24"/>
          <w:shd w:val="clear" w:color="auto" w:fill="E6E6E6"/>
        </w:rPr>
        <w:fldChar w:fldCharType="separate"/>
      </w:r>
      <w:r w:rsidRPr="0054242B">
        <w:rPr>
          <w:rFonts w:ascii="Verdana" w:hAnsi="Verdana" w:cstheme="minorHAnsi"/>
          <w:b/>
          <w:i w:val="0"/>
          <w:noProof/>
          <w:sz w:val="24"/>
          <w:szCs w:val="24"/>
        </w:rPr>
        <w:t>1</w:t>
      </w:r>
      <w:r w:rsidRPr="0054242B">
        <w:rPr>
          <w:rFonts w:ascii="Verdana" w:hAnsi="Verdana" w:cstheme="minorHAnsi"/>
          <w:b/>
          <w:i w:val="0"/>
          <w:color w:val="2B579A"/>
          <w:sz w:val="24"/>
          <w:szCs w:val="24"/>
          <w:shd w:val="clear" w:color="auto" w:fill="E6E6E6"/>
        </w:rPr>
        <w:fldChar w:fldCharType="end"/>
      </w:r>
      <w:bookmarkEnd w:id="1"/>
      <w:r w:rsidRPr="0054242B">
        <w:rPr>
          <w:rFonts w:ascii="Verdana" w:hAnsi="Verdana" w:cstheme="minorHAnsi"/>
          <w:b/>
          <w:i w:val="0"/>
          <w:sz w:val="24"/>
          <w:szCs w:val="24"/>
        </w:rPr>
        <w:t>:</w:t>
      </w:r>
      <w:r w:rsidRPr="0054242B">
        <w:rPr>
          <w:rFonts w:ascii="Verdana" w:hAnsi="Verdana" w:cstheme="minorHAnsi"/>
          <w:sz w:val="24"/>
          <w:szCs w:val="24"/>
        </w:rPr>
        <w:t xml:space="preserve"> Options for stormwater management with urban growth</w:t>
      </w:r>
    </w:p>
    <w:tbl>
      <w:tblPr>
        <w:tblW w:w="22681" w:type="dxa"/>
        <w:tblInd w:w="-10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9"/>
        <w:gridCol w:w="2546"/>
        <w:gridCol w:w="1555"/>
        <w:gridCol w:w="1596"/>
        <w:gridCol w:w="6204"/>
        <w:gridCol w:w="9781"/>
      </w:tblGrid>
      <w:tr w:rsidR="0054242B" w:rsidRPr="0054242B" w14:paraId="0D635476" w14:textId="77777777" w:rsidTr="0054242B">
        <w:trPr>
          <w:tblHeader/>
        </w:trPr>
        <w:tc>
          <w:tcPr>
            <w:tcW w:w="999" w:type="dxa"/>
            <w:tcBorders>
              <w:top w:val="single" w:sz="6" w:space="0" w:color="004282"/>
              <w:left w:val="single" w:sz="6" w:space="0" w:color="004282"/>
              <w:bottom w:val="single" w:sz="6" w:space="0" w:color="004282"/>
              <w:right w:val="dotted" w:sz="6" w:space="0" w:color="004282"/>
            </w:tcBorders>
            <w:shd w:val="clear" w:color="auto" w:fill="004282"/>
            <w:vAlign w:val="center"/>
            <w:hideMark/>
          </w:tcPr>
          <w:p w14:paraId="26679FF4"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color w:val="E7E6E6"/>
                <w:sz w:val="22"/>
                <w:szCs w:val="22"/>
              </w:rPr>
              <w:t> </w:t>
            </w:r>
          </w:p>
        </w:tc>
        <w:tc>
          <w:tcPr>
            <w:tcW w:w="2546" w:type="dxa"/>
            <w:tcBorders>
              <w:top w:val="single" w:sz="6" w:space="0" w:color="004282"/>
              <w:left w:val="single" w:sz="6" w:space="0" w:color="004282"/>
              <w:bottom w:val="single" w:sz="6" w:space="0" w:color="004282"/>
              <w:right w:val="dotted" w:sz="6" w:space="0" w:color="004282"/>
            </w:tcBorders>
            <w:shd w:val="clear" w:color="auto" w:fill="004282"/>
            <w:vAlign w:val="center"/>
            <w:hideMark/>
          </w:tcPr>
          <w:p w14:paraId="707022C3"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color w:val="E7E6E6"/>
                <w:sz w:val="22"/>
                <w:szCs w:val="22"/>
              </w:rPr>
              <w:t> </w:t>
            </w:r>
          </w:p>
        </w:tc>
        <w:tc>
          <w:tcPr>
            <w:tcW w:w="1555" w:type="dxa"/>
            <w:tcBorders>
              <w:top w:val="single" w:sz="6" w:space="0" w:color="004282"/>
              <w:left w:val="dotted" w:sz="6" w:space="0" w:color="004282"/>
              <w:bottom w:val="single" w:sz="6" w:space="0" w:color="004282"/>
              <w:right w:val="dotted" w:sz="6" w:space="0" w:color="004282"/>
            </w:tcBorders>
            <w:shd w:val="clear" w:color="auto" w:fill="004282"/>
            <w:vAlign w:val="center"/>
            <w:hideMark/>
          </w:tcPr>
          <w:p w14:paraId="18F28BDA"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color w:val="E7E6E6"/>
                <w:sz w:val="22"/>
                <w:szCs w:val="22"/>
              </w:rPr>
              <w:t> </w:t>
            </w:r>
          </w:p>
        </w:tc>
        <w:tc>
          <w:tcPr>
            <w:tcW w:w="1596" w:type="dxa"/>
            <w:tcBorders>
              <w:top w:val="single" w:sz="6" w:space="0" w:color="004282"/>
              <w:left w:val="dotted" w:sz="6" w:space="0" w:color="004282"/>
              <w:bottom w:val="single" w:sz="6" w:space="0" w:color="004282"/>
              <w:right w:val="dotted" w:sz="6" w:space="0" w:color="004282"/>
            </w:tcBorders>
            <w:shd w:val="clear" w:color="auto" w:fill="004282"/>
            <w:hideMark/>
          </w:tcPr>
          <w:p w14:paraId="2BEBEB29"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color w:val="E7E6E6"/>
                <w:sz w:val="22"/>
                <w:szCs w:val="22"/>
              </w:rPr>
              <w:t> </w:t>
            </w:r>
          </w:p>
        </w:tc>
        <w:tc>
          <w:tcPr>
            <w:tcW w:w="6204" w:type="dxa"/>
            <w:tcBorders>
              <w:top w:val="single" w:sz="6" w:space="0" w:color="004282"/>
              <w:left w:val="dotted" w:sz="6" w:space="0" w:color="004282"/>
              <w:bottom w:val="single" w:sz="6" w:space="0" w:color="004282"/>
              <w:right w:val="dotted" w:sz="6" w:space="0" w:color="004282"/>
            </w:tcBorders>
            <w:shd w:val="clear" w:color="auto" w:fill="004282"/>
            <w:vAlign w:val="center"/>
            <w:hideMark/>
          </w:tcPr>
          <w:p w14:paraId="14A949E1"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color w:val="E7E6E6"/>
                <w:sz w:val="22"/>
                <w:szCs w:val="22"/>
              </w:rPr>
              <w:t> </w:t>
            </w:r>
          </w:p>
        </w:tc>
        <w:tc>
          <w:tcPr>
            <w:tcW w:w="9781" w:type="dxa"/>
            <w:vMerge w:val="restart"/>
            <w:tcBorders>
              <w:top w:val="single" w:sz="6" w:space="0" w:color="004282"/>
              <w:left w:val="dotted" w:sz="6" w:space="0" w:color="004282"/>
              <w:bottom w:val="dotted" w:sz="6" w:space="0" w:color="004282"/>
              <w:right w:val="dotted" w:sz="6" w:space="0" w:color="004282"/>
            </w:tcBorders>
            <w:shd w:val="clear" w:color="auto" w:fill="004282"/>
            <w:vAlign w:val="center"/>
            <w:hideMark/>
          </w:tcPr>
          <w:p w14:paraId="3D84093E"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b/>
                <w:bCs/>
                <w:color w:val="E7E6E6"/>
                <w:sz w:val="22"/>
                <w:szCs w:val="22"/>
              </w:rPr>
              <w:t>Discussion</w:t>
            </w:r>
            <w:r w:rsidRPr="0054242B">
              <w:rPr>
                <w:rFonts w:ascii="Verdana" w:eastAsia="Times New Roman" w:hAnsi="Verdana" w:cs="Segoe UI"/>
                <w:color w:val="E7E6E6"/>
                <w:sz w:val="22"/>
                <w:szCs w:val="22"/>
              </w:rPr>
              <w:t> </w:t>
            </w:r>
          </w:p>
        </w:tc>
      </w:tr>
      <w:tr w:rsidR="0054242B" w:rsidRPr="0054242B" w14:paraId="69525FB1" w14:textId="77777777" w:rsidTr="0054242B">
        <w:trPr>
          <w:tblHeader/>
        </w:trPr>
        <w:tc>
          <w:tcPr>
            <w:tcW w:w="999" w:type="dxa"/>
            <w:tcBorders>
              <w:top w:val="single" w:sz="6" w:space="0" w:color="004282"/>
              <w:left w:val="single" w:sz="6" w:space="0" w:color="004282"/>
              <w:bottom w:val="single" w:sz="6" w:space="0" w:color="004282"/>
              <w:right w:val="dotted" w:sz="6" w:space="0" w:color="004282"/>
            </w:tcBorders>
            <w:shd w:val="clear" w:color="auto" w:fill="004282"/>
            <w:vAlign w:val="center"/>
            <w:hideMark/>
          </w:tcPr>
          <w:p w14:paraId="36ABEA8A"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b/>
                <w:bCs/>
                <w:color w:val="E7E6E6"/>
                <w:sz w:val="22"/>
                <w:szCs w:val="22"/>
              </w:rPr>
              <w:t>Option</w:t>
            </w:r>
            <w:r w:rsidRPr="0054242B">
              <w:rPr>
                <w:rFonts w:ascii="Verdana" w:eastAsia="Times New Roman" w:hAnsi="Verdana" w:cs="Segoe UI"/>
                <w:color w:val="E7E6E6"/>
                <w:sz w:val="22"/>
                <w:szCs w:val="22"/>
              </w:rPr>
              <w:t> </w:t>
            </w:r>
          </w:p>
        </w:tc>
        <w:tc>
          <w:tcPr>
            <w:tcW w:w="2546" w:type="dxa"/>
            <w:tcBorders>
              <w:top w:val="single" w:sz="6" w:space="0" w:color="004282"/>
              <w:left w:val="single" w:sz="6" w:space="0" w:color="004282"/>
              <w:bottom w:val="single" w:sz="6" w:space="0" w:color="004282"/>
              <w:right w:val="dotted" w:sz="6" w:space="0" w:color="004282"/>
            </w:tcBorders>
            <w:shd w:val="clear" w:color="auto" w:fill="004282"/>
            <w:vAlign w:val="center"/>
            <w:hideMark/>
          </w:tcPr>
          <w:p w14:paraId="7C518865"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b/>
                <w:bCs/>
                <w:color w:val="E7E6E6"/>
                <w:sz w:val="22"/>
                <w:szCs w:val="22"/>
              </w:rPr>
              <w:t>Intervention</w:t>
            </w:r>
            <w:r w:rsidRPr="0054242B">
              <w:rPr>
                <w:rFonts w:ascii="Verdana" w:eastAsia="Times New Roman" w:hAnsi="Verdana" w:cs="Segoe UI"/>
                <w:color w:val="E7E6E6"/>
                <w:sz w:val="22"/>
                <w:szCs w:val="22"/>
              </w:rPr>
              <w:t> </w:t>
            </w:r>
          </w:p>
        </w:tc>
        <w:tc>
          <w:tcPr>
            <w:tcW w:w="1555" w:type="dxa"/>
            <w:tcBorders>
              <w:top w:val="single" w:sz="6" w:space="0" w:color="004282"/>
              <w:left w:val="dotted" w:sz="6" w:space="0" w:color="004282"/>
              <w:bottom w:val="single" w:sz="6" w:space="0" w:color="004282"/>
              <w:right w:val="dotted" w:sz="6" w:space="0" w:color="004282"/>
            </w:tcBorders>
            <w:shd w:val="clear" w:color="auto" w:fill="004282"/>
            <w:vAlign w:val="center"/>
            <w:hideMark/>
          </w:tcPr>
          <w:p w14:paraId="5EEA89D8"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b/>
                <w:bCs/>
                <w:color w:val="E7E6E6"/>
                <w:sz w:val="22"/>
                <w:szCs w:val="22"/>
              </w:rPr>
              <w:t>Location assessed</w:t>
            </w:r>
            <w:r w:rsidRPr="0054242B">
              <w:rPr>
                <w:rFonts w:ascii="Verdana" w:eastAsia="Times New Roman" w:hAnsi="Verdana" w:cs="Segoe UI"/>
                <w:color w:val="E7E6E6"/>
                <w:sz w:val="22"/>
                <w:szCs w:val="22"/>
              </w:rPr>
              <w:t> </w:t>
            </w:r>
          </w:p>
        </w:tc>
        <w:tc>
          <w:tcPr>
            <w:tcW w:w="1596" w:type="dxa"/>
            <w:tcBorders>
              <w:top w:val="single" w:sz="6" w:space="0" w:color="004282"/>
              <w:left w:val="dotted" w:sz="6" w:space="0" w:color="004282"/>
              <w:bottom w:val="single" w:sz="6" w:space="0" w:color="004282"/>
              <w:right w:val="dotted" w:sz="6" w:space="0" w:color="004282"/>
            </w:tcBorders>
            <w:shd w:val="clear" w:color="auto" w:fill="004282"/>
            <w:hideMark/>
          </w:tcPr>
          <w:p w14:paraId="66B706BF"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b/>
                <w:bCs/>
                <w:color w:val="E7E6E6"/>
                <w:sz w:val="22"/>
                <w:szCs w:val="22"/>
              </w:rPr>
              <w:t>Capital or OPEX implication</w:t>
            </w:r>
            <w:r w:rsidRPr="0054242B">
              <w:rPr>
                <w:rFonts w:ascii="Verdana" w:eastAsia="Times New Roman" w:hAnsi="Verdana" w:cs="Segoe UI"/>
                <w:color w:val="E7E6E6"/>
                <w:sz w:val="22"/>
                <w:szCs w:val="22"/>
              </w:rPr>
              <w:t> </w:t>
            </w:r>
          </w:p>
        </w:tc>
        <w:tc>
          <w:tcPr>
            <w:tcW w:w="6204" w:type="dxa"/>
            <w:tcBorders>
              <w:top w:val="single" w:sz="6" w:space="0" w:color="004282"/>
              <w:left w:val="dotted" w:sz="6" w:space="0" w:color="004282"/>
              <w:bottom w:val="single" w:sz="6" w:space="0" w:color="004282"/>
              <w:right w:val="dotted" w:sz="6" w:space="0" w:color="004282"/>
            </w:tcBorders>
            <w:shd w:val="clear" w:color="auto" w:fill="004282"/>
            <w:vAlign w:val="center"/>
            <w:hideMark/>
          </w:tcPr>
          <w:p w14:paraId="168AC114" w14:textId="77777777" w:rsidR="00A524F1" w:rsidRPr="0054242B" w:rsidRDefault="00A524F1" w:rsidP="00A524F1">
            <w:pPr>
              <w:jc w:val="center"/>
              <w:textAlignment w:val="baseline"/>
              <w:rPr>
                <w:rFonts w:ascii="Verdana" w:eastAsia="Times New Roman" w:hAnsi="Verdana" w:cs="Segoe UI"/>
                <w:sz w:val="22"/>
                <w:szCs w:val="22"/>
              </w:rPr>
            </w:pPr>
            <w:r w:rsidRPr="0054242B">
              <w:rPr>
                <w:rFonts w:ascii="Verdana" w:eastAsia="Times New Roman" w:hAnsi="Verdana" w:cs="Segoe UI"/>
                <w:b/>
                <w:bCs/>
                <w:color w:val="E7E6E6"/>
                <w:sz w:val="22"/>
                <w:szCs w:val="22"/>
              </w:rPr>
              <w:t>Description</w:t>
            </w:r>
            <w:r w:rsidRPr="0054242B">
              <w:rPr>
                <w:rFonts w:ascii="Verdana" w:eastAsia="Times New Roman" w:hAnsi="Verdana" w:cs="Segoe UI"/>
                <w:color w:val="E7E6E6"/>
                <w:sz w:val="22"/>
                <w:szCs w:val="22"/>
              </w:rPr>
              <w:t> </w:t>
            </w:r>
          </w:p>
        </w:tc>
        <w:tc>
          <w:tcPr>
            <w:tcW w:w="9781" w:type="dxa"/>
            <w:vMerge/>
            <w:vAlign w:val="center"/>
            <w:hideMark/>
          </w:tcPr>
          <w:p w14:paraId="641DE11F" w14:textId="77777777" w:rsidR="00A524F1" w:rsidRPr="0054242B" w:rsidRDefault="00A524F1" w:rsidP="00A524F1">
            <w:pPr>
              <w:rPr>
                <w:rFonts w:ascii="Verdana" w:eastAsia="Times New Roman" w:hAnsi="Verdana" w:cs="Segoe UI"/>
                <w:sz w:val="22"/>
                <w:szCs w:val="22"/>
              </w:rPr>
            </w:pPr>
          </w:p>
        </w:tc>
      </w:tr>
      <w:tr w:rsidR="00996BBF" w:rsidRPr="0054242B" w14:paraId="26C19CCA" w14:textId="77777777" w:rsidTr="0054242B">
        <w:tc>
          <w:tcPr>
            <w:tcW w:w="999" w:type="dxa"/>
            <w:tcBorders>
              <w:top w:val="nil"/>
              <w:left w:val="single" w:sz="6" w:space="0" w:color="004282"/>
              <w:bottom w:val="dotted" w:sz="6" w:space="0" w:color="004282"/>
              <w:right w:val="dotted" w:sz="6" w:space="0" w:color="004282"/>
            </w:tcBorders>
            <w:shd w:val="clear" w:color="auto" w:fill="auto"/>
            <w:hideMark/>
          </w:tcPr>
          <w:p w14:paraId="7F557232" w14:textId="545042D2" w:rsidR="00996BBF" w:rsidRPr="0054242B" w:rsidRDefault="00996BBF" w:rsidP="0054242B">
            <w:pPr>
              <w:jc w:val="center"/>
              <w:textAlignment w:val="baseline"/>
              <w:rPr>
                <w:rFonts w:ascii="Verdana" w:eastAsia="Times New Roman" w:hAnsi="Verdana" w:cs="Segoe UI"/>
                <w:sz w:val="22"/>
                <w:szCs w:val="22"/>
              </w:rPr>
            </w:pPr>
            <w:r w:rsidRPr="0054242B">
              <w:rPr>
                <w:rFonts w:ascii="Verdana" w:eastAsia="Times New Roman" w:hAnsi="Verdana" w:cs="Segoe UI"/>
                <w:sz w:val="22"/>
                <w:szCs w:val="22"/>
              </w:rPr>
              <w:t>BAU</w:t>
            </w:r>
          </w:p>
        </w:tc>
        <w:tc>
          <w:tcPr>
            <w:tcW w:w="2546" w:type="dxa"/>
            <w:tcBorders>
              <w:top w:val="nil"/>
              <w:left w:val="nil"/>
              <w:bottom w:val="dotted" w:sz="6" w:space="0" w:color="004282"/>
              <w:right w:val="dotted" w:sz="6" w:space="0" w:color="004282"/>
            </w:tcBorders>
            <w:shd w:val="clear" w:color="auto" w:fill="auto"/>
            <w:hideMark/>
          </w:tcPr>
          <w:p w14:paraId="0C0AD5A3"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Do nothing </w:t>
            </w:r>
          </w:p>
        </w:tc>
        <w:tc>
          <w:tcPr>
            <w:tcW w:w="1555" w:type="dxa"/>
            <w:tcBorders>
              <w:top w:val="nil"/>
              <w:left w:val="nil"/>
              <w:bottom w:val="dotted" w:sz="6" w:space="0" w:color="004282"/>
              <w:right w:val="dotted" w:sz="6" w:space="0" w:color="004282"/>
            </w:tcBorders>
            <w:shd w:val="clear" w:color="auto" w:fill="auto"/>
            <w:hideMark/>
          </w:tcPr>
          <w:p w14:paraId="16B2903B"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All 36 Priority Areas </w:t>
            </w:r>
          </w:p>
        </w:tc>
        <w:tc>
          <w:tcPr>
            <w:tcW w:w="1596" w:type="dxa"/>
            <w:tcBorders>
              <w:top w:val="nil"/>
              <w:left w:val="nil"/>
              <w:bottom w:val="dotted" w:sz="6" w:space="0" w:color="004282"/>
              <w:right w:val="dotted" w:sz="6" w:space="0" w:color="004282"/>
            </w:tcBorders>
            <w:shd w:val="clear" w:color="auto" w:fill="auto"/>
            <w:hideMark/>
          </w:tcPr>
          <w:p w14:paraId="5B53DBE2"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None </w:t>
            </w:r>
          </w:p>
        </w:tc>
        <w:tc>
          <w:tcPr>
            <w:tcW w:w="6204" w:type="dxa"/>
            <w:tcBorders>
              <w:top w:val="nil"/>
              <w:left w:val="nil"/>
              <w:bottom w:val="dotted" w:sz="6" w:space="0" w:color="004282"/>
              <w:right w:val="dotted" w:sz="6" w:space="0" w:color="004282"/>
            </w:tcBorders>
            <w:shd w:val="clear" w:color="auto" w:fill="auto"/>
            <w:hideMark/>
          </w:tcPr>
          <w:p w14:paraId="3B274CA3" w14:textId="0DBAC054"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Stormwater generated from new urban development is managed through conventional drainage infrastructure and discharged to waterways at volumes and rates that lead to the irreversible decline of waterway condition. </w:t>
            </w:r>
          </w:p>
        </w:tc>
        <w:tc>
          <w:tcPr>
            <w:tcW w:w="9781" w:type="dxa"/>
            <w:tcBorders>
              <w:top w:val="nil"/>
              <w:left w:val="nil"/>
              <w:bottom w:val="dotted" w:sz="6" w:space="0" w:color="004282"/>
              <w:right w:val="single" w:sz="6" w:space="0" w:color="004282"/>
            </w:tcBorders>
            <w:shd w:val="clear" w:color="auto" w:fill="auto"/>
            <w:hideMark/>
          </w:tcPr>
          <w:p w14:paraId="6DB3D364" w14:textId="1CF0A77E"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Failure to manage waterways in accordance with Melbourne Water’s obligations under the Water Act and the Statement of Obligations. Decline in waterway condition across the region. Failure to protect waterways and deliver HWS objectives.  </w:t>
            </w:r>
          </w:p>
        </w:tc>
      </w:tr>
      <w:tr w:rsidR="00996BBF" w:rsidRPr="0054242B" w14:paraId="3C7C4013" w14:textId="77777777" w:rsidTr="0054242B">
        <w:tc>
          <w:tcPr>
            <w:tcW w:w="999" w:type="dxa"/>
            <w:tcBorders>
              <w:top w:val="nil"/>
              <w:left w:val="single" w:sz="6" w:space="0" w:color="004282"/>
              <w:bottom w:val="dotted" w:sz="6" w:space="0" w:color="004282"/>
              <w:right w:val="dotted" w:sz="6" w:space="0" w:color="004282"/>
            </w:tcBorders>
            <w:shd w:val="clear" w:color="auto" w:fill="auto"/>
            <w:hideMark/>
          </w:tcPr>
          <w:p w14:paraId="6CA8B5CA" w14:textId="26204529" w:rsidR="00996BBF" w:rsidRPr="0054242B" w:rsidRDefault="00996BBF" w:rsidP="0054242B">
            <w:pPr>
              <w:jc w:val="center"/>
              <w:textAlignment w:val="baseline"/>
              <w:rPr>
                <w:rFonts w:ascii="Verdana" w:eastAsia="Times New Roman" w:hAnsi="Verdana" w:cs="Segoe UI"/>
                <w:sz w:val="22"/>
                <w:szCs w:val="22"/>
              </w:rPr>
            </w:pPr>
            <w:r w:rsidRPr="0054242B">
              <w:rPr>
                <w:rFonts w:ascii="Verdana" w:eastAsia="Times New Roman" w:hAnsi="Verdana" w:cs="Segoe UI"/>
                <w:sz w:val="22"/>
                <w:szCs w:val="22"/>
              </w:rPr>
              <w:t>1</w:t>
            </w:r>
          </w:p>
        </w:tc>
        <w:tc>
          <w:tcPr>
            <w:tcW w:w="2546" w:type="dxa"/>
            <w:tcBorders>
              <w:top w:val="nil"/>
              <w:left w:val="nil"/>
              <w:bottom w:val="dotted" w:sz="6" w:space="0" w:color="004282"/>
              <w:right w:val="dotted" w:sz="6" w:space="0" w:color="004282"/>
            </w:tcBorders>
            <w:shd w:val="clear" w:color="auto" w:fill="auto"/>
            <w:hideMark/>
          </w:tcPr>
          <w:p w14:paraId="1F53005E"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Policy intervention – Improved guidance for best practice stormwater management </w:t>
            </w:r>
          </w:p>
        </w:tc>
        <w:tc>
          <w:tcPr>
            <w:tcW w:w="1555" w:type="dxa"/>
            <w:tcBorders>
              <w:top w:val="nil"/>
              <w:left w:val="nil"/>
              <w:bottom w:val="dotted" w:sz="6" w:space="0" w:color="004282"/>
              <w:right w:val="dotted" w:sz="6" w:space="0" w:color="004282"/>
            </w:tcBorders>
            <w:shd w:val="clear" w:color="auto" w:fill="auto"/>
            <w:hideMark/>
          </w:tcPr>
          <w:p w14:paraId="4E41E4E6"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All 36 Priority Areas </w:t>
            </w:r>
          </w:p>
        </w:tc>
        <w:tc>
          <w:tcPr>
            <w:tcW w:w="1596" w:type="dxa"/>
            <w:tcBorders>
              <w:top w:val="nil"/>
              <w:left w:val="nil"/>
              <w:bottom w:val="dotted" w:sz="6" w:space="0" w:color="004282"/>
              <w:right w:val="dotted" w:sz="6" w:space="0" w:color="004282"/>
            </w:tcBorders>
            <w:shd w:val="clear" w:color="auto" w:fill="auto"/>
            <w:hideMark/>
          </w:tcPr>
          <w:p w14:paraId="50F721B9"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Policy  </w:t>
            </w:r>
          </w:p>
        </w:tc>
        <w:tc>
          <w:tcPr>
            <w:tcW w:w="6204" w:type="dxa"/>
            <w:tcBorders>
              <w:top w:val="nil"/>
              <w:left w:val="nil"/>
              <w:bottom w:val="dotted" w:sz="6" w:space="0" w:color="004282"/>
              <w:right w:val="dotted" w:sz="6" w:space="0" w:color="004282"/>
            </w:tcBorders>
            <w:shd w:val="clear" w:color="auto" w:fill="auto"/>
            <w:hideMark/>
          </w:tcPr>
          <w:p w14:paraId="33D58BB4" w14:textId="26A8DDDC"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Introduction of a flow standard, (runoff flow reduction and infiltration base flow). The standards will apply to the Performance Objectives set out in MW HWS strategy. </w:t>
            </w:r>
          </w:p>
        </w:tc>
        <w:tc>
          <w:tcPr>
            <w:tcW w:w="9781" w:type="dxa"/>
            <w:tcBorders>
              <w:top w:val="nil"/>
              <w:left w:val="nil"/>
              <w:bottom w:val="dotted" w:sz="6" w:space="0" w:color="004282"/>
              <w:right w:val="single" w:sz="6" w:space="0" w:color="004282"/>
            </w:tcBorders>
            <w:shd w:val="clear" w:color="auto" w:fill="auto"/>
            <w:hideMark/>
          </w:tcPr>
          <w:p w14:paraId="2C12D05F" w14:textId="77777777" w:rsidR="00996BBF" w:rsidRPr="0054242B" w:rsidRDefault="00996BBF" w:rsidP="00996BBF">
            <w:pPr>
              <w:spacing w:before="40" w:after="40"/>
              <w:textAlignment w:val="baseline"/>
              <w:rPr>
                <w:rFonts w:ascii="Verdana" w:eastAsia="Times New Roman" w:hAnsi="Verdana" w:cs="Segoe UI"/>
                <w:sz w:val="22"/>
                <w:szCs w:val="22"/>
              </w:rPr>
            </w:pPr>
            <w:r w:rsidRPr="0054242B">
              <w:rPr>
                <w:rFonts w:ascii="Verdana" w:eastAsia="Times New Roman" w:hAnsi="Verdana" w:cs="Segoe UI"/>
                <w:sz w:val="22"/>
                <w:szCs w:val="22"/>
              </w:rPr>
              <w:t>EPA Cost Benefit Analysis indicates a positive NPV on the assumption that a state wide offset scheme is available (currently in development). Without an offset scheme, the cost benefit ration falls to approximately 0.8 at an estimated cost of $500M. </w:t>
            </w:r>
          </w:p>
          <w:p w14:paraId="6CDB84A3" w14:textId="68D0A8D2"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EPA and DELWP are progressing the introduction of a flow standard via guidance and the incoming General Environmental Duties. In parallel to this exercise, the best implementation pathway is being considered by DELWP. There are no clear timeframes when a policy instrument such as this will be implemented or how it might be achieved. </w:t>
            </w:r>
          </w:p>
        </w:tc>
      </w:tr>
      <w:tr w:rsidR="00996BBF" w:rsidRPr="0054242B" w14:paraId="3ABE8950" w14:textId="77777777" w:rsidTr="0054242B">
        <w:tc>
          <w:tcPr>
            <w:tcW w:w="999" w:type="dxa"/>
            <w:tcBorders>
              <w:top w:val="nil"/>
              <w:left w:val="single" w:sz="6" w:space="0" w:color="004282"/>
              <w:bottom w:val="dotted" w:sz="6" w:space="0" w:color="004282"/>
              <w:right w:val="dotted" w:sz="6" w:space="0" w:color="004282"/>
            </w:tcBorders>
            <w:shd w:val="clear" w:color="auto" w:fill="auto"/>
            <w:hideMark/>
          </w:tcPr>
          <w:p w14:paraId="05B2F13F" w14:textId="3F0A0BB0" w:rsidR="00996BBF" w:rsidRPr="0054242B" w:rsidRDefault="00996BBF" w:rsidP="0054242B">
            <w:pPr>
              <w:jc w:val="center"/>
              <w:textAlignment w:val="baseline"/>
              <w:rPr>
                <w:rFonts w:ascii="Verdana" w:eastAsia="Times New Roman" w:hAnsi="Verdana" w:cs="Segoe UI"/>
                <w:sz w:val="22"/>
                <w:szCs w:val="22"/>
              </w:rPr>
            </w:pPr>
            <w:r w:rsidRPr="0054242B">
              <w:rPr>
                <w:rFonts w:ascii="Verdana" w:eastAsia="Times New Roman" w:hAnsi="Verdana" w:cs="Segoe UI"/>
                <w:sz w:val="22"/>
                <w:szCs w:val="22"/>
              </w:rPr>
              <w:t>2</w:t>
            </w:r>
          </w:p>
        </w:tc>
        <w:tc>
          <w:tcPr>
            <w:tcW w:w="2546" w:type="dxa"/>
            <w:tcBorders>
              <w:top w:val="nil"/>
              <w:left w:val="nil"/>
              <w:bottom w:val="dotted" w:sz="6" w:space="0" w:color="004282"/>
              <w:right w:val="dotted" w:sz="6" w:space="0" w:color="004282"/>
            </w:tcBorders>
            <w:shd w:val="clear" w:color="auto" w:fill="auto"/>
            <w:hideMark/>
          </w:tcPr>
          <w:p w14:paraId="3CDDB748"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Direct investment in harvesting and infiltration infrastructure (preferred option) </w:t>
            </w:r>
          </w:p>
        </w:tc>
        <w:tc>
          <w:tcPr>
            <w:tcW w:w="1555" w:type="dxa"/>
            <w:tcBorders>
              <w:top w:val="nil"/>
              <w:left w:val="nil"/>
              <w:bottom w:val="dotted" w:sz="6" w:space="0" w:color="004282"/>
              <w:right w:val="dotted" w:sz="6" w:space="0" w:color="004282"/>
            </w:tcBorders>
            <w:shd w:val="clear" w:color="auto" w:fill="auto"/>
            <w:hideMark/>
          </w:tcPr>
          <w:p w14:paraId="20CD243E"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Ten investigation areas </w:t>
            </w:r>
          </w:p>
        </w:tc>
        <w:tc>
          <w:tcPr>
            <w:tcW w:w="1596" w:type="dxa"/>
            <w:tcBorders>
              <w:top w:val="nil"/>
              <w:left w:val="nil"/>
              <w:bottom w:val="dotted" w:sz="6" w:space="0" w:color="004282"/>
              <w:right w:val="dotted" w:sz="6" w:space="0" w:color="004282"/>
            </w:tcBorders>
            <w:shd w:val="clear" w:color="auto" w:fill="auto"/>
            <w:hideMark/>
          </w:tcPr>
          <w:p w14:paraId="78F42541"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Capital </w:t>
            </w:r>
          </w:p>
        </w:tc>
        <w:tc>
          <w:tcPr>
            <w:tcW w:w="6204" w:type="dxa"/>
            <w:tcBorders>
              <w:top w:val="nil"/>
              <w:left w:val="nil"/>
              <w:bottom w:val="dotted" w:sz="6" w:space="0" w:color="004282"/>
              <w:right w:val="dotted" w:sz="6" w:space="0" w:color="004282"/>
            </w:tcBorders>
            <w:shd w:val="clear" w:color="auto" w:fill="auto"/>
            <w:hideMark/>
          </w:tcPr>
          <w:p w14:paraId="49461A6F" w14:textId="42B141EE"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Deliver infrastructure to manage the quantity of stormwater generated from new urban development. HWS objectives can only be supported in selected priority areas, requiring identification and prioritisation of waterways to protect and others to allow to decline in condition </w:t>
            </w:r>
          </w:p>
        </w:tc>
        <w:tc>
          <w:tcPr>
            <w:tcW w:w="9781" w:type="dxa"/>
            <w:tcBorders>
              <w:top w:val="nil"/>
              <w:left w:val="nil"/>
              <w:bottom w:val="dotted" w:sz="6" w:space="0" w:color="004282"/>
              <w:right w:val="single" w:sz="6" w:space="0" w:color="004282"/>
            </w:tcBorders>
            <w:shd w:val="clear" w:color="auto" w:fill="auto"/>
            <w:hideMark/>
          </w:tcPr>
          <w:p w14:paraId="027E1A2B" w14:textId="464F7B76" w:rsidR="00996BBF" w:rsidRPr="0054242B" w:rsidRDefault="00996BBF" w:rsidP="00996BBF">
            <w:pPr>
              <w:pStyle w:val="ListBullet"/>
              <w:numPr>
                <w:ilvl w:val="0"/>
                <w:numId w:val="0"/>
              </w:numPr>
              <w:ind w:left="360" w:hanging="360"/>
              <w:rPr>
                <w:rFonts w:ascii="Verdana" w:hAnsi="Verdana" w:cs="Calibri"/>
                <w:sz w:val="22"/>
                <w:szCs w:val="22"/>
              </w:rPr>
            </w:pPr>
            <w:r w:rsidRPr="0054242B">
              <w:rPr>
                <w:rFonts w:ascii="Verdana" w:hAnsi="Verdana" w:cs="Segoe UI"/>
                <w:sz w:val="22"/>
                <w:szCs w:val="22"/>
              </w:rPr>
              <w:t>The business cases associated with this expenditure</w:t>
            </w:r>
          </w:p>
        </w:tc>
      </w:tr>
      <w:tr w:rsidR="00996BBF" w:rsidRPr="0054242B" w14:paraId="69113BE1" w14:textId="77777777" w:rsidTr="0054242B">
        <w:tc>
          <w:tcPr>
            <w:tcW w:w="999" w:type="dxa"/>
            <w:tcBorders>
              <w:top w:val="nil"/>
              <w:left w:val="single" w:sz="6" w:space="0" w:color="004282"/>
              <w:bottom w:val="dotted" w:sz="6" w:space="0" w:color="004282"/>
              <w:right w:val="dotted" w:sz="6" w:space="0" w:color="004282"/>
            </w:tcBorders>
            <w:shd w:val="clear" w:color="auto" w:fill="auto"/>
            <w:hideMark/>
          </w:tcPr>
          <w:p w14:paraId="3AA6838E" w14:textId="7F6F37F3" w:rsidR="00996BBF" w:rsidRPr="0054242B" w:rsidRDefault="00996BBF" w:rsidP="0054242B">
            <w:pPr>
              <w:jc w:val="center"/>
              <w:textAlignment w:val="baseline"/>
              <w:rPr>
                <w:rFonts w:ascii="Verdana" w:eastAsia="Times New Roman" w:hAnsi="Verdana" w:cs="Segoe UI"/>
                <w:sz w:val="22"/>
                <w:szCs w:val="22"/>
              </w:rPr>
            </w:pPr>
            <w:r w:rsidRPr="0054242B">
              <w:rPr>
                <w:rFonts w:ascii="Verdana" w:eastAsia="Times New Roman" w:hAnsi="Verdana" w:cs="Segoe UI"/>
                <w:sz w:val="22"/>
                <w:szCs w:val="22"/>
              </w:rPr>
              <w:t>3</w:t>
            </w:r>
          </w:p>
        </w:tc>
        <w:tc>
          <w:tcPr>
            <w:tcW w:w="2546" w:type="dxa"/>
            <w:tcBorders>
              <w:top w:val="nil"/>
              <w:left w:val="nil"/>
              <w:bottom w:val="dotted" w:sz="6" w:space="0" w:color="004282"/>
              <w:right w:val="dotted" w:sz="6" w:space="0" w:color="004282"/>
            </w:tcBorders>
            <w:shd w:val="clear" w:color="auto" w:fill="auto"/>
            <w:hideMark/>
          </w:tcPr>
          <w:p w14:paraId="21119FA0"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Market based instruments (e.g. tanks, grants); </w:t>
            </w:r>
          </w:p>
        </w:tc>
        <w:tc>
          <w:tcPr>
            <w:tcW w:w="1555" w:type="dxa"/>
            <w:tcBorders>
              <w:top w:val="nil"/>
              <w:left w:val="nil"/>
              <w:bottom w:val="dotted" w:sz="6" w:space="0" w:color="004282"/>
              <w:right w:val="dotted" w:sz="6" w:space="0" w:color="004282"/>
            </w:tcBorders>
            <w:shd w:val="clear" w:color="auto" w:fill="auto"/>
            <w:hideMark/>
          </w:tcPr>
          <w:p w14:paraId="3C258A14"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All 36 Priority Areas </w:t>
            </w:r>
          </w:p>
        </w:tc>
        <w:tc>
          <w:tcPr>
            <w:tcW w:w="1596" w:type="dxa"/>
            <w:tcBorders>
              <w:top w:val="nil"/>
              <w:left w:val="nil"/>
              <w:bottom w:val="dotted" w:sz="6" w:space="0" w:color="004282"/>
              <w:right w:val="dotted" w:sz="6" w:space="0" w:color="004282"/>
            </w:tcBorders>
            <w:shd w:val="clear" w:color="auto" w:fill="auto"/>
            <w:hideMark/>
          </w:tcPr>
          <w:p w14:paraId="072EE9A6"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OPEX </w:t>
            </w:r>
          </w:p>
        </w:tc>
        <w:tc>
          <w:tcPr>
            <w:tcW w:w="6204" w:type="dxa"/>
            <w:tcBorders>
              <w:top w:val="nil"/>
              <w:left w:val="nil"/>
              <w:bottom w:val="dotted" w:sz="6" w:space="0" w:color="004282"/>
              <w:right w:val="dotted" w:sz="6" w:space="0" w:color="004282"/>
            </w:tcBorders>
            <w:shd w:val="clear" w:color="auto" w:fill="auto"/>
            <w:hideMark/>
          </w:tcPr>
          <w:p w14:paraId="2DC64A9D" w14:textId="71CB2C21" w:rsidR="00996BBF" w:rsidRPr="0054242B" w:rsidRDefault="00996BBF" w:rsidP="00996BBF">
            <w:pPr>
              <w:textAlignment w:val="baseline"/>
              <w:rPr>
                <w:rFonts w:ascii="Verdana" w:eastAsia="Times New Roman" w:hAnsi="Verdana" w:cs="Segoe UI"/>
                <w:sz w:val="22"/>
                <w:szCs w:val="22"/>
              </w:rPr>
            </w:pPr>
            <w:r w:rsidRPr="0054242B">
              <w:rPr>
                <w:rFonts w:ascii="Verdana" w:hAnsi="Verdana" w:cs="Segoe UI"/>
                <w:sz w:val="22"/>
                <w:szCs w:val="22"/>
              </w:rPr>
              <w:t>Provide incentives to partners to deliver infrastructure to manage the quantity of stormwater generated from new development.</w:t>
            </w:r>
          </w:p>
        </w:tc>
        <w:tc>
          <w:tcPr>
            <w:tcW w:w="9781" w:type="dxa"/>
            <w:tcBorders>
              <w:top w:val="nil"/>
              <w:left w:val="nil"/>
              <w:bottom w:val="dotted" w:sz="6" w:space="0" w:color="004282"/>
              <w:right w:val="single" w:sz="6" w:space="0" w:color="004282"/>
            </w:tcBorders>
            <w:shd w:val="clear" w:color="auto" w:fill="auto"/>
            <w:hideMark/>
          </w:tcPr>
          <w:p w14:paraId="2B29438D" w14:textId="44E2F26E" w:rsidR="00996BBF" w:rsidRPr="0054242B" w:rsidRDefault="00996BBF" w:rsidP="00996BBF">
            <w:pPr>
              <w:textAlignment w:val="baseline"/>
              <w:rPr>
                <w:rFonts w:ascii="Verdana" w:eastAsia="Times New Roman" w:hAnsi="Verdana" w:cs="Segoe UI"/>
                <w:sz w:val="22"/>
                <w:szCs w:val="22"/>
              </w:rPr>
            </w:pPr>
            <w:r w:rsidRPr="0054242B">
              <w:rPr>
                <w:rFonts w:ascii="Verdana" w:hAnsi="Verdana" w:cs="Segoe UI"/>
                <w:sz w:val="22"/>
                <w:szCs w:val="22"/>
              </w:rPr>
              <w:t>Market based instruments are generally suitable for delivering lot-scale to medium-scale infrastructure at a low to medium cost effectiveness but are not able to support such a large volume of stormwater harvesting. Most appropriate where large-scale infrastructure is infeasible, e.g. due to site constraints.</w:t>
            </w:r>
          </w:p>
        </w:tc>
      </w:tr>
      <w:tr w:rsidR="00996BBF" w:rsidRPr="0054242B" w14:paraId="0CD83152" w14:textId="77777777" w:rsidTr="0054242B">
        <w:tc>
          <w:tcPr>
            <w:tcW w:w="999" w:type="dxa"/>
            <w:tcBorders>
              <w:top w:val="nil"/>
              <w:left w:val="single" w:sz="6" w:space="0" w:color="004282"/>
              <w:bottom w:val="dotted" w:sz="6" w:space="0" w:color="004282"/>
              <w:right w:val="dotted" w:sz="6" w:space="0" w:color="004282"/>
            </w:tcBorders>
            <w:shd w:val="clear" w:color="auto" w:fill="auto"/>
            <w:hideMark/>
          </w:tcPr>
          <w:p w14:paraId="553327C4" w14:textId="68C25D63" w:rsidR="00996BBF" w:rsidRPr="0054242B" w:rsidRDefault="00996BBF" w:rsidP="0054242B">
            <w:pPr>
              <w:jc w:val="center"/>
              <w:textAlignment w:val="baseline"/>
              <w:rPr>
                <w:rFonts w:ascii="Verdana" w:eastAsia="Times New Roman" w:hAnsi="Verdana" w:cs="Segoe UI"/>
                <w:sz w:val="22"/>
                <w:szCs w:val="22"/>
              </w:rPr>
            </w:pPr>
            <w:r w:rsidRPr="0054242B">
              <w:rPr>
                <w:rFonts w:ascii="Verdana" w:eastAsia="Times New Roman" w:hAnsi="Verdana" w:cs="Segoe UI"/>
                <w:sz w:val="22"/>
                <w:szCs w:val="22"/>
              </w:rPr>
              <w:t>4</w:t>
            </w:r>
          </w:p>
        </w:tc>
        <w:tc>
          <w:tcPr>
            <w:tcW w:w="2546" w:type="dxa"/>
            <w:tcBorders>
              <w:top w:val="nil"/>
              <w:left w:val="nil"/>
              <w:bottom w:val="dotted" w:sz="6" w:space="0" w:color="004282"/>
              <w:right w:val="dotted" w:sz="6" w:space="0" w:color="004282"/>
            </w:tcBorders>
            <w:shd w:val="clear" w:color="auto" w:fill="auto"/>
            <w:hideMark/>
          </w:tcPr>
          <w:p w14:paraId="26895BCD"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Information provision, capacity building, research and development (e.g. Clearwater) </w:t>
            </w:r>
          </w:p>
        </w:tc>
        <w:tc>
          <w:tcPr>
            <w:tcW w:w="1555" w:type="dxa"/>
            <w:tcBorders>
              <w:top w:val="nil"/>
              <w:left w:val="nil"/>
              <w:bottom w:val="dotted" w:sz="6" w:space="0" w:color="004282"/>
              <w:right w:val="dotted" w:sz="6" w:space="0" w:color="004282"/>
            </w:tcBorders>
            <w:shd w:val="clear" w:color="auto" w:fill="auto"/>
            <w:hideMark/>
          </w:tcPr>
          <w:p w14:paraId="7E9399E4"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All 36 Priority Areas </w:t>
            </w:r>
          </w:p>
        </w:tc>
        <w:tc>
          <w:tcPr>
            <w:tcW w:w="1596" w:type="dxa"/>
            <w:tcBorders>
              <w:top w:val="nil"/>
              <w:left w:val="nil"/>
              <w:bottom w:val="dotted" w:sz="6" w:space="0" w:color="004282"/>
              <w:right w:val="dotted" w:sz="6" w:space="0" w:color="004282"/>
            </w:tcBorders>
            <w:shd w:val="clear" w:color="auto" w:fill="auto"/>
            <w:hideMark/>
          </w:tcPr>
          <w:p w14:paraId="7F83B889"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OPEX </w:t>
            </w:r>
          </w:p>
        </w:tc>
        <w:tc>
          <w:tcPr>
            <w:tcW w:w="6204" w:type="dxa"/>
            <w:tcBorders>
              <w:top w:val="nil"/>
              <w:left w:val="nil"/>
              <w:bottom w:val="dotted" w:sz="6" w:space="0" w:color="004282"/>
              <w:right w:val="dotted" w:sz="6" w:space="0" w:color="004282"/>
            </w:tcBorders>
            <w:shd w:val="clear" w:color="auto" w:fill="auto"/>
          </w:tcPr>
          <w:p w14:paraId="517B3A2E" w14:textId="77777777" w:rsidR="00996BBF" w:rsidRPr="0054242B" w:rsidRDefault="00996BBF" w:rsidP="00996BBF">
            <w:pPr>
              <w:spacing w:before="40" w:after="40"/>
              <w:rPr>
                <w:rFonts w:ascii="Verdana" w:hAnsi="Verdana" w:cs="Segoe UI"/>
                <w:sz w:val="22"/>
                <w:szCs w:val="22"/>
              </w:rPr>
            </w:pPr>
            <w:r w:rsidRPr="0054242B">
              <w:rPr>
                <w:rFonts w:ascii="Verdana" w:hAnsi="Verdana" w:cs="Segoe UI"/>
                <w:sz w:val="22"/>
                <w:szCs w:val="22"/>
              </w:rPr>
              <w:t>New technical guidelines, practitioner training, research into new technologies and methods are required to enable delivery of the HWS stormwater objectives.</w:t>
            </w:r>
          </w:p>
          <w:p w14:paraId="7F73D6D7" w14:textId="77777777" w:rsidR="00996BBF" w:rsidRPr="0054242B" w:rsidRDefault="00996BBF" w:rsidP="00996BBF">
            <w:pPr>
              <w:spacing w:before="40" w:after="40"/>
              <w:rPr>
                <w:rFonts w:ascii="Verdana" w:eastAsia="Calibri" w:hAnsi="Verdana" w:cs="Calibri"/>
                <w:sz w:val="22"/>
                <w:szCs w:val="22"/>
              </w:rPr>
            </w:pPr>
            <w:r w:rsidRPr="0054242B">
              <w:rPr>
                <w:rFonts w:ascii="Verdana" w:hAnsi="Verdana" w:cs="Segoe UI"/>
                <w:sz w:val="22"/>
                <w:szCs w:val="22"/>
              </w:rPr>
              <w:t>Research and investigation into the use of real time control technologies to release water from stormwater storages (ponds, lakes and tanks) during periods of drought and low flows to improve habitat for platypus.</w:t>
            </w:r>
          </w:p>
          <w:p w14:paraId="7B4B5195" w14:textId="672D4E6A" w:rsidR="00996BBF" w:rsidRPr="0054242B" w:rsidRDefault="00996BBF" w:rsidP="00996BBF">
            <w:pPr>
              <w:textAlignment w:val="baseline"/>
              <w:rPr>
                <w:rFonts w:ascii="Verdana" w:eastAsia="Times New Roman" w:hAnsi="Verdana" w:cs="Segoe UI"/>
                <w:sz w:val="22"/>
                <w:szCs w:val="22"/>
              </w:rPr>
            </w:pPr>
          </w:p>
        </w:tc>
        <w:tc>
          <w:tcPr>
            <w:tcW w:w="9781" w:type="dxa"/>
            <w:tcBorders>
              <w:top w:val="nil"/>
              <w:left w:val="nil"/>
              <w:bottom w:val="dotted" w:sz="6" w:space="0" w:color="004282"/>
              <w:right w:val="single" w:sz="6" w:space="0" w:color="004282"/>
            </w:tcBorders>
            <w:shd w:val="clear" w:color="auto" w:fill="auto"/>
          </w:tcPr>
          <w:p w14:paraId="7209238B" w14:textId="77777777" w:rsidR="00996BBF" w:rsidRPr="0054242B" w:rsidRDefault="00996BBF" w:rsidP="00996BBF">
            <w:pPr>
              <w:spacing w:before="40" w:after="40"/>
              <w:textAlignment w:val="baseline"/>
              <w:rPr>
                <w:rFonts w:ascii="Verdana" w:hAnsi="Verdana" w:cs="Segoe UI"/>
                <w:sz w:val="22"/>
                <w:szCs w:val="22"/>
              </w:rPr>
            </w:pPr>
            <w:r w:rsidRPr="0054242B">
              <w:rPr>
                <w:rFonts w:ascii="Verdana" w:hAnsi="Verdana" w:cs="Segoe UI"/>
                <w:sz w:val="22"/>
                <w:szCs w:val="22"/>
              </w:rPr>
              <w:t xml:space="preserve">This option is a crucial enabling factor in a holistic stormwater program. It is critical to support industry adoption of new beyond BAU approaches that are necessary for delivery and operation of the stormwater harvesting and infiltration infrastructure solutions.  </w:t>
            </w:r>
          </w:p>
          <w:p w14:paraId="1385BE0A" w14:textId="63A58720" w:rsidR="00996BBF" w:rsidRPr="0054242B" w:rsidRDefault="00996BBF" w:rsidP="00996BBF">
            <w:pPr>
              <w:textAlignment w:val="baseline"/>
              <w:rPr>
                <w:rFonts w:ascii="Verdana" w:eastAsia="Times New Roman" w:hAnsi="Verdana" w:cs="Segoe UI"/>
                <w:sz w:val="22"/>
                <w:szCs w:val="22"/>
              </w:rPr>
            </w:pPr>
            <w:r w:rsidRPr="0054242B">
              <w:rPr>
                <w:rFonts w:ascii="Verdana" w:hAnsi="Verdana" w:cs="Segoe UI"/>
                <w:sz w:val="22"/>
                <w:szCs w:val="22"/>
              </w:rPr>
              <w:t>It can result in zero on-ground infrastructure or investment and therefore MW cannot control the impact of this option and it cannot be relied on to protect Emu and Jacksons Creeks</w:t>
            </w:r>
          </w:p>
        </w:tc>
      </w:tr>
      <w:tr w:rsidR="00996BBF" w:rsidRPr="0054242B" w14:paraId="2CEE40B4" w14:textId="77777777" w:rsidTr="0054242B">
        <w:tc>
          <w:tcPr>
            <w:tcW w:w="999" w:type="dxa"/>
            <w:tcBorders>
              <w:top w:val="nil"/>
              <w:left w:val="single" w:sz="6" w:space="0" w:color="004282"/>
              <w:bottom w:val="single" w:sz="6" w:space="0" w:color="004282"/>
              <w:right w:val="dotted" w:sz="6" w:space="0" w:color="004282"/>
            </w:tcBorders>
            <w:shd w:val="clear" w:color="auto" w:fill="auto"/>
            <w:hideMark/>
          </w:tcPr>
          <w:p w14:paraId="5CE8C64B" w14:textId="03857F67" w:rsidR="00996BBF" w:rsidRPr="0054242B" w:rsidRDefault="00996BBF" w:rsidP="0054242B">
            <w:pPr>
              <w:jc w:val="center"/>
              <w:textAlignment w:val="baseline"/>
              <w:rPr>
                <w:rFonts w:ascii="Verdana" w:eastAsia="Times New Roman" w:hAnsi="Verdana" w:cs="Segoe UI"/>
                <w:sz w:val="22"/>
                <w:szCs w:val="22"/>
              </w:rPr>
            </w:pPr>
            <w:r w:rsidRPr="0054242B">
              <w:rPr>
                <w:rFonts w:ascii="Verdana" w:eastAsia="Times New Roman" w:hAnsi="Verdana" w:cs="Segoe UI"/>
                <w:sz w:val="22"/>
                <w:szCs w:val="22"/>
              </w:rPr>
              <w:t>5</w:t>
            </w:r>
          </w:p>
        </w:tc>
        <w:tc>
          <w:tcPr>
            <w:tcW w:w="2546" w:type="dxa"/>
            <w:tcBorders>
              <w:top w:val="nil"/>
              <w:left w:val="nil"/>
              <w:bottom w:val="single" w:sz="6" w:space="0" w:color="004282"/>
              <w:right w:val="dotted" w:sz="6" w:space="0" w:color="004282"/>
            </w:tcBorders>
            <w:shd w:val="clear" w:color="auto" w:fill="auto"/>
            <w:hideMark/>
          </w:tcPr>
          <w:p w14:paraId="690C0B3A"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Planning controls and overlays </w:t>
            </w:r>
          </w:p>
        </w:tc>
        <w:tc>
          <w:tcPr>
            <w:tcW w:w="1555" w:type="dxa"/>
            <w:tcBorders>
              <w:top w:val="nil"/>
              <w:left w:val="nil"/>
              <w:bottom w:val="single" w:sz="6" w:space="0" w:color="004282"/>
              <w:right w:val="dotted" w:sz="6" w:space="0" w:color="004282"/>
            </w:tcBorders>
            <w:shd w:val="clear" w:color="auto" w:fill="auto"/>
            <w:hideMark/>
          </w:tcPr>
          <w:p w14:paraId="0E17A410"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Ten investigation areas </w:t>
            </w:r>
          </w:p>
        </w:tc>
        <w:tc>
          <w:tcPr>
            <w:tcW w:w="1596" w:type="dxa"/>
            <w:tcBorders>
              <w:top w:val="nil"/>
              <w:left w:val="nil"/>
              <w:bottom w:val="single" w:sz="6" w:space="0" w:color="004282"/>
              <w:right w:val="dotted" w:sz="6" w:space="0" w:color="004282"/>
            </w:tcBorders>
            <w:shd w:val="clear" w:color="auto" w:fill="auto"/>
            <w:hideMark/>
          </w:tcPr>
          <w:p w14:paraId="3BFDB42F" w14:textId="77777777" w:rsidR="00996BBF" w:rsidRPr="0054242B" w:rsidRDefault="00996BBF" w:rsidP="00996BBF">
            <w:pPr>
              <w:textAlignment w:val="baseline"/>
              <w:rPr>
                <w:rFonts w:ascii="Verdana" w:eastAsia="Times New Roman" w:hAnsi="Verdana" w:cs="Segoe UI"/>
                <w:sz w:val="22"/>
                <w:szCs w:val="22"/>
              </w:rPr>
            </w:pPr>
            <w:r w:rsidRPr="0054242B">
              <w:rPr>
                <w:rFonts w:ascii="Verdana" w:eastAsia="Times New Roman" w:hAnsi="Verdana" w:cs="Segoe UI"/>
                <w:sz w:val="22"/>
                <w:szCs w:val="22"/>
              </w:rPr>
              <w:t>OPEX </w:t>
            </w:r>
          </w:p>
        </w:tc>
        <w:tc>
          <w:tcPr>
            <w:tcW w:w="6204" w:type="dxa"/>
            <w:tcBorders>
              <w:top w:val="nil"/>
              <w:left w:val="nil"/>
              <w:bottom w:val="single" w:sz="6" w:space="0" w:color="004282"/>
              <w:right w:val="dotted" w:sz="6" w:space="0" w:color="004282"/>
            </w:tcBorders>
            <w:shd w:val="clear" w:color="auto" w:fill="auto"/>
          </w:tcPr>
          <w:p w14:paraId="0EF635A9" w14:textId="3DBDE7D4" w:rsidR="00996BBF" w:rsidRPr="0054242B" w:rsidRDefault="00996BBF" w:rsidP="00996BBF">
            <w:pPr>
              <w:textAlignment w:val="baseline"/>
              <w:rPr>
                <w:rFonts w:ascii="Verdana" w:eastAsia="Times New Roman" w:hAnsi="Verdana" w:cs="Segoe UI"/>
                <w:sz w:val="22"/>
                <w:szCs w:val="22"/>
              </w:rPr>
            </w:pPr>
            <w:r w:rsidRPr="0054242B">
              <w:rPr>
                <w:rFonts w:ascii="Verdana" w:hAnsi="Verdana" w:cs="Segoe UI"/>
                <w:sz w:val="22"/>
                <w:szCs w:val="22"/>
              </w:rPr>
              <w:t>This option would require Melbourne Water to seek to develop planning controls to strengthen the ecological protection and restoration of waterways. The Victoria Planning Provisions (the VPPs) currently include a consideration of stormwater management through Clause 56 and, more recently following the gazettal of Amendment VC154, within Clause 53.18 and Clause 55. These provisions seek to achieve development that is aligned with the Best Practice Environmental Management Guidelines (the BPEM) for stormwater</w:t>
            </w:r>
          </w:p>
        </w:tc>
        <w:tc>
          <w:tcPr>
            <w:tcW w:w="9781" w:type="dxa"/>
            <w:tcBorders>
              <w:top w:val="nil"/>
              <w:left w:val="nil"/>
              <w:bottom w:val="single" w:sz="6" w:space="0" w:color="004282"/>
              <w:right w:val="single" w:sz="6" w:space="0" w:color="004282"/>
            </w:tcBorders>
            <w:shd w:val="clear" w:color="auto" w:fill="auto"/>
          </w:tcPr>
          <w:p w14:paraId="1FD5AFBC" w14:textId="77777777" w:rsidR="00996BBF" w:rsidRPr="0054242B" w:rsidRDefault="00996BBF" w:rsidP="00996BBF">
            <w:pPr>
              <w:spacing w:before="40" w:after="40"/>
              <w:rPr>
                <w:rFonts w:ascii="Verdana" w:eastAsia="Verdana" w:hAnsi="Verdana" w:cs="Segoe UI"/>
                <w:sz w:val="22"/>
                <w:szCs w:val="22"/>
              </w:rPr>
            </w:pPr>
            <w:r w:rsidRPr="0054242B">
              <w:rPr>
                <w:rFonts w:ascii="Verdana" w:eastAsia="Verdana" w:hAnsi="Verdana" w:cs="Segoe UI"/>
                <w:sz w:val="22"/>
                <w:szCs w:val="22"/>
              </w:rPr>
              <w:t>Despite these provisions, there remains significant gaps in the framework for stormwater management and catchment health within the planning system. Our investigations have identified that there are a range of zones where development is not required to meet the BPEM and that the BPEM is inconsistently applied within existing particular provisions in the VPPs.</w:t>
            </w:r>
          </w:p>
          <w:p w14:paraId="63C37B2A" w14:textId="77777777" w:rsidR="00996BBF" w:rsidRPr="0054242B" w:rsidRDefault="00996BBF" w:rsidP="00996BBF">
            <w:pPr>
              <w:spacing w:before="40" w:after="40"/>
              <w:rPr>
                <w:rFonts w:ascii="Verdana" w:eastAsia="Verdana" w:hAnsi="Verdana" w:cs="Segoe UI"/>
                <w:sz w:val="22"/>
                <w:szCs w:val="22"/>
              </w:rPr>
            </w:pPr>
            <w:r w:rsidRPr="0054242B">
              <w:rPr>
                <w:rFonts w:ascii="Verdana" w:eastAsia="Verdana" w:hAnsi="Verdana" w:cs="Segoe UI"/>
                <w:sz w:val="22"/>
                <w:szCs w:val="22"/>
              </w:rPr>
              <w:t>Options in this space include developing a conceptual design for a Schedule to the Environmental Significance Overlay (ESO) to address these gaps and deliver a stronger stormwater standard to deliver stronger ecological protection and restoration of waterways. It seeks to apply the ESO to priority areas identified in the Healthy Waterways Strategy and be sufficiently robust to address a range of scenarios</w:t>
            </w:r>
          </w:p>
          <w:p w14:paraId="16754BEB" w14:textId="5D58D91E" w:rsidR="00996BBF" w:rsidRPr="0054242B" w:rsidRDefault="00996BBF" w:rsidP="00996BBF">
            <w:pPr>
              <w:textAlignment w:val="baseline"/>
              <w:rPr>
                <w:rFonts w:ascii="Verdana" w:eastAsia="Times New Roman" w:hAnsi="Verdana" w:cs="Segoe UI"/>
                <w:sz w:val="22"/>
                <w:szCs w:val="22"/>
              </w:rPr>
            </w:pPr>
            <w:r w:rsidRPr="0054242B">
              <w:rPr>
                <w:rFonts w:ascii="Verdana" w:eastAsia="Verdana" w:hAnsi="Verdana" w:cs="Segoe UI"/>
                <w:sz w:val="22"/>
                <w:szCs w:val="22"/>
              </w:rPr>
              <w:t>The pitfalls of these options are the timeframes to influence policy makers and pace of development occurring.</w:t>
            </w:r>
          </w:p>
        </w:tc>
      </w:tr>
    </w:tbl>
    <w:p w14:paraId="0E465612" w14:textId="3B60B8C5" w:rsidR="0019068B" w:rsidRPr="006F5609" w:rsidRDefault="0019068B" w:rsidP="009E552B">
      <w:pPr>
        <w:rPr>
          <w:rFonts w:ascii="Verdana" w:eastAsiaTheme="minorEastAsia" w:hAnsi="Verdana" w:cstheme="minorHAnsi"/>
          <w:sz w:val="20"/>
          <w:szCs w:val="20"/>
        </w:rPr>
      </w:pPr>
    </w:p>
    <w:p w14:paraId="2CC8B115" w14:textId="2A3E44D4" w:rsidR="0019068B" w:rsidRPr="006F5609" w:rsidRDefault="0019068B" w:rsidP="009E552B">
      <w:pPr>
        <w:rPr>
          <w:rFonts w:ascii="Verdana" w:eastAsiaTheme="minorEastAsia" w:hAnsi="Verdana" w:cstheme="minorHAnsi"/>
          <w:sz w:val="20"/>
          <w:szCs w:val="20"/>
        </w:rPr>
      </w:pPr>
      <w:bookmarkStart w:id="2" w:name="_GoBack"/>
      <w:bookmarkEnd w:id="2"/>
    </w:p>
    <w:sectPr w:rsidR="0019068B" w:rsidRPr="006F5609" w:rsidSect="0054242B">
      <w:pgSz w:w="23811" w:h="16838" w:orient="landscape" w:code="8"/>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29BCCA" w16cex:dateUtc="2021-04-20T10:49:00Z"/>
  <w16cex:commentExtensible w16cex:durableId="2429A53D" w16cex:dateUtc="2021-04-20T09:08:00Z"/>
  <w16cex:commentExtensible w16cex:durableId="242924C4" w16cex:dateUtc="2021-04-20T00:00:00Z"/>
  <w16cex:commentExtensible w16cex:durableId="242922A7" w16cex:dateUtc="2021-04-19T23:51:00Z"/>
  <w16cex:commentExtensible w16cex:durableId="27530F56" w16cex:dateUtc="2021-04-23T01:54:20.743Z"/>
</w16cex:commentsExtensible>
</file>

<file path=word/commentsIds.xml><?xml version="1.0" encoding="utf-8"?>
<w16cid:commentsIds xmlns:mc="http://schemas.openxmlformats.org/markup-compatibility/2006" xmlns:w16cid="http://schemas.microsoft.com/office/word/2016/wordml/cid" mc:Ignorable="w16cid">
  <w16cid:commentId w16cid:paraId="5F363D65" w16cid:durableId="2429BCCA"/>
  <w16cid:commentId w16cid:paraId="4C24460F" w16cid:durableId="2429A53D"/>
  <w16cid:commentId w16cid:paraId="5E20625A" w16cid:durableId="242924C4"/>
  <w16cid:commentId w16cid:paraId="74108A02" w16cid:durableId="242922A7"/>
  <w16cid:commentId w16cid:paraId="5FE3E6A9" w16cid:durableId="24292250"/>
  <w16cid:commentId w16cid:paraId="424509DC" w16cid:durableId="3A15367C"/>
  <w16cid:commentId w16cid:paraId="49DE15F7" w16cid:durableId="1B744C83"/>
  <w16cid:commentId w16cid:paraId="10C9643E" w16cid:durableId="27530F56"/>
  <w16cid:commentId w16cid:paraId="1923320C" w16cid:durableId="73BC89D3"/>
  <w16cid:commentId w16cid:paraId="774BC96B" w16cid:durableId="422F026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45F40" w14:textId="77777777" w:rsidR="001F5056" w:rsidRDefault="001F5056" w:rsidP="00FD2CE1">
      <w:r>
        <w:separator/>
      </w:r>
    </w:p>
  </w:endnote>
  <w:endnote w:type="continuationSeparator" w:id="0">
    <w:p w14:paraId="2251CE0D" w14:textId="77777777" w:rsidR="001F5056" w:rsidRDefault="001F5056" w:rsidP="00FD2CE1">
      <w:r>
        <w:continuationSeparator/>
      </w:r>
    </w:p>
  </w:endnote>
  <w:endnote w:type="continuationNotice" w:id="1">
    <w:p w14:paraId="28A2DC70" w14:textId="77777777" w:rsidR="001F5056" w:rsidRDefault="001F5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3572E" w14:textId="77777777" w:rsidR="0054242B" w:rsidRDefault="005424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AB63" w14:textId="77777777" w:rsidR="0054242B" w:rsidRDefault="005424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35A11" w14:textId="77777777" w:rsidR="0054242B" w:rsidRDefault="00542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3301D" w14:textId="77777777" w:rsidR="001F5056" w:rsidRDefault="001F5056" w:rsidP="00FD2CE1">
      <w:r>
        <w:separator/>
      </w:r>
    </w:p>
  </w:footnote>
  <w:footnote w:type="continuationSeparator" w:id="0">
    <w:p w14:paraId="146F9335" w14:textId="77777777" w:rsidR="001F5056" w:rsidRDefault="001F5056" w:rsidP="00FD2CE1">
      <w:r>
        <w:continuationSeparator/>
      </w:r>
    </w:p>
  </w:footnote>
  <w:footnote w:type="continuationNotice" w:id="1">
    <w:p w14:paraId="194D202E" w14:textId="77777777" w:rsidR="001F5056" w:rsidRDefault="001F5056"/>
  </w:footnote>
  <w:footnote w:id="2">
    <w:p w14:paraId="33AA6533" w14:textId="77777777" w:rsidR="00B012EF" w:rsidRPr="00A524F1" w:rsidRDefault="00B012EF" w:rsidP="00630F0F">
      <w:pPr>
        <w:pStyle w:val="FootnoteText"/>
        <w:rPr>
          <w:rFonts w:asciiTheme="minorHAnsi" w:hAnsiTheme="minorHAnsi" w:cstheme="minorHAnsi"/>
          <w:sz w:val="18"/>
        </w:rPr>
      </w:pPr>
      <w:r w:rsidRPr="00A524F1">
        <w:rPr>
          <w:rStyle w:val="FootnoteReference"/>
          <w:rFonts w:asciiTheme="minorHAnsi" w:hAnsiTheme="minorHAnsi" w:cstheme="minorHAnsi"/>
          <w:sz w:val="18"/>
        </w:rPr>
        <w:footnoteRef/>
      </w:r>
      <w:r w:rsidRPr="00A524F1">
        <w:rPr>
          <w:rFonts w:asciiTheme="minorHAnsi" w:hAnsiTheme="minorHAnsi" w:cstheme="minorHAnsi"/>
          <w:sz w:val="18"/>
        </w:rPr>
        <w:t xml:space="preserve"> The Victorian Waterway Management Strategy (2013) outlines the following tools and approaches for waterway managers: direct government investment; market based instruments (for example, grants, subsidies, trading and auctions); information provision (research and development, or extension); and regulation.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041FC" w14:textId="77777777" w:rsidR="0054242B" w:rsidRDefault="005424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7F5AC" w14:textId="3F26C2CB" w:rsidR="006F5609" w:rsidRPr="006F5609" w:rsidRDefault="006F5609" w:rsidP="006F5609">
    <w:pPr>
      <w:ind w:right="-330"/>
      <w:jc w:val="right"/>
      <w:rPr>
        <w:rFonts w:ascii="Verdana" w:eastAsia="Times New Roman" w:hAnsi="Verdana"/>
        <w:color w:val="000000" w:themeColor="text1"/>
      </w:rPr>
    </w:pPr>
    <w:r w:rsidRPr="006F5609">
      <w:rPr>
        <w:rFonts w:ascii="Verdana" w:eastAsia="Times New Roman" w:hAnsi="Verdana"/>
        <w:color w:val="000000" w:themeColor="text1"/>
      </w:rPr>
      <w:t>Stormwater Program Investment: Large Scale Stormwater Harvesting</w:t>
    </w:r>
  </w:p>
  <w:p w14:paraId="06811374" w14:textId="77777777" w:rsidR="0043526E" w:rsidRDefault="004352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3ADE1" w14:textId="77777777" w:rsidR="0054242B" w:rsidRDefault="005424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F5A065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C2AA8"/>
    <w:multiLevelType w:val="hybridMultilevel"/>
    <w:tmpl w:val="633EC5F8"/>
    <w:lvl w:ilvl="0" w:tplc="3E74389E">
      <w:start w:val="1"/>
      <w:numFmt w:val="bullet"/>
      <w:lvlText w:val=""/>
      <w:lvlJc w:val="left"/>
      <w:pPr>
        <w:ind w:left="720" w:hanging="360"/>
      </w:pPr>
      <w:rPr>
        <w:rFonts w:ascii="Symbol" w:hAnsi="Symbol" w:hint="default"/>
      </w:rPr>
    </w:lvl>
    <w:lvl w:ilvl="1" w:tplc="8A44F2B8">
      <w:start w:val="1"/>
      <w:numFmt w:val="bullet"/>
      <w:lvlText w:val="o"/>
      <w:lvlJc w:val="left"/>
      <w:pPr>
        <w:ind w:left="1440" w:hanging="360"/>
      </w:pPr>
      <w:rPr>
        <w:rFonts w:ascii="Courier New" w:hAnsi="Courier New" w:hint="default"/>
      </w:rPr>
    </w:lvl>
    <w:lvl w:ilvl="2" w:tplc="42701110">
      <w:start w:val="1"/>
      <w:numFmt w:val="bullet"/>
      <w:lvlText w:val=""/>
      <w:lvlJc w:val="left"/>
      <w:pPr>
        <w:ind w:left="2160" w:hanging="360"/>
      </w:pPr>
      <w:rPr>
        <w:rFonts w:ascii="Wingdings" w:hAnsi="Wingdings" w:hint="default"/>
      </w:rPr>
    </w:lvl>
    <w:lvl w:ilvl="3" w:tplc="F5D829FC">
      <w:start w:val="1"/>
      <w:numFmt w:val="bullet"/>
      <w:lvlText w:val=""/>
      <w:lvlJc w:val="left"/>
      <w:pPr>
        <w:ind w:left="2880" w:hanging="360"/>
      </w:pPr>
      <w:rPr>
        <w:rFonts w:ascii="Symbol" w:hAnsi="Symbol" w:hint="default"/>
      </w:rPr>
    </w:lvl>
    <w:lvl w:ilvl="4" w:tplc="145C63E2">
      <w:start w:val="1"/>
      <w:numFmt w:val="bullet"/>
      <w:lvlText w:val="o"/>
      <w:lvlJc w:val="left"/>
      <w:pPr>
        <w:ind w:left="3600" w:hanging="360"/>
      </w:pPr>
      <w:rPr>
        <w:rFonts w:ascii="Courier New" w:hAnsi="Courier New" w:hint="default"/>
      </w:rPr>
    </w:lvl>
    <w:lvl w:ilvl="5" w:tplc="518E2A90">
      <w:start w:val="1"/>
      <w:numFmt w:val="bullet"/>
      <w:lvlText w:val=""/>
      <w:lvlJc w:val="left"/>
      <w:pPr>
        <w:ind w:left="4320" w:hanging="360"/>
      </w:pPr>
      <w:rPr>
        <w:rFonts w:ascii="Wingdings" w:hAnsi="Wingdings" w:hint="default"/>
      </w:rPr>
    </w:lvl>
    <w:lvl w:ilvl="6" w:tplc="398871BA">
      <w:start w:val="1"/>
      <w:numFmt w:val="bullet"/>
      <w:lvlText w:val=""/>
      <w:lvlJc w:val="left"/>
      <w:pPr>
        <w:ind w:left="5040" w:hanging="360"/>
      </w:pPr>
      <w:rPr>
        <w:rFonts w:ascii="Symbol" w:hAnsi="Symbol" w:hint="default"/>
      </w:rPr>
    </w:lvl>
    <w:lvl w:ilvl="7" w:tplc="67EAEE98">
      <w:start w:val="1"/>
      <w:numFmt w:val="bullet"/>
      <w:lvlText w:val="o"/>
      <w:lvlJc w:val="left"/>
      <w:pPr>
        <w:ind w:left="5760" w:hanging="360"/>
      </w:pPr>
      <w:rPr>
        <w:rFonts w:ascii="Courier New" w:hAnsi="Courier New" w:hint="default"/>
      </w:rPr>
    </w:lvl>
    <w:lvl w:ilvl="8" w:tplc="D3A6039C">
      <w:start w:val="1"/>
      <w:numFmt w:val="bullet"/>
      <w:lvlText w:val=""/>
      <w:lvlJc w:val="left"/>
      <w:pPr>
        <w:ind w:left="6480" w:hanging="360"/>
      </w:pPr>
      <w:rPr>
        <w:rFonts w:ascii="Wingdings" w:hAnsi="Wingdings" w:hint="default"/>
      </w:rPr>
    </w:lvl>
  </w:abstractNum>
  <w:abstractNum w:abstractNumId="2" w15:restartNumberingAfterBreak="0">
    <w:nsid w:val="007412ED"/>
    <w:multiLevelType w:val="hybridMultilevel"/>
    <w:tmpl w:val="7A184974"/>
    <w:lvl w:ilvl="0" w:tplc="3BD2372A">
      <w:start w:val="1"/>
      <w:numFmt w:val="bullet"/>
      <w:lvlText w:val="–"/>
      <w:lvlJc w:val="left"/>
      <w:pPr>
        <w:ind w:left="720" w:hanging="360"/>
      </w:pPr>
      <w:rPr>
        <w:rFonts w:ascii="Arial" w:hAnsi="Arial" w:hint="default"/>
      </w:rPr>
    </w:lvl>
    <w:lvl w:ilvl="1" w:tplc="AB5671B0">
      <w:start w:val="1"/>
      <w:numFmt w:val="bullet"/>
      <w:lvlText w:val="o"/>
      <w:lvlJc w:val="left"/>
      <w:pPr>
        <w:ind w:left="1440" w:hanging="360"/>
      </w:pPr>
      <w:rPr>
        <w:rFonts w:ascii="Courier New" w:hAnsi="Courier New" w:hint="default"/>
      </w:rPr>
    </w:lvl>
    <w:lvl w:ilvl="2" w:tplc="DF7C3D30">
      <w:start w:val="1"/>
      <w:numFmt w:val="bullet"/>
      <w:lvlText w:val=""/>
      <w:lvlJc w:val="left"/>
      <w:pPr>
        <w:ind w:left="2160" w:hanging="360"/>
      </w:pPr>
      <w:rPr>
        <w:rFonts w:ascii="Wingdings" w:hAnsi="Wingdings" w:hint="default"/>
      </w:rPr>
    </w:lvl>
    <w:lvl w:ilvl="3" w:tplc="C7524284">
      <w:start w:val="1"/>
      <w:numFmt w:val="bullet"/>
      <w:lvlText w:val=""/>
      <w:lvlJc w:val="left"/>
      <w:pPr>
        <w:ind w:left="2880" w:hanging="360"/>
      </w:pPr>
      <w:rPr>
        <w:rFonts w:ascii="Symbol" w:hAnsi="Symbol" w:hint="default"/>
      </w:rPr>
    </w:lvl>
    <w:lvl w:ilvl="4" w:tplc="1DDA796E">
      <w:start w:val="1"/>
      <w:numFmt w:val="bullet"/>
      <w:lvlText w:val="o"/>
      <w:lvlJc w:val="left"/>
      <w:pPr>
        <w:ind w:left="3600" w:hanging="360"/>
      </w:pPr>
      <w:rPr>
        <w:rFonts w:ascii="Courier New" w:hAnsi="Courier New" w:hint="default"/>
      </w:rPr>
    </w:lvl>
    <w:lvl w:ilvl="5" w:tplc="ECA4F296">
      <w:start w:val="1"/>
      <w:numFmt w:val="bullet"/>
      <w:lvlText w:val=""/>
      <w:lvlJc w:val="left"/>
      <w:pPr>
        <w:ind w:left="4320" w:hanging="360"/>
      </w:pPr>
      <w:rPr>
        <w:rFonts w:ascii="Wingdings" w:hAnsi="Wingdings" w:hint="default"/>
      </w:rPr>
    </w:lvl>
    <w:lvl w:ilvl="6" w:tplc="F68AB8BC">
      <w:start w:val="1"/>
      <w:numFmt w:val="bullet"/>
      <w:lvlText w:val=""/>
      <w:lvlJc w:val="left"/>
      <w:pPr>
        <w:ind w:left="5040" w:hanging="360"/>
      </w:pPr>
      <w:rPr>
        <w:rFonts w:ascii="Symbol" w:hAnsi="Symbol" w:hint="default"/>
      </w:rPr>
    </w:lvl>
    <w:lvl w:ilvl="7" w:tplc="971C73A6">
      <w:start w:val="1"/>
      <w:numFmt w:val="bullet"/>
      <w:lvlText w:val="o"/>
      <w:lvlJc w:val="left"/>
      <w:pPr>
        <w:ind w:left="5760" w:hanging="360"/>
      </w:pPr>
      <w:rPr>
        <w:rFonts w:ascii="Courier New" w:hAnsi="Courier New" w:hint="default"/>
      </w:rPr>
    </w:lvl>
    <w:lvl w:ilvl="8" w:tplc="0E5E773A">
      <w:start w:val="1"/>
      <w:numFmt w:val="bullet"/>
      <w:lvlText w:val=""/>
      <w:lvlJc w:val="left"/>
      <w:pPr>
        <w:ind w:left="6480" w:hanging="360"/>
      </w:pPr>
      <w:rPr>
        <w:rFonts w:ascii="Wingdings" w:hAnsi="Wingdings" w:hint="default"/>
      </w:rPr>
    </w:lvl>
  </w:abstractNum>
  <w:abstractNum w:abstractNumId="3" w15:restartNumberingAfterBreak="0">
    <w:nsid w:val="0919316C"/>
    <w:multiLevelType w:val="hybridMultilevel"/>
    <w:tmpl w:val="9484F87A"/>
    <w:lvl w:ilvl="0" w:tplc="E32E1FF2">
      <w:start w:val="1"/>
      <w:numFmt w:val="bullet"/>
      <w:lvlText w:val="·"/>
      <w:lvlJc w:val="left"/>
      <w:pPr>
        <w:ind w:left="720" w:hanging="360"/>
      </w:pPr>
      <w:rPr>
        <w:rFonts w:ascii="Symbol" w:hAnsi="Symbol" w:hint="default"/>
      </w:rPr>
    </w:lvl>
    <w:lvl w:ilvl="1" w:tplc="DAAA27EE">
      <w:start w:val="1"/>
      <w:numFmt w:val="bullet"/>
      <w:lvlText w:val="o"/>
      <w:lvlJc w:val="left"/>
      <w:pPr>
        <w:ind w:left="1440" w:hanging="360"/>
      </w:pPr>
      <w:rPr>
        <w:rFonts w:ascii="Courier New" w:hAnsi="Courier New" w:hint="default"/>
      </w:rPr>
    </w:lvl>
    <w:lvl w:ilvl="2" w:tplc="290C1744">
      <w:start w:val="1"/>
      <w:numFmt w:val="bullet"/>
      <w:lvlText w:val=""/>
      <w:lvlJc w:val="left"/>
      <w:pPr>
        <w:ind w:left="2160" w:hanging="360"/>
      </w:pPr>
      <w:rPr>
        <w:rFonts w:ascii="Wingdings" w:hAnsi="Wingdings" w:hint="default"/>
      </w:rPr>
    </w:lvl>
    <w:lvl w:ilvl="3" w:tplc="F236C08A">
      <w:start w:val="1"/>
      <w:numFmt w:val="bullet"/>
      <w:lvlText w:val=""/>
      <w:lvlJc w:val="left"/>
      <w:pPr>
        <w:ind w:left="2880" w:hanging="360"/>
      </w:pPr>
      <w:rPr>
        <w:rFonts w:ascii="Symbol" w:hAnsi="Symbol" w:hint="default"/>
      </w:rPr>
    </w:lvl>
    <w:lvl w:ilvl="4" w:tplc="F252F9BE">
      <w:start w:val="1"/>
      <w:numFmt w:val="bullet"/>
      <w:lvlText w:val="o"/>
      <w:lvlJc w:val="left"/>
      <w:pPr>
        <w:ind w:left="3600" w:hanging="360"/>
      </w:pPr>
      <w:rPr>
        <w:rFonts w:ascii="Courier New" w:hAnsi="Courier New" w:hint="default"/>
      </w:rPr>
    </w:lvl>
    <w:lvl w:ilvl="5" w:tplc="9B4E9998">
      <w:start w:val="1"/>
      <w:numFmt w:val="bullet"/>
      <w:lvlText w:val=""/>
      <w:lvlJc w:val="left"/>
      <w:pPr>
        <w:ind w:left="4320" w:hanging="360"/>
      </w:pPr>
      <w:rPr>
        <w:rFonts w:ascii="Wingdings" w:hAnsi="Wingdings" w:hint="default"/>
      </w:rPr>
    </w:lvl>
    <w:lvl w:ilvl="6" w:tplc="F6280DEA">
      <w:start w:val="1"/>
      <w:numFmt w:val="bullet"/>
      <w:lvlText w:val=""/>
      <w:lvlJc w:val="left"/>
      <w:pPr>
        <w:ind w:left="5040" w:hanging="360"/>
      </w:pPr>
      <w:rPr>
        <w:rFonts w:ascii="Symbol" w:hAnsi="Symbol" w:hint="default"/>
      </w:rPr>
    </w:lvl>
    <w:lvl w:ilvl="7" w:tplc="2432091C">
      <w:start w:val="1"/>
      <w:numFmt w:val="bullet"/>
      <w:lvlText w:val="o"/>
      <w:lvlJc w:val="left"/>
      <w:pPr>
        <w:ind w:left="5760" w:hanging="360"/>
      </w:pPr>
      <w:rPr>
        <w:rFonts w:ascii="Courier New" w:hAnsi="Courier New" w:hint="default"/>
      </w:rPr>
    </w:lvl>
    <w:lvl w:ilvl="8" w:tplc="D610BE56">
      <w:start w:val="1"/>
      <w:numFmt w:val="bullet"/>
      <w:lvlText w:val=""/>
      <w:lvlJc w:val="left"/>
      <w:pPr>
        <w:ind w:left="6480" w:hanging="360"/>
      </w:pPr>
      <w:rPr>
        <w:rFonts w:ascii="Wingdings" w:hAnsi="Wingdings" w:hint="default"/>
      </w:rPr>
    </w:lvl>
  </w:abstractNum>
  <w:abstractNum w:abstractNumId="4" w15:restartNumberingAfterBreak="0">
    <w:nsid w:val="19E81C09"/>
    <w:multiLevelType w:val="hybridMultilevel"/>
    <w:tmpl w:val="744C2BC0"/>
    <w:lvl w:ilvl="0" w:tplc="BFC8D5E0">
      <w:start w:val="1"/>
      <w:numFmt w:val="bullet"/>
      <w:lvlText w:val=""/>
      <w:lvlJc w:val="left"/>
      <w:pPr>
        <w:ind w:left="720" w:hanging="360"/>
      </w:pPr>
      <w:rPr>
        <w:rFonts w:ascii="Symbol" w:hAnsi="Symbol" w:hint="default"/>
      </w:rPr>
    </w:lvl>
    <w:lvl w:ilvl="1" w:tplc="A90495D6">
      <w:start w:val="1"/>
      <w:numFmt w:val="bullet"/>
      <w:lvlText w:val="o"/>
      <w:lvlJc w:val="left"/>
      <w:pPr>
        <w:ind w:left="1440" w:hanging="360"/>
      </w:pPr>
      <w:rPr>
        <w:rFonts w:ascii="Courier New" w:hAnsi="Courier New" w:hint="default"/>
      </w:rPr>
    </w:lvl>
    <w:lvl w:ilvl="2" w:tplc="A24E1E88">
      <w:start w:val="1"/>
      <w:numFmt w:val="bullet"/>
      <w:lvlText w:val=""/>
      <w:lvlJc w:val="left"/>
      <w:pPr>
        <w:ind w:left="2160" w:hanging="360"/>
      </w:pPr>
      <w:rPr>
        <w:rFonts w:ascii="Wingdings" w:hAnsi="Wingdings" w:hint="default"/>
      </w:rPr>
    </w:lvl>
    <w:lvl w:ilvl="3" w:tplc="9E28D374">
      <w:start w:val="1"/>
      <w:numFmt w:val="bullet"/>
      <w:lvlText w:val=""/>
      <w:lvlJc w:val="left"/>
      <w:pPr>
        <w:ind w:left="2880" w:hanging="360"/>
      </w:pPr>
      <w:rPr>
        <w:rFonts w:ascii="Symbol" w:hAnsi="Symbol" w:hint="default"/>
      </w:rPr>
    </w:lvl>
    <w:lvl w:ilvl="4" w:tplc="C76CF442">
      <w:start w:val="1"/>
      <w:numFmt w:val="bullet"/>
      <w:lvlText w:val="o"/>
      <w:lvlJc w:val="left"/>
      <w:pPr>
        <w:ind w:left="3600" w:hanging="360"/>
      </w:pPr>
      <w:rPr>
        <w:rFonts w:ascii="Courier New" w:hAnsi="Courier New" w:hint="default"/>
      </w:rPr>
    </w:lvl>
    <w:lvl w:ilvl="5" w:tplc="285E078A">
      <w:start w:val="1"/>
      <w:numFmt w:val="bullet"/>
      <w:lvlText w:val=""/>
      <w:lvlJc w:val="left"/>
      <w:pPr>
        <w:ind w:left="4320" w:hanging="360"/>
      </w:pPr>
      <w:rPr>
        <w:rFonts w:ascii="Wingdings" w:hAnsi="Wingdings" w:hint="default"/>
      </w:rPr>
    </w:lvl>
    <w:lvl w:ilvl="6" w:tplc="7C1A80DA">
      <w:start w:val="1"/>
      <w:numFmt w:val="bullet"/>
      <w:lvlText w:val=""/>
      <w:lvlJc w:val="left"/>
      <w:pPr>
        <w:ind w:left="5040" w:hanging="360"/>
      </w:pPr>
      <w:rPr>
        <w:rFonts w:ascii="Symbol" w:hAnsi="Symbol" w:hint="default"/>
      </w:rPr>
    </w:lvl>
    <w:lvl w:ilvl="7" w:tplc="88C679C4">
      <w:start w:val="1"/>
      <w:numFmt w:val="bullet"/>
      <w:lvlText w:val="o"/>
      <w:lvlJc w:val="left"/>
      <w:pPr>
        <w:ind w:left="5760" w:hanging="360"/>
      </w:pPr>
      <w:rPr>
        <w:rFonts w:ascii="Courier New" w:hAnsi="Courier New" w:hint="default"/>
      </w:rPr>
    </w:lvl>
    <w:lvl w:ilvl="8" w:tplc="FA460CC0">
      <w:start w:val="1"/>
      <w:numFmt w:val="bullet"/>
      <w:lvlText w:val=""/>
      <w:lvlJc w:val="left"/>
      <w:pPr>
        <w:ind w:left="6480" w:hanging="360"/>
      </w:pPr>
      <w:rPr>
        <w:rFonts w:ascii="Wingdings" w:hAnsi="Wingdings" w:hint="default"/>
      </w:rPr>
    </w:lvl>
  </w:abstractNum>
  <w:abstractNum w:abstractNumId="5" w15:restartNumberingAfterBreak="0">
    <w:nsid w:val="1B2B7455"/>
    <w:multiLevelType w:val="hybridMultilevel"/>
    <w:tmpl w:val="49F259C0"/>
    <w:lvl w:ilvl="0" w:tplc="B3C04A14">
      <w:start w:val="1"/>
      <w:numFmt w:val="bullet"/>
      <w:lvlText w:val="•"/>
      <w:lvlJc w:val="left"/>
      <w:pPr>
        <w:ind w:left="720" w:hanging="360"/>
      </w:pPr>
      <w:rPr>
        <w:rFonts w:ascii="Calbiri" w:hAnsi="Calbiri" w:hint="default"/>
      </w:rPr>
    </w:lvl>
    <w:lvl w:ilvl="1" w:tplc="3E8E4382">
      <w:start w:val="1"/>
      <w:numFmt w:val="bullet"/>
      <w:lvlText w:val="o"/>
      <w:lvlJc w:val="left"/>
      <w:pPr>
        <w:ind w:left="1440" w:hanging="360"/>
      </w:pPr>
      <w:rPr>
        <w:rFonts w:ascii="Courier New" w:hAnsi="Courier New" w:hint="default"/>
      </w:rPr>
    </w:lvl>
    <w:lvl w:ilvl="2" w:tplc="6520E240">
      <w:start w:val="1"/>
      <w:numFmt w:val="bullet"/>
      <w:lvlText w:val=""/>
      <w:lvlJc w:val="left"/>
      <w:pPr>
        <w:ind w:left="2160" w:hanging="360"/>
      </w:pPr>
      <w:rPr>
        <w:rFonts w:ascii="Wingdings" w:hAnsi="Wingdings" w:hint="default"/>
      </w:rPr>
    </w:lvl>
    <w:lvl w:ilvl="3" w:tplc="5DFAD31C">
      <w:start w:val="1"/>
      <w:numFmt w:val="bullet"/>
      <w:lvlText w:val=""/>
      <w:lvlJc w:val="left"/>
      <w:pPr>
        <w:ind w:left="2880" w:hanging="360"/>
      </w:pPr>
      <w:rPr>
        <w:rFonts w:ascii="Symbol" w:hAnsi="Symbol" w:hint="default"/>
      </w:rPr>
    </w:lvl>
    <w:lvl w:ilvl="4" w:tplc="65E6AAC2">
      <w:start w:val="1"/>
      <w:numFmt w:val="bullet"/>
      <w:lvlText w:val="o"/>
      <w:lvlJc w:val="left"/>
      <w:pPr>
        <w:ind w:left="3600" w:hanging="360"/>
      </w:pPr>
      <w:rPr>
        <w:rFonts w:ascii="Courier New" w:hAnsi="Courier New" w:hint="default"/>
      </w:rPr>
    </w:lvl>
    <w:lvl w:ilvl="5" w:tplc="3F805AEE">
      <w:start w:val="1"/>
      <w:numFmt w:val="bullet"/>
      <w:lvlText w:val=""/>
      <w:lvlJc w:val="left"/>
      <w:pPr>
        <w:ind w:left="4320" w:hanging="360"/>
      </w:pPr>
      <w:rPr>
        <w:rFonts w:ascii="Wingdings" w:hAnsi="Wingdings" w:hint="default"/>
      </w:rPr>
    </w:lvl>
    <w:lvl w:ilvl="6" w:tplc="C540A056">
      <w:start w:val="1"/>
      <w:numFmt w:val="bullet"/>
      <w:lvlText w:val=""/>
      <w:lvlJc w:val="left"/>
      <w:pPr>
        <w:ind w:left="5040" w:hanging="360"/>
      </w:pPr>
      <w:rPr>
        <w:rFonts w:ascii="Symbol" w:hAnsi="Symbol" w:hint="default"/>
      </w:rPr>
    </w:lvl>
    <w:lvl w:ilvl="7" w:tplc="85BC1DE0">
      <w:start w:val="1"/>
      <w:numFmt w:val="bullet"/>
      <w:lvlText w:val="o"/>
      <w:lvlJc w:val="left"/>
      <w:pPr>
        <w:ind w:left="5760" w:hanging="360"/>
      </w:pPr>
      <w:rPr>
        <w:rFonts w:ascii="Courier New" w:hAnsi="Courier New" w:hint="default"/>
      </w:rPr>
    </w:lvl>
    <w:lvl w:ilvl="8" w:tplc="684A3A58">
      <w:start w:val="1"/>
      <w:numFmt w:val="bullet"/>
      <w:lvlText w:val=""/>
      <w:lvlJc w:val="left"/>
      <w:pPr>
        <w:ind w:left="6480" w:hanging="360"/>
      </w:pPr>
      <w:rPr>
        <w:rFonts w:ascii="Wingdings" w:hAnsi="Wingdings" w:hint="default"/>
      </w:rPr>
    </w:lvl>
  </w:abstractNum>
  <w:abstractNum w:abstractNumId="6" w15:restartNumberingAfterBreak="0">
    <w:nsid w:val="24087003"/>
    <w:multiLevelType w:val="multilevel"/>
    <w:tmpl w:val="0A9A1460"/>
    <w:lvl w:ilvl="0">
      <w:start w:val="1"/>
      <w:numFmt w:val="decimal"/>
      <w:pStyle w:val="Style1"/>
      <w:lvlText w:val="%1"/>
      <w:lvlJc w:val="left"/>
      <w:pPr>
        <w:tabs>
          <w:tab w:val="num" w:pos="567"/>
        </w:tabs>
        <w:ind w:left="432" w:hanging="432"/>
      </w:pPr>
      <w:rPr>
        <w:rFonts w:hint="default"/>
      </w:rPr>
    </w:lvl>
    <w:lvl w:ilvl="1">
      <w:start w:val="1"/>
      <w:numFmt w:val="decimal"/>
      <w:pStyle w:val="Styl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5030B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C9500A"/>
    <w:multiLevelType w:val="hybridMultilevel"/>
    <w:tmpl w:val="9886F856"/>
    <w:lvl w:ilvl="0" w:tplc="8C729B80">
      <w:start w:val="1"/>
      <w:numFmt w:val="bullet"/>
      <w:lvlText w:val="·"/>
      <w:lvlJc w:val="left"/>
      <w:pPr>
        <w:ind w:left="720" w:hanging="360"/>
      </w:pPr>
      <w:rPr>
        <w:rFonts w:ascii="Symbol" w:hAnsi="Symbol" w:hint="default"/>
      </w:rPr>
    </w:lvl>
    <w:lvl w:ilvl="1" w:tplc="F0CEC068">
      <w:start w:val="1"/>
      <w:numFmt w:val="bullet"/>
      <w:lvlText w:val="o"/>
      <w:lvlJc w:val="left"/>
      <w:pPr>
        <w:ind w:left="1440" w:hanging="360"/>
      </w:pPr>
      <w:rPr>
        <w:rFonts w:ascii="Courier New" w:hAnsi="Courier New" w:hint="default"/>
      </w:rPr>
    </w:lvl>
    <w:lvl w:ilvl="2" w:tplc="FFF29976">
      <w:start w:val="1"/>
      <w:numFmt w:val="bullet"/>
      <w:lvlText w:val=""/>
      <w:lvlJc w:val="left"/>
      <w:pPr>
        <w:ind w:left="2160" w:hanging="360"/>
      </w:pPr>
      <w:rPr>
        <w:rFonts w:ascii="Wingdings" w:hAnsi="Wingdings" w:hint="default"/>
      </w:rPr>
    </w:lvl>
    <w:lvl w:ilvl="3" w:tplc="D4404A5E">
      <w:start w:val="1"/>
      <w:numFmt w:val="bullet"/>
      <w:lvlText w:val=""/>
      <w:lvlJc w:val="left"/>
      <w:pPr>
        <w:ind w:left="2880" w:hanging="360"/>
      </w:pPr>
      <w:rPr>
        <w:rFonts w:ascii="Symbol" w:hAnsi="Symbol" w:hint="default"/>
      </w:rPr>
    </w:lvl>
    <w:lvl w:ilvl="4" w:tplc="6AC0B444">
      <w:start w:val="1"/>
      <w:numFmt w:val="bullet"/>
      <w:lvlText w:val="o"/>
      <w:lvlJc w:val="left"/>
      <w:pPr>
        <w:ind w:left="3600" w:hanging="360"/>
      </w:pPr>
      <w:rPr>
        <w:rFonts w:ascii="Courier New" w:hAnsi="Courier New" w:hint="default"/>
      </w:rPr>
    </w:lvl>
    <w:lvl w:ilvl="5" w:tplc="40427032">
      <w:start w:val="1"/>
      <w:numFmt w:val="bullet"/>
      <w:lvlText w:val=""/>
      <w:lvlJc w:val="left"/>
      <w:pPr>
        <w:ind w:left="4320" w:hanging="360"/>
      </w:pPr>
      <w:rPr>
        <w:rFonts w:ascii="Wingdings" w:hAnsi="Wingdings" w:hint="default"/>
      </w:rPr>
    </w:lvl>
    <w:lvl w:ilvl="6" w:tplc="8AC070A6">
      <w:start w:val="1"/>
      <w:numFmt w:val="bullet"/>
      <w:lvlText w:val=""/>
      <w:lvlJc w:val="left"/>
      <w:pPr>
        <w:ind w:left="5040" w:hanging="360"/>
      </w:pPr>
      <w:rPr>
        <w:rFonts w:ascii="Symbol" w:hAnsi="Symbol" w:hint="default"/>
      </w:rPr>
    </w:lvl>
    <w:lvl w:ilvl="7" w:tplc="2618D55A">
      <w:start w:val="1"/>
      <w:numFmt w:val="bullet"/>
      <w:lvlText w:val="o"/>
      <w:lvlJc w:val="left"/>
      <w:pPr>
        <w:ind w:left="5760" w:hanging="360"/>
      </w:pPr>
      <w:rPr>
        <w:rFonts w:ascii="Courier New" w:hAnsi="Courier New" w:hint="default"/>
      </w:rPr>
    </w:lvl>
    <w:lvl w:ilvl="8" w:tplc="550AE0FE">
      <w:start w:val="1"/>
      <w:numFmt w:val="bullet"/>
      <w:lvlText w:val=""/>
      <w:lvlJc w:val="left"/>
      <w:pPr>
        <w:ind w:left="6480" w:hanging="360"/>
      </w:pPr>
      <w:rPr>
        <w:rFonts w:ascii="Wingdings" w:hAnsi="Wingdings" w:hint="default"/>
      </w:rPr>
    </w:lvl>
  </w:abstractNum>
  <w:abstractNum w:abstractNumId="9" w15:restartNumberingAfterBreak="0">
    <w:nsid w:val="2744247F"/>
    <w:multiLevelType w:val="hybridMultilevel"/>
    <w:tmpl w:val="897CEDF4"/>
    <w:lvl w:ilvl="0" w:tplc="3034C95E">
      <w:start w:val="1"/>
      <w:numFmt w:val="bullet"/>
      <w:lvlText w:val=""/>
      <w:lvlJc w:val="left"/>
      <w:pPr>
        <w:ind w:left="720" w:hanging="360"/>
      </w:pPr>
      <w:rPr>
        <w:rFonts w:ascii="Symbol" w:hAnsi="Symbol" w:hint="default"/>
      </w:rPr>
    </w:lvl>
    <w:lvl w:ilvl="1" w:tplc="A594B546">
      <w:start w:val="1"/>
      <w:numFmt w:val="bullet"/>
      <w:lvlText w:val="o"/>
      <w:lvlJc w:val="left"/>
      <w:pPr>
        <w:ind w:left="1440" w:hanging="360"/>
      </w:pPr>
      <w:rPr>
        <w:rFonts w:ascii="Courier New" w:hAnsi="Courier New" w:hint="default"/>
      </w:rPr>
    </w:lvl>
    <w:lvl w:ilvl="2" w:tplc="F5126B36">
      <w:start w:val="1"/>
      <w:numFmt w:val="bullet"/>
      <w:lvlText w:val=""/>
      <w:lvlJc w:val="left"/>
      <w:pPr>
        <w:ind w:left="2160" w:hanging="360"/>
      </w:pPr>
      <w:rPr>
        <w:rFonts w:ascii="Wingdings" w:hAnsi="Wingdings" w:hint="default"/>
      </w:rPr>
    </w:lvl>
    <w:lvl w:ilvl="3" w:tplc="8E4EDF0E">
      <w:start w:val="1"/>
      <w:numFmt w:val="bullet"/>
      <w:lvlText w:val=""/>
      <w:lvlJc w:val="left"/>
      <w:pPr>
        <w:ind w:left="2880" w:hanging="360"/>
      </w:pPr>
      <w:rPr>
        <w:rFonts w:ascii="Symbol" w:hAnsi="Symbol" w:hint="default"/>
      </w:rPr>
    </w:lvl>
    <w:lvl w:ilvl="4" w:tplc="9DE4CD58">
      <w:start w:val="1"/>
      <w:numFmt w:val="bullet"/>
      <w:lvlText w:val="o"/>
      <w:lvlJc w:val="left"/>
      <w:pPr>
        <w:ind w:left="3600" w:hanging="360"/>
      </w:pPr>
      <w:rPr>
        <w:rFonts w:ascii="Courier New" w:hAnsi="Courier New" w:hint="default"/>
      </w:rPr>
    </w:lvl>
    <w:lvl w:ilvl="5" w:tplc="3D98488A">
      <w:start w:val="1"/>
      <w:numFmt w:val="bullet"/>
      <w:lvlText w:val=""/>
      <w:lvlJc w:val="left"/>
      <w:pPr>
        <w:ind w:left="4320" w:hanging="360"/>
      </w:pPr>
      <w:rPr>
        <w:rFonts w:ascii="Wingdings" w:hAnsi="Wingdings" w:hint="default"/>
      </w:rPr>
    </w:lvl>
    <w:lvl w:ilvl="6" w:tplc="51549598">
      <w:start w:val="1"/>
      <w:numFmt w:val="bullet"/>
      <w:lvlText w:val=""/>
      <w:lvlJc w:val="left"/>
      <w:pPr>
        <w:ind w:left="5040" w:hanging="360"/>
      </w:pPr>
      <w:rPr>
        <w:rFonts w:ascii="Symbol" w:hAnsi="Symbol" w:hint="default"/>
      </w:rPr>
    </w:lvl>
    <w:lvl w:ilvl="7" w:tplc="8ECC9320">
      <w:start w:val="1"/>
      <w:numFmt w:val="bullet"/>
      <w:lvlText w:val="o"/>
      <w:lvlJc w:val="left"/>
      <w:pPr>
        <w:ind w:left="5760" w:hanging="360"/>
      </w:pPr>
      <w:rPr>
        <w:rFonts w:ascii="Courier New" w:hAnsi="Courier New" w:hint="default"/>
      </w:rPr>
    </w:lvl>
    <w:lvl w:ilvl="8" w:tplc="9A0C34AC">
      <w:start w:val="1"/>
      <w:numFmt w:val="bullet"/>
      <w:lvlText w:val=""/>
      <w:lvlJc w:val="left"/>
      <w:pPr>
        <w:ind w:left="6480" w:hanging="360"/>
      </w:pPr>
      <w:rPr>
        <w:rFonts w:ascii="Wingdings" w:hAnsi="Wingdings" w:hint="default"/>
      </w:rPr>
    </w:lvl>
  </w:abstractNum>
  <w:abstractNum w:abstractNumId="10" w15:restartNumberingAfterBreak="0">
    <w:nsid w:val="294863D7"/>
    <w:multiLevelType w:val="hybridMultilevel"/>
    <w:tmpl w:val="0698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8A6494"/>
    <w:multiLevelType w:val="hybridMultilevel"/>
    <w:tmpl w:val="ABDA7A94"/>
    <w:lvl w:ilvl="0" w:tplc="1A684D08">
      <w:start w:val="1"/>
      <w:numFmt w:val="bullet"/>
      <w:lvlText w:val="·"/>
      <w:lvlJc w:val="left"/>
      <w:pPr>
        <w:ind w:left="720" w:hanging="360"/>
      </w:pPr>
      <w:rPr>
        <w:rFonts w:ascii="Symbol" w:hAnsi="Symbol" w:hint="default"/>
      </w:rPr>
    </w:lvl>
    <w:lvl w:ilvl="1" w:tplc="96D00D50">
      <w:start w:val="1"/>
      <w:numFmt w:val="bullet"/>
      <w:lvlText w:val="o"/>
      <w:lvlJc w:val="left"/>
      <w:pPr>
        <w:ind w:left="1440" w:hanging="360"/>
      </w:pPr>
      <w:rPr>
        <w:rFonts w:ascii="Courier New" w:hAnsi="Courier New" w:hint="default"/>
      </w:rPr>
    </w:lvl>
    <w:lvl w:ilvl="2" w:tplc="18F0F7B2">
      <w:start w:val="1"/>
      <w:numFmt w:val="bullet"/>
      <w:lvlText w:val=""/>
      <w:lvlJc w:val="left"/>
      <w:pPr>
        <w:ind w:left="2160" w:hanging="360"/>
      </w:pPr>
      <w:rPr>
        <w:rFonts w:ascii="Wingdings" w:hAnsi="Wingdings" w:hint="default"/>
      </w:rPr>
    </w:lvl>
    <w:lvl w:ilvl="3" w:tplc="FF283F5A">
      <w:start w:val="1"/>
      <w:numFmt w:val="bullet"/>
      <w:lvlText w:val=""/>
      <w:lvlJc w:val="left"/>
      <w:pPr>
        <w:ind w:left="2880" w:hanging="360"/>
      </w:pPr>
      <w:rPr>
        <w:rFonts w:ascii="Symbol" w:hAnsi="Symbol" w:hint="default"/>
      </w:rPr>
    </w:lvl>
    <w:lvl w:ilvl="4" w:tplc="BDDC4246">
      <w:start w:val="1"/>
      <w:numFmt w:val="bullet"/>
      <w:lvlText w:val="o"/>
      <w:lvlJc w:val="left"/>
      <w:pPr>
        <w:ind w:left="3600" w:hanging="360"/>
      </w:pPr>
      <w:rPr>
        <w:rFonts w:ascii="Courier New" w:hAnsi="Courier New" w:hint="default"/>
      </w:rPr>
    </w:lvl>
    <w:lvl w:ilvl="5" w:tplc="EA9ADDD2">
      <w:start w:val="1"/>
      <w:numFmt w:val="bullet"/>
      <w:lvlText w:val=""/>
      <w:lvlJc w:val="left"/>
      <w:pPr>
        <w:ind w:left="4320" w:hanging="360"/>
      </w:pPr>
      <w:rPr>
        <w:rFonts w:ascii="Wingdings" w:hAnsi="Wingdings" w:hint="default"/>
      </w:rPr>
    </w:lvl>
    <w:lvl w:ilvl="6" w:tplc="68CA70C4">
      <w:start w:val="1"/>
      <w:numFmt w:val="bullet"/>
      <w:lvlText w:val=""/>
      <w:lvlJc w:val="left"/>
      <w:pPr>
        <w:ind w:left="5040" w:hanging="360"/>
      </w:pPr>
      <w:rPr>
        <w:rFonts w:ascii="Symbol" w:hAnsi="Symbol" w:hint="default"/>
      </w:rPr>
    </w:lvl>
    <w:lvl w:ilvl="7" w:tplc="8090904A">
      <w:start w:val="1"/>
      <w:numFmt w:val="bullet"/>
      <w:lvlText w:val="o"/>
      <w:lvlJc w:val="left"/>
      <w:pPr>
        <w:ind w:left="5760" w:hanging="360"/>
      </w:pPr>
      <w:rPr>
        <w:rFonts w:ascii="Courier New" w:hAnsi="Courier New" w:hint="default"/>
      </w:rPr>
    </w:lvl>
    <w:lvl w:ilvl="8" w:tplc="0F663DDE">
      <w:start w:val="1"/>
      <w:numFmt w:val="bullet"/>
      <w:lvlText w:val=""/>
      <w:lvlJc w:val="left"/>
      <w:pPr>
        <w:ind w:left="6480" w:hanging="360"/>
      </w:pPr>
      <w:rPr>
        <w:rFonts w:ascii="Wingdings" w:hAnsi="Wingdings" w:hint="default"/>
      </w:rPr>
    </w:lvl>
  </w:abstractNum>
  <w:abstractNum w:abstractNumId="12" w15:restartNumberingAfterBreak="0">
    <w:nsid w:val="30530F5A"/>
    <w:multiLevelType w:val="hybridMultilevel"/>
    <w:tmpl w:val="35BCEC8E"/>
    <w:lvl w:ilvl="0" w:tplc="92A2CB5C">
      <w:start w:val="1"/>
      <w:numFmt w:val="bullet"/>
      <w:lvlText w:val=""/>
      <w:lvlJc w:val="left"/>
      <w:pPr>
        <w:ind w:left="720" w:hanging="360"/>
      </w:pPr>
      <w:rPr>
        <w:rFonts w:ascii="Symbol" w:hAnsi="Symbol" w:hint="default"/>
      </w:rPr>
    </w:lvl>
    <w:lvl w:ilvl="1" w:tplc="443AD7C8">
      <w:start w:val="1"/>
      <w:numFmt w:val="bullet"/>
      <w:lvlText w:val="o"/>
      <w:lvlJc w:val="left"/>
      <w:pPr>
        <w:ind w:left="1440" w:hanging="360"/>
      </w:pPr>
      <w:rPr>
        <w:rFonts w:ascii="Courier New" w:hAnsi="Courier New" w:hint="default"/>
      </w:rPr>
    </w:lvl>
    <w:lvl w:ilvl="2" w:tplc="A516C29E">
      <w:start w:val="1"/>
      <w:numFmt w:val="bullet"/>
      <w:lvlText w:val=""/>
      <w:lvlJc w:val="left"/>
      <w:pPr>
        <w:ind w:left="2160" w:hanging="360"/>
      </w:pPr>
      <w:rPr>
        <w:rFonts w:ascii="Wingdings" w:hAnsi="Wingdings" w:hint="default"/>
      </w:rPr>
    </w:lvl>
    <w:lvl w:ilvl="3" w:tplc="C246759C">
      <w:start w:val="1"/>
      <w:numFmt w:val="bullet"/>
      <w:lvlText w:val=""/>
      <w:lvlJc w:val="left"/>
      <w:pPr>
        <w:ind w:left="2880" w:hanging="360"/>
      </w:pPr>
      <w:rPr>
        <w:rFonts w:ascii="Symbol" w:hAnsi="Symbol" w:hint="default"/>
      </w:rPr>
    </w:lvl>
    <w:lvl w:ilvl="4" w:tplc="3E5835E6">
      <w:start w:val="1"/>
      <w:numFmt w:val="bullet"/>
      <w:lvlText w:val="o"/>
      <w:lvlJc w:val="left"/>
      <w:pPr>
        <w:ind w:left="3600" w:hanging="360"/>
      </w:pPr>
      <w:rPr>
        <w:rFonts w:ascii="Courier New" w:hAnsi="Courier New" w:hint="default"/>
      </w:rPr>
    </w:lvl>
    <w:lvl w:ilvl="5" w:tplc="1BC6F94E">
      <w:start w:val="1"/>
      <w:numFmt w:val="bullet"/>
      <w:lvlText w:val=""/>
      <w:lvlJc w:val="left"/>
      <w:pPr>
        <w:ind w:left="4320" w:hanging="360"/>
      </w:pPr>
      <w:rPr>
        <w:rFonts w:ascii="Wingdings" w:hAnsi="Wingdings" w:hint="default"/>
      </w:rPr>
    </w:lvl>
    <w:lvl w:ilvl="6" w:tplc="A74E027A">
      <w:start w:val="1"/>
      <w:numFmt w:val="bullet"/>
      <w:lvlText w:val=""/>
      <w:lvlJc w:val="left"/>
      <w:pPr>
        <w:ind w:left="5040" w:hanging="360"/>
      </w:pPr>
      <w:rPr>
        <w:rFonts w:ascii="Symbol" w:hAnsi="Symbol" w:hint="default"/>
      </w:rPr>
    </w:lvl>
    <w:lvl w:ilvl="7" w:tplc="4FC6EE1C">
      <w:start w:val="1"/>
      <w:numFmt w:val="bullet"/>
      <w:lvlText w:val="o"/>
      <w:lvlJc w:val="left"/>
      <w:pPr>
        <w:ind w:left="5760" w:hanging="360"/>
      </w:pPr>
      <w:rPr>
        <w:rFonts w:ascii="Courier New" w:hAnsi="Courier New" w:hint="default"/>
      </w:rPr>
    </w:lvl>
    <w:lvl w:ilvl="8" w:tplc="634A99AA">
      <w:start w:val="1"/>
      <w:numFmt w:val="bullet"/>
      <w:lvlText w:val=""/>
      <w:lvlJc w:val="left"/>
      <w:pPr>
        <w:ind w:left="6480" w:hanging="360"/>
      </w:pPr>
      <w:rPr>
        <w:rFonts w:ascii="Wingdings" w:hAnsi="Wingdings" w:hint="default"/>
      </w:rPr>
    </w:lvl>
  </w:abstractNum>
  <w:abstractNum w:abstractNumId="13" w15:restartNumberingAfterBreak="0">
    <w:nsid w:val="312647E1"/>
    <w:multiLevelType w:val="hybridMultilevel"/>
    <w:tmpl w:val="ACCEF1E4"/>
    <w:lvl w:ilvl="0" w:tplc="67441758">
      <w:start w:val="1"/>
      <w:numFmt w:val="bullet"/>
      <w:lvlText w:val="&gt;"/>
      <w:lvlJc w:val="left"/>
      <w:pPr>
        <w:ind w:left="720" w:hanging="360"/>
      </w:pPr>
      <w:rPr>
        <w:rFonts w:ascii="Arial" w:hAnsi="Arial" w:hint="default"/>
      </w:rPr>
    </w:lvl>
    <w:lvl w:ilvl="1" w:tplc="DD1C0952">
      <w:start w:val="1"/>
      <w:numFmt w:val="bullet"/>
      <w:lvlText w:val="o"/>
      <w:lvlJc w:val="left"/>
      <w:pPr>
        <w:ind w:left="1440" w:hanging="360"/>
      </w:pPr>
      <w:rPr>
        <w:rFonts w:ascii="Courier New" w:hAnsi="Courier New" w:hint="default"/>
      </w:rPr>
    </w:lvl>
    <w:lvl w:ilvl="2" w:tplc="0AB4D746">
      <w:start w:val="1"/>
      <w:numFmt w:val="bullet"/>
      <w:lvlText w:val=""/>
      <w:lvlJc w:val="left"/>
      <w:pPr>
        <w:ind w:left="2160" w:hanging="360"/>
      </w:pPr>
      <w:rPr>
        <w:rFonts w:ascii="Wingdings" w:hAnsi="Wingdings" w:hint="default"/>
      </w:rPr>
    </w:lvl>
    <w:lvl w:ilvl="3" w:tplc="40BA9D32">
      <w:start w:val="1"/>
      <w:numFmt w:val="bullet"/>
      <w:lvlText w:val=""/>
      <w:lvlJc w:val="left"/>
      <w:pPr>
        <w:ind w:left="2880" w:hanging="360"/>
      </w:pPr>
      <w:rPr>
        <w:rFonts w:ascii="Symbol" w:hAnsi="Symbol" w:hint="default"/>
      </w:rPr>
    </w:lvl>
    <w:lvl w:ilvl="4" w:tplc="272E6BA4">
      <w:start w:val="1"/>
      <w:numFmt w:val="bullet"/>
      <w:lvlText w:val="o"/>
      <w:lvlJc w:val="left"/>
      <w:pPr>
        <w:ind w:left="3600" w:hanging="360"/>
      </w:pPr>
      <w:rPr>
        <w:rFonts w:ascii="Courier New" w:hAnsi="Courier New" w:hint="default"/>
      </w:rPr>
    </w:lvl>
    <w:lvl w:ilvl="5" w:tplc="E774F10A">
      <w:start w:val="1"/>
      <w:numFmt w:val="bullet"/>
      <w:lvlText w:val=""/>
      <w:lvlJc w:val="left"/>
      <w:pPr>
        <w:ind w:left="4320" w:hanging="360"/>
      </w:pPr>
      <w:rPr>
        <w:rFonts w:ascii="Wingdings" w:hAnsi="Wingdings" w:hint="default"/>
      </w:rPr>
    </w:lvl>
    <w:lvl w:ilvl="6" w:tplc="D4240EB8">
      <w:start w:val="1"/>
      <w:numFmt w:val="bullet"/>
      <w:lvlText w:val=""/>
      <w:lvlJc w:val="left"/>
      <w:pPr>
        <w:ind w:left="5040" w:hanging="360"/>
      </w:pPr>
      <w:rPr>
        <w:rFonts w:ascii="Symbol" w:hAnsi="Symbol" w:hint="default"/>
      </w:rPr>
    </w:lvl>
    <w:lvl w:ilvl="7" w:tplc="0F36F9A2">
      <w:start w:val="1"/>
      <w:numFmt w:val="bullet"/>
      <w:lvlText w:val="o"/>
      <w:lvlJc w:val="left"/>
      <w:pPr>
        <w:ind w:left="5760" w:hanging="360"/>
      </w:pPr>
      <w:rPr>
        <w:rFonts w:ascii="Courier New" w:hAnsi="Courier New" w:hint="default"/>
      </w:rPr>
    </w:lvl>
    <w:lvl w:ilvl="8" w:tplc="3F5062A0">
      <w:start w:val="1"/>
      <w:numFmt w:val="bullet"/>
      <w:lvlText w:val=""/>
      <w:lvlJc w:val="left"/>
      <w:pPr>
        <w:ind w:left="6480" w:hanging="360"/>
      </w:pPr>
      <w:rPr>
        <w:rFonts w:ascii="Wingdings" w:hAnsi="Wingdings" w:hint="default"/>
      </w:rPr>
    </w:lvl>
  </w:abstractNum>
  <w:abstractNum w:abstractNumId="14" w15:restartNumberingAfterBreak="0">
    <w:nsid w:val="33795AA8"/>
    <w:multiLevelType w:val="hybridMultilevel"/>
    <w:tmpl w:val="706EA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9D482C"/>
    <w:multiLevelType w:val="hybridMultilevel"/>
    <w:tmpl w:val="F170F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BB5F87"/>
    <w:multiLevelType w:val="hybridMultilevel"/>
    <w:tmpl w:val="342E581C"/>
    <w:lvl w:ilvl="0" w:tplc="7E6C5628">
      <w:start w:val="1"/>
      <w:numFmt w:val="bullet"/>
      <w:lvlText w:val="–"/>
      <w:lvlJc w:val="left"/>
      <w:pPr>
        <w:ind w:left="720" w:hanging="360"/>
      </w:pPr>
      <w:rPr>
        <w:rFonts w:ascii="Arial" w:hAnsi="Arial" w:hint="default"/>
      </w:rPr>
    </w:lvl>
    <w:lvl w:ilvl="1" w:tplc="91FAB814">
      <w:start w:val="1"/>
      <w:numFmt w:val="bullet"/>
      <w:lvlText w:val="o"/>
      <w:lvlJc w:val="left"/>
      <w:pPr>
        <w:ind w:left="1440" w:hanging="360"/>
      </w:pPr>
      <w:rPr>
        <w:rFonts w:ascii="Courier New" w:hAnsi="Courier New" w:hint="default"/>
      </w:rPr>
    </w:lvl>
    <w:lvl w:ilvl="2" w:tplc="5472FB1C">
      <w:start w:val="1"/>
      <w:numFmt w:val="bullet"/>
      <w:lvlText w:val=""/>
      <w:lvlJc w:val="left"/>
      <w:pPr>
        <w:ind w:left="2160" w:hanging="360"/>
      </w:pPr>
      <w:rPr>
        <w:rFonts w:ascii="Wingdings" w:hAnsi="Wingdings" w:hint="default"/>
      </w:rPr>
    </w:lvl>
    <w:lvl w:ilvl="3" w:tplc="02D02664">
      <w:start w:val="1"/>
      <w:numFmt w:val="bullet"/>
      <w:lvlText w:val=""/>
      <w:lvlJc w:val="left"/>
      <w:pPr>
        <w:ind w:left="2880" w:hanging="360"/>
      </w:pPr>
      <w:rPr>
        <w:rFonts w:ascii="Symbol" w:hAnsi="Symbol" w:hint="default"/>
      </w:rPr>
    </w:lvl>
    <w:lvl w:ilvl="4" w:tplc="33F25A30">
      <w:start w:val="1"/>
      <w:numFmt w:val="bullet"/>
      <w:lvlText w:val="o"/>
      <w:lvlJc w:val="left"/>
      <w:pPr>
        <w:ind w:left="3600" w:hanging="360"/>
      </w:pPr>
      <w:rPr>
        <w:rFonts w:ascii="Courier New" w:hAnsi="Courier New" w:hint="default"/>
      </w:rPr>
    </w:lvl>
    <w:lvl w:ilvl="5" w:tplc="44C817D8">
      <w:start w:val="1"/>
      <w:numFmt w:val="bullet"/>
      <w:lvlText w:val=""/>
      <w:lvlJc w:val="left"/>
      <w:pPr>
        <w:ind w:left="4320" w:hanging="360"/>
      </w:pPr>
      <w:rPr>
        <w:rFonts w:ascii="Wingdings" w:hAnsi="Wingdings" w:hint="default"/>
      </w:rPr>
    </w:lvl>
    <w:lvl w:ilvl="6" w:tplc="3A24DBF2">
      <w:start w:val="1"/>
      <w:numFmt w:val="bullet"/>
      <w:lvlText w:val=""/>
      <w:lvlJc w:val="left"/>
      <w:pPr>
        <w:ind w:left="5040" w:hanging="360"/>
      </w:pPr>
      <w:rPr>
        <w:rFonts w:ascii="Symbol" w:hAnsi="Symbol" w:hint="default"/>
      </w:rPr>
    </w:lvl>
    <w:lvl w:ilvl="7" w:tplc="5F2A4BA8">
      <w:start w:val="1"/>
      <w:numFmt w:val="bullet"/>
      <w:lvlText w:val="o"/>
      <w:lvlJc w:val="left"/>
      <w:pPr>
        <w:ind w:left="5760" w:hanging="360"/>
      </w:pPr>
      <w:rPr>
        <w:rFonts w:ascii="Courier New" w:hAnsi="Courier New" w:hint="default"/>
      </w:rPr>
    </w:lvl>
    <w:lvl w:ilvl="8" w:tplc="E6E20C4C">
      <w:start w:val="1"/>
      <w:numFmt w:val="bullet"/>
      <w:lvlText w:val=""/>
      <w:lvlJc w:val="left"/>
      <w:pPr>
        <w:ind w:left="6480" w:hanging="360"/>
      </w:pPr>
      <w:rPr>
        <w:rFonts w:ascii="Wingdings" w:hAnsi="Wingdings" w:hint="default"/>
      </w:rPr>
    </w:lvl>
  </w:abstractNum>
  <w:abstractNum w:abstractNumId="17" w15:restartNumberingAfterBreak="0">
    <w:nsid w:val="442179B9"/>
    <w:multiLevelType w:val="hybridMultilevel"/>
    <w:tmpl w:val="F962B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BBB1078"/>
    <w:multiLevelType w:val="hybridMultilevel"/>
    <w:tmpl w:val="FBEC49D8"/>
    <w:lvl w:ilvl="0" w:tplc="651C6520">
      <w:start w:val="1"/>
      <w:numFmt w:val="decimal"/>
      <w:lvlText w:val="%1."/>
      <w:lvlJc w:val="left"/>
      <w:pPr>
        <w:ind w:left="720" w:hanging="360"/>
      </w:pPr>
    </w:lvl>
    <w:lvl w:ilvl="1" w:tplc="ECDA22EA">
      <w:start w:val="1"/>
      <w:numFmt w:val="lowerLetter"/>
      <w:lvlText w:val="%2."/>
      <w:lvlJc w:val="left"/>
      <w:pPr>
        <w:ind w:left="1440" w:hanging="360"/>
      </w:pPr>
    </w:lvl>
    <w:lvl w:ilvl="2" w:tplc="C3C60686">
      <w:start w:val="1"/>
      <w:numFmt w:val="lowerRoman"/>
      <w:lvlText w:val="%3."/>
      <w:lvlJc w:val="right"/>
      <w:pPr>
        <w:ind w:left="2160" w:hanging="180"/>
      </w:pPr>
    </w:lvl>
    <w:lvl w:ilvl="3" w:tplc="A8FC4ED0">
      <w:start w:val="1"/>
      <w:numFmt w:val="decimal"/>
      <w:lvlText w:val="%4."/>
      <w:lvlJc w:val="left"/>
      <w:pPr>
        <w:ind w:left="2880" w:hanging="360"/>
      </w:pPr>
    </w:lvl>
    <w:lvl w:ilvl="4" w:tplc="167A9298">
      <w:start w:val="1"/>
      <w:numFmt w:val="lowerLetter"/>
      <w:lvlText w:val="%5."/>
      <w:lvlJc w:val="left"/>
      <w:pPr>
        <w:ind w:left="3600" w:hanging="360"/>
      </w:pPr>
    </w:lvl>
    <w:lvl w:ilvl="5" w:tplc="7EFCFCBA">
      <w:start w:val="1"/>
      <w:numFmt w:val="lowerRoman"/>
      <w:lvlText w:val="%6."/>
      <w:lvlJc w:val="right"/>
      <w:pPr>
        <w:ind w:left="4320" w:hanging="180"/>
      </w:pPr>
    </w:lvl>
    <w:lvl w:ilvl="6" w:tplc="F1BAEDE4">
      <w:start w:val="1"/>
      <w:numFmt w:val="decimal"/>
      <w:lvlText w:val="%7."/>
      <w:lvlJc w:val="left"/>
      <w:pPr>
        <w:ind w:left="5040" w:hanging="360"/>
      </w:pPr>
    </w:lvl>
    <w:lvl w:ilvl="7" w:tplc="DB8875E0">
      <w:start w:val="1"/>
      <w:numFmt w:val="lowerLetter"/>
      <w:lvlText w:val="%8."/>
      <w:lvlJc w:val="left"/>
      <w:pPr>
        <w:ind w:left="5760" w:hanging="360"/>
      </w:pPr>
    </w:lvl>
    <w:lvl w:ilvl="8" w:tplc="92C056DA">
      <w:start w:val="1"/>
      <w:numFmt w:val="lowerRoman"/>
      <w:lvlText w:val="%9."/>
      <w:lvlJc w:val="right"/>
      <w:pPr>
        <w:ind w:left="6480" w:hanging="180"/>
      </w:pPr>
    </w:lvl>
  </w:abstractNum>
  <w:abstractNum w:abstractNumId="19" w15:restartNumberingAfterBreak="0">
    <w:nsid w:val="4D8E7407"/>
    <w:multiLevelType w:val="hybridMultilevel"/>
    <w:tmpl w:val="216226EC"/>
    <w:lvl w:ilvl="0" w:tplc="B41E8228">
      <w:start w:val="1"/>
      <w:numFmt w:val="bullet"/>
      <w:lvlText w:val=""/>
      <w:lvlJc w:val="left"/>
      <w:pPr>
        <w:ind w:left="720" w:hanging="360"/>
      </w:pPr>
      <w:rPr>
        <w:rFonts w:ascii="Symbol" w:hAnsi="Symbol" w:hint="default"/>
      </w:rPr>
    </w:lvl>
    <w:lvl w:ilvl="1" w:tplc="A3883062">
      <w:start w:val="1"/>
      <w:numFmt w:val="bullet"/>
      <w:lvlText w:val="o"/>
      <w:lvlJc w:val="left"/>
      <w:pPr>
        <w:ind w:left="1440" w:hanging="360"/>
      </w:pPr>
      <w:rPr>
        <w:rFonts w:ascii="Courier New" w:hAnsi="Courier New" w:hint="default"/>
      </w:rPr>
    </w:lvl>
    <w:lvl w:ilvl="2" w:tplc="A7EC8B16">
      <w:start w:val="1"/>
      <w:numFmt w:val="bullet"/>
      <w:lvlText w:val=""/>
      <w:lvlJc w:val="left"/>
      <w:pPr>
        <w:ind w:left="2160" w:hanging="360"/>
      </w:pPr>
      <w:rPr>
        <w:rFonts w:ascii="Wingdings" w:hAnsi="Wingdings" w:hint="default"/>
      </w:rPr>
    </w:lvl>
    <w:lvl w:ilvl="3" w:tplc="32CAF48A">
      <w:start w:val="1"/>
      <w:numFmt w:val="bullet"/>
      <w:lvlText w:val=""/>
      <w:lvlJc w:val="left"/>
      <w:pPr>
        <w:ind w:left="2880" w:hanging="360"/>
      </w:pPr>
      <w:rPr>
        <w:rFonts w:ascii="Symbol" w:hAnsi="Symbol" w:hint="default"/>
      </w:rPr>
    </w:lvl>
    <w:lvl w:ilvl="4" w:tplc="0710469C">
      <w:start w:val="1"/>
      <w:numFmt w:val="bullet"/>
      <w:lvlText w:val="o"/>
      <w:lvlJc w:val="left"/>
      <w:pPr>
        <w:ind w:left="3600" w:hanging="360"/>
      </w:pPr>
      <w:rPr>
        <w:rFonts w:ascii="Courier New" w:hAnsi="Courier New" w:hint="default"/>
      </w:rPr>
    </w:lvl>
    <w:lvl w:ilvl="5" w:tplc="3BD0F7EA">
      <w:start w:val="1"/>
      <w:numFmt w:val="bullet"/>
      <w:lvlText w:val=""/>
      <w:lvlJc w:val="left"/>
      <w:pPr>
        <w:ind w:left="4320" w:hanging="360"/>
      </w:pPr>
      <w:rPr>
        <w:rFonts w:ascii="Wingdings" w:hAnsi="Wingdings" w:hint="default"/>
      </w:rPr>
    </w:lvl>
    <w:lvl w:ilvl="6" w:tplc="5F8882E6">
      <w:start w:val="1"/>
      <w:numFmt w:val="bullet"/>
      <w:lvlText w:val=""/>
      <w:lvlJc w:val="left"/>
      <w:pPr>
        <w:ind w:left="5040" w:hanging="360"/>
      </w:pPr>
      <w:rPr>
        <w:rFonts w:ascii="Symbol" w:hAnsi="Symbol" w:hint="default"/>
      </w:rPr>
    </w:lvl>
    <w:lvl w:ilvl="7" w:tplc="1C66DF16">
      <w:start w:val="1"/>
      <w:numFmt w:val="bullet"/>
      <w:lvlText w:val="o"/>
      <w:lvlJc w:val="left"/>
      <w:pPr>
        <w:ind w:left="5760" w:hanging="360"/>
      </w:pPr>
      <w:rPr>
        <w:rFonts w:ascii="Courier New" w:hAnsi="Courier New" w:hint="default"/>
      </w:rPr>
    </w:lvl>
    <w:lvl w:ilvl="8" w:tplc="C83C3502">
      <w:start w:val="1"/>
      <w:numFmt w:val="bullet"/>
      <w:lvlText w:val=""/>
      <w:lvlJc w:val="left"/>
      <w:pPr>
        <w:ind w:left="6480" w:hanging="360"/>
      </w:pPr>
      <w:rPr>
        <w:rFonts w:ascii="Wingdings" w:hAnsi="Wingdings" w:hint="default"/>
      </w:rPr>
    </w:lvl>
  </w:abstractNum>
  <w:abstractNum w:abstractNumId="20" w15:restartNumberingAfterBreak="0">
    <w:nsid w:val="51A84F2E"/>
    <w:multiLevelType w:val="hybridMultilevel"/>
    <w:tmpl w:val="D330700E"/>
    <w:lvl w:ilvl="0" w:tplc="38905802">
      <w:start w:val="1"/>
      <w:numFmt w:val="bullet"/>
      <w:lvlText w:val=""/>
      <w:lvlJc w:val="left"/>
      <w:pPr>
        <w:ind w:left="720" w:hanging="360"/>
      </w:pPr>
      <w:rPr>
        <w:rFonts w:ascii="Symbol" w:hAnsi="Symbol" w:hint="default"/>
      </w:rPr>
    </w:lvl>
    <w:lvl w:ilvl="1" w:tplc="A6C0AD56">
      <w:start w:val="1"/>
      <w:numFmt w:val="bullet"/>
      <w:lvlText w:val="o"/>
      <w:lvlJc w:val="left"/>
      <w:pPr>
        <w:ind w:left="1440" w:hanging="360"/>
      </w:pPr>
      <w:rPr>
        <w:rFonts w:ascii="Courier New" w:hAnsi="Courier New" w:hint="default"/>
      </w:rPr>
    </w:lvl>
    <w:lvl w:ilvl="2" w:tplc="61E63998">
      <w:start w:val="1"/>
      <w:numFmt w:val="bullet"/>
      <w:lvlText w:val=""/>
      <w:lvlJc w:val="left"/>
      <w:pPr>
        <w:ind w:left="2160" w:hanging="360"/>
      </w:pPr>
      <w:rPr>
        <w:rFonts w:ascii="Wingdings" w:hAnsi="Wingdings" w:hint="default"/>
      </w:rPr>
    </w:lvl>
    <w:lvl w:ilvl="3" w:tplc="E9EEF15A">
      <w:start w:val="1"/>
      <w:numFmt w:val="bullet"/>
      <w:lvlText w:val=""/>
      <w:lvlJc w:val="left"/>
      <w:pPr>
        <w:ind w:left="2880" w:hanging="360"/>
      </w:pPr>
      <w:rPr>
        <w:rFonts w:ascii="Symbol" w:hAnsi="Symbol" w:hint="default"/>
      </w:rPr>
    </w:lvl>
    <w:lvl w:ilvl="4" w:tplc="C08C5D16">
      <w:start w:val="1"/>
      <w:numFmt w:val="bullet"/>
      <w:lvlText w:val="o"/>
      <w:lvlJc w:val="left"/>
      <w:pPr>
        <w:ind w:left="3600" w:hanging="360"/>
      </w:pPr>
      <w:rPr>
        <w:rFonts w:ascii="Courier New" w:hAnsi="Courier New" w:hint="default"/>
      </w:rPr>
    </w:lvl>
    <w:lvl w:ilvl="5" w:tplc="73981E94">
      <w:start w:val="1"/>
      <w:numFmt w:val="bullet"/>
      <w:lvlText w:val=""/>
      <w:lvlJc w:val="left"/>
      <w:pPr>
        <w:ind w:left="4320" w:hanging="360"/>
      </w:pPr>
      <w:rPr>
        <w:rFonts w:ascii="Wingdings" w:hAnsi="Wingdings" w:hint="default"/>
      </w:rPr>
    </w:lvl>
    <w:lvl w:ilvl="6" w:tplc="8EBC297A">
      <w:start w:val="1"/>
      <w:numFmt w:val="bullet"/>
      <w:lvlText w:val=""/>
      <w:lvlJc w:val="left"/>
      <w:pPr>
        <w:ind w:left="5040" w:hanging="360"/>
      </w:pPr>
      <w:rPr>
        <w:rFonts w:ascii="Symbol" w:hAnsi="Symbol" w:hint="default"/>
      </w:rPr>
    </w:lvl>
    <w:lvl w:ilvl="7" w:tplc="88A2241A">
      <w:start w:val="1"/>
      <w:numFmt w:val="bullet"/>
      <w:lvlText w:val="o"/>
      <w:lvlJc w:val="left"/>
      <w:pPr>
        <w:ind w:left="5760" w:hanging="360"/>
      </w:pPr>
      <w:rPr>
        <w:rFonts w:ascii="Courier New" w:hAnsi="Courier New" w:hint="default"/>
      </w:rPr>
    </w:lvl>
    <w:lvl w:ilvl="8" w:tplc="61880F72">
      <w:start w:val="1"/>
      <w:numFmt w:val="bullet"/>
      <w:lvlText w:val=""/>
      <w:lvlJc w:val="left"/>
      <w:pPr>
        <w:ind w:left="6480" w:hanging="360"/>
      </w:pPr>
      <w:rPr>
        <w:rFonts w:ascii="Wingdings" w:hAnsi="Wingdings" w:hint="default"/>
      </w:rPr>
    </w:lvl>
  </w:abstractNum>
  <w:abstractNum w:abstractNumId="21" w15:restartNumberingAfterBreak="0">
    <w:nsid w:val="53FF1DAE"/>
    <w:multiLevelType w:val="hybridMultilevel"/>
    <w:tmpl w:val="8B78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4B495D"/>
    <w:multiLevelType w:val="hybridMultilevel"/>
    <w:tmpl w:val="8B0E3198"/>
    <w:lvl w:ilvl="0" w:tplc="1C7C1016">
      <w:start w:val="1"/>
      <w:numFmt w:val="bullet"/>
      <w:lvlText w:val=""/>
      <w:lvlJc w:val="left"/>
      <w:pPr>
        <w:ind w:left="720" w:hanging="360"/>
      </w:pPr>
      <w:rPr>
        <w:rFonts w:ascii="Symbol" w:hAnsi="Symbol" w:hint="default"/>
      </w:rPr>
    </w:lvl>
    <w:lvl w:ilvl="1" w:tplc="9F8090A8">
      <w:start w:val="1"/>
      <w:numFmt w:val="bullet"/>
      <w:lvlText w:val="o"/>
      <w:lvlJc w:val="left"/>
      <w:pPr>
        <w:ind w:left="1440" w:hanging="360"/>
      </w:pPr>
      <w:rPr>
        <w:rFonts w:ascii="Courier New" w:hAnsi="Courier New" w:hint="default"/>
      </w:rPr>
    </w:lvl>
    <w:lvl w:ilvl="2" w:tplc="06987076">
      <w:start w:val="1"/>
      <w:numFmt w:val="bullet"/>
      <w:lvlText w:val=""/>
      <w:lvlJc w:val="left"/>
      <w:pPr>
        <w:ind w:left="2160" w:hanging="360"/>
      </w:pPr>
      <w:rPr>
        <w:rFonts w:ascii="Wingdings" w:hAnsi="Wingdings" w:hint="default"/>
      </w:rPr>
    </w:lvl>
    <w:lvl w:ilvl="3" w:tplc="E1A4E314">
      <w:start w:val="1"/>
      <w:numFmt w:val="bullet"/>
      <w:lvlText w:val=""/>
      <w:lvlJc w:val="left"/>
      <w:pPr>
        <w:ind w:left="2880" w:hanging="360"/>
      </w:pPr>
      <w:rPr>
        <w:rFonts w:ascii="Symbol" w:hAnsi="Symbol" w:hint="default"/>
      </w:rPr>
    </w:lvl>
    <w:lvl w:ilvl="4" w:tplc="08E490AA">
      <w:start w:val="1"/>
      <w:numFmt w:val="bullet"/>
      <w:lvlText w:val="o"/>
      <w:lvlJc w:val="left"/>
      <w:pPr>
        <w:ind w:left="3600" w:hanging="360"/>
      </w:pPr>
      <w:rPr>
        <w:rFonts w:ascii="Courier New" w:hAnsi="Courier New" w:hint="default"/>
      </w:rPr>
    </w:lvl>
    <w:lvl w:ilvl="5" w:tplc="62944EA8">
      <w:start w:val="1"/>
      <w:numFmt w:val="bullet"/>
      <w:lvlText w:val=""/>
      <w:lvlJc w:val="left"/>
      <w:pPr>
        <w:ind w:left="4320" w:hanging="360"/>
      </w:pPr>
      <w:rPr>
        <w:rFonts w:ascii="Wingdings" w:hAnsi="Wingdings" w:hint="default"/>
      </w:rPr>
    </w:lvl>
    <w:lvl w:ilvl="6" w:tplc="DEFE7222">
      <w:start w:val="1"/>
      <w:numFmt w:val="bullet"/>
      <w:lvlText w:val=""/>
      <w:lvlJc w:val="left"/>
      <w:pPr>
        <w:ind w:left="5040" w:hanging="360"/>
      </w:pPr>
      <w:rPr>
        <w:rFonts w:ascii="Symbol" w:hAnsi="Symbol" w:hint="default"/>
      </w:rPr>
    </w:lvl>
    <w:lvl w:ilvl="7" w:tplc="E312B6FC">
      <w:start w:val="1"/>
      <w:numFmt w:val="bullet"/>
      <w:lvlText w:val="o"/>
      <w:lvlJc w:val="left"/>
      <w:pPr>
        <w:ind w:left="5760" w:hanging="360"/>
      </w:pPr>
      <w:rPr>
        <w:rFonts w:ascii="Courier New" w:hAnsi="Courier New" w:hint="default"/>
      </w:rPr>
    </w:lvl>
    <w:lvl w:ilvl="8" w:tplc="6B8AE784">
      <w:start w:val="1"/>
      <w:numFmt w:val="bullet"/>
      <w:lvlText w:val=""/>
      <w:lvlJc w:val="left"/>
      <w:pPr>
        <w:ind w:left="6480" w:hanging="360"/>
      </w:pPr>
      <w:rPr>
        <w:rFonts w:ascii="Wingdings" w:hAnsi="Wingdings" w:hint="default"/>
      </w:rPr>
    </w:lvl>
  </w:abstractNum>
  <w:abstractNum w:abstractNumId="23" w15:restartNumberingAfterBreak="0">
    <w:nsid w:val="5EBB77E1"/>
    <w:multiLevelType w:val="hybridMultilevel"/>
    <w:tmpl w:val="9544E52A"/>
    <w:lvl w:ilvl="0" w:tplc="FFFFFFFF">
      <w:start w:val="1"/>
      <w:numFmt w:val="bullet"/>
      <w:lvlText w:val="–"/>
      <w:lvlJc w:val="left"/>
      <w:pPr>
        <w:tabs>
          <w:tab w:val="num" w:pos="284"/>
        </w:tabs>
        <w:ind w:left="284" w:hanging="284"/>
      </w:pPr>
      <w:rPr>
        <w:rFonts w:ascii="Arial" w:hAnsi="Arial" w:hint="default"/>
        <w:color w:val="auto"/>
        <w:position w:val="0"/>
        <w:sz w:val="20"/>
      </w:rPr>
    </w:lvl>
    <w:lvl w:ilvl="1" w:tplc="FFFFFFFF">
      <w:start w:val="1"/>
      <w:numFmt w:val="bullet"/>
      <w:lvlText w:val="–"/>
      <w:lvlJc w:val="left"/>
      <w:pPr>
        <w:tabs>
          <w:tab w:val="num" w:pos="567"/>
        </w:tabs>
        <w:ind w:left="567" w:hanging="283"/>
      </w:pPr>
      <w:rPr>
        <w:rFonts w:ascii="Arial" w:hAnsi="Arial" w:hint="default"/>
        <w:b w:val="0"/>
        <w:i w:val="0"/>
        <w:color w:val="auto"/>
        <w:position w:val="0"/>
        <w:sz w:val="20"/>
      </w:rPr>
    </w:lvl>
    <w:lvl w:ilvl="2" w:tplc="9A30B92E">
      <w:start w:val="1"/>
      <w:numFmt w:val="bullet"/>
      <w:lvlText w:val="&gt;"/>
      <w:lvlJc w:val="left"/>
      <w:pPr>
        <w:tabs>
          <w:tab w:val="num" w:pos="851"/>
        </w:tabs>
        <w:ind w:left="851" w:hanging="284"/>
      </w:pPr>
      <w:rPr>
        <w:rFonts w:ascii="Arial" w:hAnsi="Arial" w:hint="default"/>
        <w:b w:val="0"/>
        <w:i w:val="0"/>
        <w:color w:val="auto"/>
        <w:position w:val="2"/>
        <w:sz w:val="20"/>
      </w:rPr>
    </w:lvl>
    <w:lvl w:ilvl="3" w:tplc="CDCA6908">
      <w:start w:val="1"/>
      <w:numFmt w:val="bullet"/>
      <w:lvlText w:val="–"/>
      <w:lvlJc w:val="left"/>
      <w:pPr>
        <w:tabs>
          <w:tab w:val="num" w:pos="1792"/>
        </w:tabs>
        <w:ind w:left="1792" w:hanging="357"/>
      </w:pPr>
      <w:rPr>
        <w:rFonts w:ascii="Arial" w:hAnsi="Arial" w:hint="default"/>
        <w:color w:val="auto"/>
      </w:rPr>
    </w:lvl>
    <w:lvl w:ilvl="4" w:tplc="CCA679CA">
      <w:start w:val="1"/>
      <w:numFmt w:val="bullet"/>
      <w:lvlText w:val="–"/>
      <w:lvlJc w:val="left"/>
      <w:pPr>
        <w:tabs>
          <w:tab w:val="num" w:pos="2149"/>
        </w:tabs>
        <w:ind w:left="2149" w:hanging="357"/>
      </w:pPr>
      <w:rPr>
        <w:rFonts w:ascii="Arial" w:hAnsi="Arial" w:hint="default"/>
        <w:color w:val="auto"/>
      </w:rPr>
    </w:lvl>
    <w:lvl w:ilvl="5" w:tplc="CE9482E4">
      <w:start w:val="1"/>
      <w:numFmt w:val="decimal"/>
      <w:lvlText w:val=""/>
      <w:lvlJc w:val="left"/>
      <w:pPr>
        <w:tabs>
          <w:tab w:val="num" w:pos="2409"/>
        </w:tabs>
        <w:ind w:left="2550" w:hanging="425"/>
      </w:pPr>
    </w:lvl>
    <w:lvl w:ilvl="6" w:tplc="EDF8EB9E">
      <w:start w:val="1"/>
      <w:numFmt w:val="decimal"/>
      <w:lvlText w:val=""/>
      <w:lvlJc w:val="left"/>
      <w:pPr>
        <w:tabs>
          <w:tab w:val="num" w:pos="2834"/>
        </w:tabs>
        <w:ind w:left="2975" w:hanging="425"/>
      </w:pPr>
    </w:lvl>
    <w:lvl w:ilvl="7" w:tplc="9D60EFEC">
      <w:start w:val="1"/>
      <w:numFmt w:val="decimal"/>
      <w:lvlText w:val=""/>
      <w:lvlJc w:val="left"/>
      <w:pPr>
        <w:tabs>
          <w:tab w:val="num" w:pos="3259"/>
        </w:tabs>
        <w:ind w:left="3400" w:hanging="425"/>
      </w:pPr>
    </w:lvl>
    <w:lvl w:ilvl="8" w:tplc="E034DDD4">
      <w:start w:val="1"/>
      <w:numFmt w:val="decimal"/>
      <w:lvlText w:val=""/>
      <w:lvlJc w:val="left"/>
      <w:pPr>
        <w:tabs>
          <w:tab w:val="num" w:pos="3684"/>
        </w:tabs>
        <w:ind w:left="3825" w:hanging="425"/>
      </w:pPr>
    </w:lvl>
  </w:abstractNum>
  <w:abstractNum w:abstractNumId="24" w15:restartNumberingAfterBreak="0">
    <w:nsid w:val="683F79BE"/>
    <w:multiLevelType w:val="hybridMultilevel"/>
    <w:tmpl w:val="994C8628"/>
    <w:lvl w:ilvl="0" w:tplc="317A606A">
      <w:start w:val="1"/>
      <w:numFmt w:val="decimal"/>
      <w:lvlText w:val="%1."/>
      <w:lvlJc w:val="left"/>
      <w:pPr>
        <w:ind w:left="720" w:hanging="360"/>
      </w:pPr>
    </w:lvl>
    <w:lvl w:ilvl="1" w:tplc="2092C796">
      <w:start w:val="1"/>
      <w:numFmt w:val="decimal"/>
      <w:lvlText w:val="%2."/>
      <w:lvlJc w:val="left"/>
      <w:pPr>
        <w:ind w:left="1440" w:hanging="360"/>
      </w:pPr>
    </w:lvl>
    <w:lvl w:ilvl="2" w:tplc="7A50AEBE">
      <w:start w:val="1"/>
      <w:numFmt w:val="decimal"/>
      <w:lvlText w:val="%3."/>
      <w:lvlJc w:val="left"/>
      <w:pPr>
        <w:ind w:left="2160" w:hanging="180"/>
      </w:pPr>
    </w:lvl>
    <w:lvl w:ilvl="3" w:tplc="645A409E">
      <w:start w:val="1"/>
      <w:numFmt w:val="decimal"/>
      <w:lvlText w:val="%4."/>
      <w:lvlJc w:val="left"/>
      <w:pPr>
        <w:ind w:left="2880" w:hanging="360"/>
      </w:pPr>
    </w:lvl>
    <w:lvl w:ilvl="4" w:tplc="64F8DE4A">
      <w:start w:val="1"/>
      <w:numFmt w:val="lowerLetter"/>
      <w:lvlText w:val="%5."/>
      <w:lvlJc w:val="left"/>
      <w:pPr>
        <w:ind w:left="3600" w:hanging="360"/>
      </w:pPr>
    </w:lvl>
    <w:lvl w:ilvl="5" w:tplc="3BE06176">
      <w:start w:val="1"/>
      <w:numFmt w:val="lowerRoman"/>
      <w:lvlText w:val="%6."/>
      <w:lvlJc w:val="right"/>
      <w:pPr>
        <w:ind w:left="4320" w:hanging="180"/>
      </w:pPr>
    </w:lvl>
    <w:lvl w:ilvl="6" w:tplc="6D802300">
      <w:start w:val="1"/>
      <w:numFmt w:val="decimal"/>
      <w:lvlText w:val="%7."/>
      <w:lvlJc w:val="left"/>
      <w:pPr>
        <w:ind w:left="5040" w:hanging="360"/>
      </w:pPr>
    </w:lvl>
    <w:lvl w:ilvl="7" w:tplc="1174D500">
      <w:start w:val="1"/>
      <w:numFmt w:val="lowerLetter"/>
      <w:lvlText w:val="%8."/>
      <w:lvlJc w:val="left"/>
      <w:pPr>
        <w:ind w:left="5760" w:hanging="360"/>
      </w:pPr>
    </w:lvl>
    <w:lvl w:ilvl="8" w:tplc="1016A34E">
      <w:start w:val="1"/>
      <w:numFmt w:val="lowerRoman"/>
      <w:lvlText w:val="%9."/>
      <w:lvlJc w:val="right"/>
      <w:pPr>
        <w:ind w:left="6480" w:hanging="180"/>
      </w:pPr>
    </w:lvl>
  </w:abstractNum>
  <w:abstractNum w:abstractNumId="25" w15:restartNumberingAfterBreak="0">
    <w:nsid w:val="6A1B5A6B"/>
    <w:multiLevelType w:val="hybridMultilevel"/>
    <w:tmpl w:val="0452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3F65B7"/>
    <w:multiLevelType w:val="hybridMultilevel"/>
    <w:tmpl w:val="B5645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D96DA4"/>
    <w:multiLevelType w:val="hybridMultilevel"/>
    <w:tmpl w:val="DBACE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347A33"/>
    <w:multiLevelType w:val="hybridMultilevel"/>
    <w:tmpl w:val="96F006AC"/>
    <w:lvl w:ilvl="0" w:tplc="687AA692">
      <w:start w:val="1"/>
      <w:numFmt w:val="bullet"/>
      <w:lvlText w:val="·"/>
      <w:lvlJc w:val="left"/>
      <w:pPr>
        <w:ind w:left="720" w:hanging="360"/>
      </w:pPr>
      <w:rPr>
        <w:rFonts w:ascii="Symbol" w:hAnsi="Symbol" w:hint="default"/>
      </w:rPr>
    </w:lvl>
    <w:lvl w:ilvl="1" w:tplc="9DE86428">
      <w:start w:val="1"/>
      <w:numFmt w:val="bullet"/>
      <w:lvlText w:val="o"/>
      <w:lvlJc w:val="left"/>
      <w:pPr>
        <w:ind w:left="1440" w:hanging="360"/>
      </w:pPr>
      <w:rPr>
        <w:rFonts w:ascii="Courier New" w:hAnsi="Courier New" w:hint="default"/>
      </w:rPr>
    </w:lvl>
    <w:lvl w:ilvl="2" w:tplc="C08C39EA">
      <w:start w:val="1"/>
      <w:numFmt w:val="bullet"/>
      <w:lvlText w:val=""/>
      <w:lvlJc w:val="left"/>
      <w:pPr>
        <w:ind w:left="2160" w:hanging="360"/>
      </w:pPr>
      <w:rPr>
        <w:rFonts w:ascii="Wingdings" w:hAnsi="Wingdings" w:hint="default"/>
      </w:rPr>
    </w:lvl>
    <w:lvl w:ilvl="3" w:tplc="54326176">
      <w:start w:val="1"/>
      <w:numFmt w:val="bullet"/>
      <w:lvlText w:val=""/>
      <w:lvlJc w:val="left"/>
      <w:pPr>
        <w:ind w:left="2880" w:hanging="360"/>
      </w:pPr>
      <w:rPr>
        <w:rFonts w:ascii="Symbol" w:hAnsi="Symbol" w:hint="default"/>
      </w:rPr>
    </w:lvl>
    <w:lvl w:ilvl="4" w:tplc="6BEA61A4">
      <w:start w:val="1"/>
      <w:numFmt w:val="bullet"/>
      <w:lvlText w:val="o"/>
      <w:lvlJc w:val="left"/>
      <w:pPr>
        <w:ind w:left="3600" w:hanging="360"/>
      </w:pPr>
      <w:rPr>
        <w:rFonts w:ascii="Courier New" w:hAnsi="Courier New" w:hint="default"/>
      </w:rPr>
    </w:lvl>
    <w:lvl w:ilvl="5" w:tplc="6E787018">
      <w:start w:val="1"/>
      <w:numFmt w:val="bullet"/>
      <w:lvlText w:val=""/>
      <w:lvlJc w:val="left"/>
      <w:pPr>
        <w:ind w:left="4320" w:hanging="360"/>
      </w:pPr>
      <w:rPr>
        <w:rFonts w:ascii="Wingdings" w:hAnsi="Wingdings" w:hint="default"/>
      </w:rPr>
    </w:lvl>
    <w:lvl w:ilvl="6" w:tplc="A60CBE4C">
      <w:start w:val="1"/>
      <w:numFmt w:val="bullet"/>
      <w:lvlText w:val=""/>
      <w:lvlJc w:val="left"/>
      <w:pPr>
        <w:ind w:left="5040" w:hanging="360"/>
      </w:pPr>
      <w:rPr>
        <w:rFonts w:ascii="Symbol" w:hAnsi="Symbol" w:hint="default"/>
      </w:rPr>
    </w:lvl>
    <w:lvl w:ilvl="7" w:tplc="EFD67DF8">
      <w:start w:val="1"/>
      <w:numFmt w:val="bullet"/>
      <w:lvlText w:val="o"/>
      <w:lvlJc w:val="left"/>
      <w:pPr>
        <w:ind w:left="5760" w:hanging="360"/>
      </w:pPr>
      <w:rPr>
        <w:rFonts w:ascii="Courier New" w:hAnsi="Courier New" w:hint="default"/>
      </w:rPr>
    </w:lvl>
    <w:lvl w:ilvl="8" w:tplc="386E3E66">
      <w:start w:val="1"/>
      <w:numFmt w:val="bullet"/>
      <w:lvlText w:val=""/>
      <w:lvlJc w:val="left"/>
      <w:pPr>
        <w:ind w:left="6480" w:hanging="360"/>
      </w:pPr>
      <w:rPr>
        <w:rFonts w:ascii="Wingdings" w:hAnsi="Wingdings" w:hint="default"/>
      </w:rPr>
    </w:lvl>
  </w:abstractNum>
  <w:abstractNum w:abstractNumId="29" w15:restartNumberingAfterBreak="0">
    <w:nsid w:val="72E74E76"/>
    <w:multiLevelType w:val="hybridMultilevel"/>
    <w:tmpl w:val="9A18F87A"/>
    <w:lvl w:ilvl="0" w:tplc="E520B080">
      <w:start w:val="1"/>
      <w:numFmt w:val="bullet"/>
      <w:pStyle w:val="List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3A8472B"/>
    <w:multiLevelType w:val="hybridMultilevel"/>
    <w:tmpl w:val="1772E44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EC2D00"/>
    <w:multiLevelType w:val="multilevel"/>
    <w:tmpl w:val="263C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
  </w:num>
  <w:num w:numId="3">
    <w:abstractNumId w:val="22"/>
  </w:num>
  <w:num w:numId="4">
    <w:abstractNumId w:val="12"/>
  </w:num>
  <w:num w:numId="5">
    <w:abstractNumId w:val="18"/>
  </w:num>
  <w:num w:numId="6">
    <w:abstractNumId w:val="11"/>
  </w:num>
  <w:num w:numId="7">
    <w:abstractNumId w:val="24"/>
  </w:num>
  <w:num w:numId="8">
    <w:abstractNumId w:val="16"/>
  </w:num>
  <w:num w:numId="9">
    <w:abstractNumId w:val="5"/>
  </w:num>
  <w:num w:numId="10">
    <w:abstractNumId w:val="20"/>
  </w:num>
  <w:num w:numId="11">
    <w:abstractNumId w:val="28"/>
  </w:num>
  <w:num w:numId="12">
    <w:abstractNumId w:val="13"/>
  </w:num>
  <w:num w:numId="13">
    <w:abstractNumId w:val="2"/>
  </w:num>
  <w:num w:numId="14">
    <w:abstractNumId w:val="9"/>
  </w:num>
  <w:num w:numId="15">
    <w:abstractNumId w:val="4"/>
  </w:num>
  <w:num w:numId="16">
    <w:abstractNumId w:val="0"/>
  </w:num>
  <w:num w:numId="17">
    <w:abstractNumId w:val="23"/>
  </w:num>
  <w:num w:numId="18">
    <w:abstractNumId w:val="6"/>
  </w:num>
  <w:num w:numId="19">
    <w:abstractNumId w:val="1"/>
  </w:num>
  <w:num w:numId="20">
    <w:abstractNumId w:val="19"/>
  </w:num>
  <w:num w:numId="21">
    <w:abstractNumId w:val="0"/>
  </w:num>
  <w:num w:numId="22">
    <w:abstractNumId w:val="30"/>
  </w:num>
  <w:num w:numId="23">
    <w:abstractNumId w:val="0"/>
  </w:num>
  <w:num w:numId="24">
    <w:abstractNumId w:val="0"/>
  </w:num>
  <w:num w:numId="25">
    <w:abstractNumId w:val="0"/>
  </w:num>
  <w:num w:numId="26">
    <w:abstractNumId w:val="0"/>
  </w:num>
  <w:num w:numId="27">
    <w:abstractNumId w:val="17"/>
  </w:num>
  <w:num w:numId="28">
    <w:abstractNumId w:val="29"/>
  </w:num>
  <w:num w:numId="29">
    <w:abstractNumId w:val="10"/>
  </w:num>
  <w:num w:numId="30">
    <w:abstractNumId w:val="15"/>
  </w:num>
  <w:num w:numId="31">
    <w:abstractNumId w:val="26"/>
  </w:num>
  <w:num w:numId="32">
    <w:abstractNumId w:val="14"/>
  </w:num>
  <w:num w:numId="33">
    <w:abstractNumId w:val="21"/>
  </w:num>
  <w:num w:numId="34">
    <w:abstractNumId w:val="27"/>
  </w:num>
  <w:num w:numId="35">
    <w:abstractNumId w:val="25"/>
  </w:num>
  <w:num w:numId="36">
    <w:abstractNumId w:val="31"/>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29"/>
  </w:num>
  <w:num w:numId="40">
    <w:abstractNumId w:val="29"/>
  </w:num>
  <w:num w:numId="41">
    <w:abstractNumId w:val="29"/>
  </w:num>
  <w:num w:numId="42">
    <w:abstractNumId w:val="29"/>
  </w:num>
  <w:num w:numId="43">
    <w:abstractNumId w:val="29"/>
  </w:num>
  <w:num w:numId="44">
    <w:abstractNumId w:val="29"/>
  </w:num>
  <w:num w:numId="45">
    <w:abstractNumId w:val="29"/>
  </w:num>
  <w:num w:numId="46">
    <w:abstractNumId w:val="29"/>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561"/>
    <w:rsid w:val="00004570"/>
    <w:rsid w:val="000161A2"/>
    <w:rsid w:val="00017DFB"/>
    <w:rsid w:val="00020399"/>
    <w:rsid w:val="00022CB0"/>
    <w:rsid w:val="000257E4"/>
    <w:rsid w:val="00032729"/>
    <w:rsid w:val="000456FF"/>
    <w:rsid w:val="000515A4"/>
    <w:rsid w:val="0005173E"/>
    <w:rsid w:val="0005370C"/>
    <w:rsid w:val="0005535F"/>
    <w:rsid w:val="00056B62"/>
    <w:rsid w:val="00056BB5"/>
    <w:rsid w:val="00064B20"/>
    <w:rsid w:val="00065088"/>
    <w:rsid w:val="0006553C"/>
    <w:rsid w:val="0006637F"/>
    <w:rsid w:val="00067410"/>
    <w:rsid w:val="00073003"/>
    <w:rsid w:val="00076D1C"/>
    <w:rsid w:val="0007707C"/>
    <w:rsid w:val="00082DE7"/>
    <w:rsid w:val="00085F69"/>
    <w:rsid w:val="00096720"/>
    <w:rsid w:val="000A1398"/>
    <w:rsid w:val="000A1A13"/>
    <w:rsid w:val="000A26BD"/>
    <w:rsid w:val="000A307F"/>
    <w:rsid w:val="000A3275"/>
    <w:rsid w:val="000A4AEE"/>
    <w:rsid w:val="000A6907"/>
    <w:rsid w:val="000A736D"/>
    <w:rsid w:val="000A7B8B"/>
    <w:rsid w:val="000A7F93"/>
    <w:rsid w:val="000B1E65"/>
    <w:rsid w:val="000B6DEF"/>
    <w:rsid w:val="000B6E20"/>
    <w:rsid w:val="000B7211"/>
    <w:rsid w:val="000B7F54"/>
    <w:rsid w:val="000C749E"/>
    <w:rsid w:val="000C79F0"/>
    <w:rsid w:val="000D4CBD"/>
    <w:rsid w:val="000D7A45"/>
    <w:rsid w:val="000E1D49"/>
    <w:rsid w:val="000E7644"/>
    <w:rsid w:val="000F0ED1"/>
    <w:rsid w:val="000F2CCD"/>
    <w:rsid w:val="0010207D"/>
    <w:rsid w:val="0010353E"/>
    <w:rsid w:val="00104AF3"/>
    <w:rsid w:val="00105E48"/>
    <w:rsid w:val="00107A4C"/>
    <w:rsid w:val="001102D6"/>
    <w:rsid w:val="001160B0"/>
    <w:rsid w:val="001173E6"/>
    <w:rsid w:val="0012665D"/>
    <w:rsid w:val="00142FF8"/>
    <w:rsid w:val="00146E8D"/>
    <w:rsid w:val="001534AA"/>
    <w:rsid w:val="0015501B"/>
    <w:rsid w:val="0015653C"/>
    <w:rsid w:val="00165EED"/>
    <w:rsid w:val="0016D070"/>
    <w:rsid w:val="00170B30"/>
    <w:rsid w:val="00170F0C"/>
    <w:rsid w:val="00171E16"/>
    <w:rsid w:val="00172D19"/>
    <w:rsid w:val="00173C21"/>
    <w:rsid w:val="0018040E"/>
    <w:rsid w:val="00181744"/>
    <w:rsid w:val="00182AF4"/>
    <w:rsid w:val="00187DF3"/>
    <w:rsid w:val="0019068B"/>
    <w:rsid w:val="001906C6"/>
    <w:rsid w:val="00192017"/>
    <w:rsid w:val="00193357"/>
    <w:rsid w:val="0019744E"/>
    <w:rsid w:val="00197AC8"/>
    <w:rsid w:val="001A49CE"/>
    <w:rsid w:val="001A7F11"/>
    <w:rsid w:val="001B12B9"/>
    <w:rsid w:val="001B1AA6"/>
    <w:rsid w:val="001B46A1"/>
    <w:rsid w:val="001C0C1E"/>
    <w:rsid w:val="001C4219"/>
    <w:rsid w:val="001C5E20"/>
    <w:rsid w:val="001D2BD4"/>
    <w:rsid w:val="001D7100"/>
    <w:rsid w:val="001D7B9B"/>
    <w:rsid w:val="001E272C"/>
    <w:rsid w:val="001E7D6D"/>
    <w:rsid w:val="001F11F5"/>
    <w:rsid w:val="001F30F8"/>
    <w:rsid w:val="001F5056"/>
    <w:rsid w:val="001F6442"/>
    <w:rsid w:val="00205E54"/>
    <w:rsid w:val="0020A426"/>
    <w:rsid w:val="0021057C"/>
    <w:rsid w:val="002106E6"/>
    <w:rsid w:val="00217FDC"/>
    <w:rsid w:val="00223807"/>
    <w:rsid w:val="0022711D"/>
    <w:rsid w:val="00231AF5"/>
    <w:rsid w:val="0024177D"/>
    <w:rsid w:val="00246E25"/>
    <w:rsid w:val="002507B1"/>
    <w:rsid w:val="0025761A"/>
    <w:rsid w:val="00260C73"/>
    <w:rsid w:val="00270F31"/>
    <w:rsid w:val="002733B3"/>
    <w:rsid w:val="002748AB"/>
    <w:rsid w:val="00274C7C"/>
    <w:rsid w:val="00276D54"/>
    <w:rsid w:val="002827CC"/>
    <w:rsid w:val="00290488"/>
    <w:rsid w:val="00290FB8"/>
    <w:rsid w:val="0029513C"/>
    <w:rsid w:val="00295D67"/>
    <w:rsid w:val="002A20CF"/>
    <w:rsid w:val="002A32E7"/>
    <w:rsid w:val="002A35C2"/>
    <w:rsid w:val="002A534F"/>
    <w:rsid w:val="002A5DD6"/>
    <w:rsid w:val="002C0E1D"/>
    <w:rsid w:val="002C7E28"/>
    <w:rsid w:val="002D0904"/>
    <w:rsid w:val="002D13AE"/>
    <w:rsid w:val="002E4D98"/>
    <w:rsid w:val="00313C7F"/>
    <w:rsid w:val="00326E49"/>
    <w:rsid w:val="003366F6"/>
    <w:rsid w:val="00340DE4"/>
    <w:rsid w:val="00341087"/>
    <w:rsid w:val="00343A2F"/>
    <w:rsid w:val="00350421"/>
    <w:rsid w:val="003553D9"/>
    <w:rsid w:val="00360B0E"/>
    <w:rsid w:val="00360B45"/>
    <w:rsid w:val="00367FC1"/>
    <w:rsid w:val="00380783"/>
    <w:rsid w:val="00385CA9"/>
    <w:rsid w:val="003921A3"/>
    <w:rsid w:val="00396D47"/>
    <w:rsid w:val="003A1B76"/>
    <w:rsid w:val="003A2E24"/>
    <w:rsid w:val="003B1FFE"/>
    <w:rsid w:val="003B2BC7"/>
    <w:rsid w:val="003C2945"/>
    <w:rsid w:val="003C418B"/>
    <w:rsid w:val="003C4841"/>
    <w:rsid w:val="003C70EB"/>
    <w:rsid w:val="003D6A2B"/>
    <w:rsid w:val="003E117D"/>
    <w:rsid w:val="003E7C74"/>
    <w:rsid w:val="003F3A30"/>
    <w:rsid w:val="003F68B3"/>
    <w:rsid w:val="003F6C88"/>
    <w:rsid w:val="003F7FF4"/>
    <w:rsid w:val="004057BC"/>
    <w:rsid w:val="0040736B"/>
    <w:rsid w:val="00407BFE"/>
    <w:rsid w:val="00413610"/>
    <w:rsid w:val="00421704"/>
    <w:rsid w:val="004228A2"/>
    <w:rsid w:val="00422A7D"/>
    <w:rsid w:val="0043526E"/>
    <w:rsid w:val="0043734B"/>
    <w:rsid w:val="004378C7"/>
    <w:rsid w:val="004415A8"/>
    <w:rsid w:val="00441791"/>
    <w:rsid w:val="00442053"/>
    <w:rsid w:val="004420A1"/>
    <w:rsid w:val="004420DE"/>
    <w:rsid w:val="00444A00"/>
    <w:rsid w:val="00444BFA"/>
    <w:rsid w:val="004451E1"/>
    <w:rsid w:val="004480A5"/>
    <w:rsid w:val="00450200"/>
    <w:rsid w:val="004515F6"/>
    <w:rsid w:val="00451782"/>
    <w:rsid w:val="00466C2A"/>
    <w:rsid w:val="00466EAF"/>
    <w:rsid w:val="00470258"/>
    <w:rsid w:val="0047086C"/>
    <w:rsid w:val="00472F0E"/>
    <w:rsid w:val="004734EC"/>
    <w:rsid w:val="00480162"/>
    <w:rsid w:val="00482022"/>
    <w:rsid w:val="00484DFE"/>
    <w:rsid w:val="004A0E60"/>
    <w:rsid w:val="004A168D"/>
    <w:rsid w:val="004B2FF5"/>
    <w:rsid w:val="004B36AF"/>
    <w:rsid w:val="004B57EE"/>
    <w:rsid w:val="004C021C"/>
    <w:rsid w:val="004C3112"/>
    <w:rsid w:val="004C6A24"/>
    <w:rsid w:val="004D1669"/>
    <w:rsid w:val="004D746A"/>
    <w:rsid w:val="004E21B7"/>
    <w:rsid w:val="004E4E15"/>
    <w:rsid w:val="004E5CE6"/>
    <w:rsid w:val="004F1B02"/>
    <w:rsid w:val="004F3F16"/>
    <w:rsid w:val="004F5A3E"/>
    <w:rsid w:val="005066A2"/>
    <w:rsid w:val="005126E6"/>
    <w:rsid w:val="00520A15"/>
    <w:rsid w:val="00524DF4"/>
    <w:rsid w:val="00531152"/>
    <w:rsid w:val="00531A5D"/>
    <w:rsid w:val="00534C52"/>
    <w:rsid w:val="005352D8"/>
    <w:rsid w:val="0053620B"/>
    <w:rsid w:val="0054242B"/>
    <w:rsid w:val="00542AB6"/>
    <w:rsid w:val="00543FE7"/>
    <w:rsid w:val="0055096C"/>
    <w:rsid w:val="00556C09"/>
    <w:rsid w:val="005706B4"/>
    <w:rsid w:val="00575F9C"/>
    <w:rsid w:val="00582D0D"/>
    <w:rsid w:val="00583A11"/>
    <w:rsid w:val="00584510"/>
    <w:rsid w:val="00591F71"/>
    <w:rsid w:val="005920AA"/>
    <w:rsid w:val="00592E4D"/>
    <w:rsid w:val="00596217"/>
    <w:rsid w:val="00596965"/>
    <w:rsid w:val="00596AC5"/>
    <w:rsid w:val="005A649B"/>
    <w:rsid w:val="005B2744"/>
    <w:rsid w:val="005B28AE"/>
    <w:rsid w:val="005B6A0E"/>
    <w:rsid w:val="005C1B85"/>
    <w:rsid w:val="005C68C7"/>
    <w:rsid w:val="005D70E7"/>
    <w:rsid w:val="005E2DB3"/>
    <w:rsid w:val="005E34D9"/>
    <w:rsid w:val="005E38AA"/>
    <w:rsid w:val="005E7EA5"/>
    <w:rsid w:val="005F17DC"/>
    <w:rsid w:val="005F2624"/>
    <w:rsid w:val="005F2CC8"/>
    <w:rsid w:val="005F513C"/>
    <w:rsid w:val="005F6E9F"/>
    <w:rsid w:val="005F7DB4"/>
    <w:rsid w:val="00605A14"/>
    <w:rsid w:val="006063BA"/>
    <w:rsid w:val="00610EC8"/>
    <w:rsid w:val="00612E0E"/>
    <w:rsid w:val="0062491F"/>
    <w:rsid w:val="006271DD"/>
    <w:rsid w:val="00630635"/>
    <w:rsid w:val="00630F0F"/>
    <w:rsid w:val="0063225C"/>
    <w:rsid w:val="00637176"/>
    <w:rsid w:val="00640147"/>
    <w:rsid w:val="00640D34"/>
    <w:rsid w:val="00651B25"/>
    <w:rsid w:val="00653203"/>
    <w:rsid w:val="00653621"/>
    <w:rsid w:val="00653959"/>
    <w:rsid w:val="006543A4"/>
    <w:rsid w:val="00667982"/>
    <w:rsid w:val="00671699"/>
    <w:rsid w:val="006861E4"/>
    <w:rsid w:val="0068BABD"/>
    <w:rsid w:val="00693FA6"/>
    <w:rsid w:val="006A34AA"/>
    <w:rsid w:val="006A3994"/>
    <w:rsid w:val="006A6E4E"/>
    <w:rsid w:val="006B11F2"/>
    <w:rsid w:val="006B1290"/>
    <w:rsid w:val="006C6F41"/>
    <w:rsid w:val="006D0750"/>
    <w:rsid w:val="006D7B81"/>
    <w:rsid w:val="006E01C0"/>
    <w:rsid w:val="006E0AAA"/>
    <w:rsid w:val="006E33FD"/>
    <w:rsid w:val="006E3949"/>
    <w:rsid w:val="006E699A"/>
    <w:rsid w:val="006E7536"/>
    <w:rsid w:val="006F1EF5"/>
    <w:rsid w:val="006F5609"/>
    <w:rsid w:val="00702A38"/>
    <w:rsid w:val="00703934"/>
    <w:rsid w:val="00711734"/>
    <w:rsid w:val="007144D1"/>
    <w:rsid w:val="00714DE2"/>
    <w:rsid w:val="0072680B"/>
    <w:rsid w:val="0072747F"/>
    <w:rsid w:val="00727964"/>
    <w:rsid w:val="007444C1"/>
    <w:rsid w:val="007523BB"/>
    <w:rsid w:val="007525E8"/>
    <w:rsid w:val="00754E64"/>
    <w:rsid w:val="007562A6"/>
    <w:rsid w:val="00762192"/>
    <w:rsid w:val="007728B5"/>
    <w:rsid w:val="0077362F"/>
    <w:rsid w:val="00776C3B"/>
    <w:rsid w:val="00786720"/>
    <w:rsid w:val="00786FC3"/>
    <w:rsid w:val="0078754B"/>
    <w:rsid w:val="007914A8"/>
    <w:rsid w:val="00794477"/>
    <w:rsid w:val="007945C4"/>
    <w:rsid w:val="007948D0"/>
    <w:rsid w:val="007A0D36"/>
    <w:rsid w:val="007A1F61"/>
    <w:rsid w:val="007A27A1"/>
    <w:rsid w:val="007A2E7B"/>
    <w:rsid w:val="007C0E8E"/>
    <w:rsid w:val="007C5202"/>
    <w:rsid w:val="007C78B3"/>
    <w:rsid w:val="007D270A"/>
    <w:rsid w:val="007D4141"/>
    <w:rsid w:val="007D550D"/>
    <w:rsid w:val="007D7977"/>
    <w:rsid w:val="007E03C9"/>
    <w:rsid w:val="007E120F"/>
    <w:rsid w:val="007E1B4C"/>
    <w:rsid w:val="007E536A"/>
    <w:rsid w:val="007E6E38"/>
    <w:rsid w:val="007F0C9B"/>
    <w:rsid w:val="007F3E7C"/>
    <w:rsid w:val="007F5AC8"/>
    <w:rsid w:val="007F61C7"/>
    <w:rsid w:val="007F75AE"/>
    <w:rsid w:val="008010A1"/>
    <w:rsid w:val="0080181F"/>
    <w:rsid w:val="0080567F"/>
    <w:rsid w:val="00805A29"/>
    <w:rsid w:val="00811345"/>
    <w:rsid w:val="008139B6"/>
    <w:rsid w:val="00826E53"/>
    <w:rsid w:val="00827775"/>
    <w:rsid w:val="00833ADA"/>
    <w:rsid w:val="00842C18"/>
    <w:rsid w:val="0084303F"/>
    <w:rsid w:val="00850FE4"/>
    <w:rsid w:val="008523CD"/>
    <w:rsid w:val="00855DF2"/>
    <w:rsid w:val="00856260"/>
    <w:rsid w:val="008658D6"/>
    <w:rsid w:val="00872400"/>
    <w:rsid w:val="00872CF1"/>
    <w:rsid w:val="00873F25"/>
    <w:rsid w:val="00876563"/>
    <w:rsid w:val="00876FC7"/>
    <w:rsid w:val="0088274B"/>
    <w:rsid w:val="0089395D"/>
    <w:rsid w:val="008957D4"/>
    <w:rsid w:val="00895BB4"/>
    <w:rsid w:val="008A0036"/>
    <w:rsid w:val="008A44B5"/>
    <w:rsid w:val="008A480E"/>
    <w:rsid w:val="008A5CA9"/>
    <w:rsid w:val="008A7420"/>
    <w:rsid w:val="008B1A5C"/>
    <w:rsid w:val="008B50AF"/>
    <w:rsid w:val="008B54B0"/>
    <w:rsid w:val="008B77BF"/>
    <w:rsid w:val="008D1CA7"/>
    <w:rsid w:val="008D2760"/>
    <w:rsid w:val="008D2CB6"/>
    <w:rsid w:val="008D7287"/>
    <w:rsid w:val="008F21CC"/>
    <w:rsid w:val="008F716D"/>
    <w:rsid w:val="00904238"/>
    <w:rsid w:val="00904E51"/>
    <w:rsid w:val="00910F5E"/>
    <w:rsid w:val="00912C8C"/>
    <w:rsid w:val="0091405F"/>
    <w:rsid w:val="00916039"/>
    <w:rsid w:val="00916243"/>
    <w:rsid w:val="00921C85"/>
    <w:rsid w:val="009261C2"/>
    <w:rsid w:val="00926EDB"/>
    <w:rsid w:val="00933BC0"/>
    <w:rsid w:val="00934398"/>
    <w:rsid w:val="00934965"/>
    <w:rsid w:val="00947E78"/>
    <w:rsid w:val="009505EE"/>
    <w:rsid w:val="00951CE5"/>
    <w:rsid w:val="009544CD"/>
    <w:rsid w:val="00954A9E"/>
    <w:rsid w:val="00954CFA"/>
    <w:rsid w:val="00960449"/>
    <w:rsid w:val="00972AD2"/>
    <w:rsid w:val="009761EE"/>
    <w:rsid w:val="00977C13"/>
    <w:rsid w:val="00981FE5"/>
    <w:rsid w:val="0099180E"/>
    <w:rsid w:val="00991DD7"/>
    <w:rsid w:val="00994014"/>
    <w:rsid w:val="00996BBF"/>
    <w:rsid w:val="009A1DDA"/>
    <w:rsid w:val="009B25DE"/>
    <w:rsid w:val="009B316B"/>
    <w:rsid w:val="009B3E03"/>
    <w:rsid w:val="009B5100"/>
    <w:rsid w:val="009B5613"/>
    <w:rsid w:val="009B6A38"/>
    <w:rsid w:val="009C0C5D"/>
    <w:rsid w:val="009C31CD"/>
    <w:rsid w:val="009C604D"/>
    <w:rsid w:val="009D384E"/>
    <w:rsid w:val="009D3DF1"/>
    <w:rsid w:val="009D4435"/>
    <w:rsid w:val="009E0DB1"/>
    <w:rsid w:val="009E0E13"/>
    <w:rsid w:val="009E3969"/>
    <w:rsid w:val="009E3C90"/>
    <w:rsid w:val="009E552B"/>
    <w:rsid w:val="009E71DE"/>
    <w:rsid w:val="00A0383D"/>
    <w:rsid w:val="00A1722B"/>
    <w:rsid w:val="00A17727"/>
    <w:rsid w:val="00A223FC"/>
    <w:rsid w:val="00A23561"/>
    <w:rsid w:val="00A2369C"/>
    <w:rsid w:val="00A30434"/>
    <w:rsid w:val="00A33B91"/>
    <w:rsid w:val="00A3636A"/>
    <w:rsid w:val="00A36C4C"/>
    <w:rsid w:val="00A44ACF"/>
    <w:rsid w:val="00A5130C"/>
    <w:rsid w:val="00A524F1"/>
    <w:rsid w:val="00A5558A"/>
    <w:rsid w:val="00A6468A"/>
    <w:rsid w:val="00A71564"/>
    <w:rsid w:val="00A724CE"/>
    <w:rsid w:val="00A7361D"/>
    <w:rsid w:val="00A764D5"/>
    <w:rsid w:val="00A83C23"/>
    <w:rsid w:val="00A85A78"/>
    <w:rsid w:val="00A85D45"/>
    <w:rsid w:val="00A909F9"/>
    <w:rsid w:val="00A91B53"/>
    <w:rsid w:val="00A93B2F"/>
    <w:rsid w:val="00A97BC6"/>
    <w:rsid w:val="00AA0527"/>
    <w:rsid w:val="00AA0799"/>
    <w:rsid w:val="00AA5E6A"/>
    <w:rsid w:val="00AB28D6"/>
    <w:rsid w:val="00AB2976"/>
    <w:rsid w:val="00AB5578"/>
    <w:rsid w:val="00AC3C96"/>
    <w:rsid w:val="00AC6242"/>
    <w:rsid w:val="00AC7115"/>
    <w:rsid w:val="00AD0FCC"/>
    <w:rsid w:val="00AD4698"/>
    <w:rsid w:val="00AD48A5"/>
    <w:rsid w:val="00AD7B0C"/>
    <w:rsid w:val="00AE1D3C"/>
    <w:rsid w:val="00AF1E28"/>
    <w:rsid w:val="00AF4BF5"/>
    <w:rsid w:val="00AF7DF7"/>
    <w:rsid w:val="00B004EB"/>
    <w:rsid w:val="00B012EF"/>
    <w:rsid w:val="00B05C60"/>
    <w:rsid w:val="00B07BEC"/>
    <w:rsid w:val="00B114A2"/>
    <w:rsid w:val="00B146B0"/>
    <w:rsid w:val="00B1549C"/>
    <w:rsid w:val="00B1661A"/>
    <w:rsid w:val="00B16F8A"/>
    <w:rsid w:val="00B24E0A"/>
    <w:rsid w:val="00B27E0C"/>
    <w:rsid w:val="00B2D9E2"/>
    <w:rsid w:val="00B367B9"/>
    <w:rsid w:val="00B44819"/>
    <w:rsid w:val="00B44AC7"/>
    <w:rsid w:val="00B45D1E"/>
    <w:rsid w:val="00B464AA"/>
    <w:rsid w:val="00B47BDB"/>
    <w:rsid w:val="00B54565"/>
    <w:rsid w:val="00B60C12"/>
    <w:rsid w:val="00B67035"/>
    <w:rsid w:val="00B6755B"/>
    <w:rsid w:val="00B73EF7"/>
    <w:rsid w:val="00B81870"/>
    <w:rsid w:val="00B874D1"/>
    <w:rsid w:val="00B87897"/>
    <w:rsid w:val="00B87F12"/>
    <w:rsid w:val="00BA49FE"/>
    <w:rsid w:val="00BA5EC4"/>
    <w:rsid w:val="00BA6B71"/>
    <w:rsid w:val="00BB4B09"/>
    <w:rsid w:val="00BB5636"/>
    <w:rsid w:val="00BB73C6"/>
    <w:rsid w:val="00BC6640"/>
    <w:rsid w:val="00BC7408"/>
    <w:rsid w:val="00BC777E"/>
    <w:rsid w:val="00BC78E6"/>
    <w:rsid w:val="00BD02BD"/>
    <w:rsid w:val="00BD127A"/>
    <w:rsid w:val="00BD7783"/>
    <w:rsid w:val="00BE5172"/>
    <w:rsid w:val="00BE6489"/>
    <w:rsid w:val="00BF4349"/>
    <w:rsid w:val="00BF5AE2"/>
    <w:rsid w:val="00C021BE"/>
    <w:rsid w:val="00C07B58"/>
    <w:rsid w:val="00C10D31"/>
    <w:rsid w:val="00C12B44"/>
    <w:rsid w:val="00C23F4C"/>
    <w:rsid w:val="00C24A60"/>
    <w:rsid w:val="00C35686"/>
    <w:rsid w:val="00C37F64"/>
    <w:rsid w:val="00C461A4"/>
    <w:rsid w:val="00C52AA6"/>
    <w:rsid w:val="00C65AA9"/>
    <w:rsid w:val="00C73FEF"/>
    <w:rsid w:val="00C75952"/>
    <w:rsid w:val="00C84F7A"/>
    <w:rsid w:val="00CA0E06"/>
    <w:rsid w:val="00CA452B"/>
    <w:rsid w:val="00CA5279"/>
    <w:rsid w:val="00CA53C1"/>
    <w:rsid w:val="00CB1D1A"/>
    <w:rsid w:val="00CB596C"/>
    <w:rsid w:val="00CB758B"/>
    <w:rsid w:val="00CC04DE"/>
    <w:rsid w:val="00CC2912"/>
    <w:rsid w:val="00CC43F4"/>
    <w:rsid w:val="00CC50D4"/>
    <w:rsid w:val="00CC5FA7"/>
    <w:rsid w:val="00CC7962"/>
    <w:rsid w:val="00CD138E"/>
    <w:rsid w:val="00CD14E9"/>
    <w:rsid w:val="00CD4D80"/>
    <w:rsid w:val="00CD7BD7"/>
    <w:rsid w:val="00CF2C93"/>
    <w:rsid w:val="00CF64D6"/>
    <w:rsid w:val="00D11B00"/>
    <w:rsid w:val="00D131EB"/>
    <w:rsid w:val="00D158EB"/>
    <w:rsid w:val="00D1691B"/>
    <w:rsid w:val="00D17573"/>
    <w:rsid w:val="00D17AC6"/>
    <w:rsid w:val="00D20E20"/>
    <w:rsid w:val="00D26B03"/>
    <w:rsid w:val="00D3502D"/>
    <w:rsid w:val="00D357BD"/>
    <w:rsid w:val="00D3783D"/>
    <w:rsid w:val="00D437C8"/>
    <w:rsid w:val="00D547AB"/>
    <w:rsid w:val="00D5559D"/>
    <w:rsid w:val="00D6313D"/>
    <w:rsid w:val="00D64D7C"/>
    <w:rsid w:val="00D82C16"/>
    <w:rsid w:val="00D95DBF"/>
    <w:rsid w:val="00DA552A"/>
    <w:rsid w:val="00DB0EAF"/>
    <w:rsid w:val="00DB34D4"/>
    <w:rsid w:val="00DB3D62"/>
    <w:rsid w:val="00DB775F"/>
    <w:rsid w:val="00DBF6FA"/>
    <w:rsid w:val="00DC54A5"/>
    <w:rsid w:val="00DC6752"/>
    <w:rsid w:val="00DD3D04"/>
    <w:rsid w:val="00DD6240"/>
    <w:rsid w:val="00DE1148"/>
    <w:rsid w:val="00DE437B"/>
    <w:rsid w:val="00DF0FC2"/>
    <w:rsid w:val="00DF17D5"/>
    <w:rsid w:val="00DF4320"/>
    <w:rsid w:val="00DF434C"/>
    <w:rsid w:val="00DF5EC3"/>
    <w:rsid w:val="00E0324B"/>
    <w:rsid w:val="00E04AA0"/>
    <w:rsid w:val="00E13B53"/>
    <w:rsid w:val="00E20551"/>
    <w:rsid w:val="00E370F4"/>
    <w:rsid w:val="00E4191E"/>
    <w:rsid w:val="00E419D6"/>
    <w:rsid w:val="00E60CFC"/>
    <w:rsid w:val="00E62257"/>
    <w:rsid w:val="00E64ADB"/>
    <w:rsid w:val="00E7468C"/>
    <w:rsid w:val="00E75C75"/>
    <w:rsid w:val="00E76A03"/>
    <w:rsid w:val="00E80A68"/>
    <w:rsid w:val="00E81982"/>
    <w:rsid w:val="00E92BBD"/>
    <w:rsid w:val="00E94559"/>
    <w:rsid w:val="00EA11D0"/>
    <w:rsid w:val="00EA1BB2"/>
    <w:rsid w:val="00EB4082"/>
    <w:rsid w:val="00EB63D2"/>
    <w:rsid w:val="00EB7B6B"/>
    <w:rsid w:val="00EC07BE"/>
    <w:rsid w:val="00EC108C"/>
    <w:rsid w:val="00EC3EA1"/>
    <w:rsid w:val="00EC7CF5"/>
    <w:rsid w:val="00EE0B6B"/>
    <w:rsid w:val="00EE1852"/>
    <w:rsid w:val="00EE41B5"/>
    <w:rsid w:val="00EE6CA9"/>
    <w:rsid w:val="00F01023"/>
    <w:rsid w:val="00F01EEF"/>
    <w:rsid w:val="00F05165"/>
    <w:rsid w:val="00F10412"/>
    <w:rsid w:val="00F11940"/>
    <w:rsid w:val="00F11B82"/>
    <w:rsid w:val="00F208B2"/>
    <w:rsid w:val="00F20B87"/>
    <w:rsid w:val="00F220CB"/>
    <w:rsid w:val="00F270D3"/>
    <w:rsid w:val="00F35716"/>
    <w:rsid w:val="00F35DF3"/>
    <w:rsid w:val="00F37434"/>
    <w:rsid w:val="00F40FEE"/>
    <w:rsid w:val="00F41CA4"/>
    <w:rsid w:val="00F42C09"/>
    <w:rsid w:val="00F511BD"/>
    <w:rsid w:val="00F5268E"/>
    <w:rsid w:val="00F54F88"/>
    <w:rsid w:val="00F618B0"/>
    <w:rsid w:val="00F66E2C"/>
    <w:rsid w:val="00F735D3"/>
    <w:rsid w:val="00F73CBE"/>
    <w:rsid w:val="00F769B0"/>
    <w:rsid w:val="00F8334A"/>
    <w:rsid w:val="00F83A19"/>
    <w:rsid w:val="00F93B1E"/>
    <w:rsid w:val="00FA311E"/>
    <w:rsid w:val="00FA3BB7"/>
    <w:rsid w:val="00FA73AF"/>
    <w:rsid w:val="00FB1086"/>
    <w:rsid w:val="00FB204B"/>
    <w:rsid w:val="00FB46F6"/>
    <w:rsid w:val="00FB6327"/>
    <w:rsid w:val="00FC0A5E"/>
    <w:rsid w:val="00FC367C"/>
    <w:rsid w:val="00FC3C68"/>
    <w:rsid w:val="00FC7CCB"/>
    <w:rsid w:val="00FD2CE1"/>
    <w:rsid w:val="00FD6864"/>
    <w:rsid w:val="00FD7F34"/>
    <w:rsid w:val="00FE05A5"/>
    <w:rsid w:val="00FF0B65"/>
    <w:rsid w:val="00FF47D3"/>
    <w:rsid w:val="00FF6228"/>
    <w:rsid w:val="0100B62A"/>
    <w:rsid w:val="01118D28"/>
    <w:rsid w:val="01184382"/>
    <w:rsid w:val="013C5C77"/>
    <w:rsid w:val="01713498"/>
    <w:rsid w:val="01787476"/>
    <w:rsid w:val="017B79A7"/>
    <w:rsid w:val="017BB6F7"/>
    <w:rsid w:val="019082FE"/>
    <w:rsid w:val="0193CC28"/>
    <w:rsid w:val="0194DF54"/>
    <w:rsid w:val="019C25F2"/>
    <w:rsid w:val="01A23EDF"/>
    <w:rsid w:val="01A6DB12"/>
    <w:rsid w:val="01ACF485"/>
    <w:rsid w:val="01B16353"/>
    <w:rsid w:val="01B2615A"/>
    <w:rsid w:val="01B71A87"/>
    <w:rsid w:val="01BDCD13"/>
    <w:rsid w:val="01CED5E3"/>
    <w:rsid w:val="02092530"/>
    <w:rsid w:val="020A9844"/>
    <w:rsid w:val="0247691C"/>
    <w:rsid w:val="024BD54C"/>
    <w:rsid w:val="024FBD25"/>
    <w:rsid w:val="02526A5C"/>
    <w:rsid w:val="02644AEE"/>
    <w:rsid w:val="026B2D08"/>
    <w:rsid w:val="026EE455"/>
    <w:rsid w:val="02844DCD"/>
    <w:rsid w:val="02897FAC"/>
    <w:rsid w:val="02A9453E"/>
    <w:rsid w:val="02B3AB62"/>
    <w:rsid w:val="02BDD269"/>
    <w:rsid w:val="02C6CAB4"/>
    <w:rsid w:val="02E25C05"/>
    <w:rsid w:val="032F6073"/>
    <w:rsid w:val="033153F6"/>
    <w:rsid w:val="03329F16"/>
    <w:rsid w:val="0332BF54"/>
    <w:rsid w:val="03370910"/>
    <w:rsid w:val="03431344"/>
    <w:rsid w:val="034E7A91"/>
    <w:rsid w:val="035E55DB"/>
    <w:rsid w:val="0369D4B7"/>
    <w:rsid w:val="037A5BFA"/>
    <w:rsid w:val="037C9333"/>
    <w:rsid w:val="03877516"/>
    <w:rsid w:val="03B81383"/>
    <w:rsid w:val="03BA491D"/>
    <w:rsid w:val="03BC2D06"/>
    <w:rsid w:val="03BE9040"/>
    <w:rsid w:val="03C05B32"/>
    <w:rsid w:val="03C1663B"/>
    <w:rsid w:val="03DC1AEC"/>
    <w:rsid w:val="03F3203E"/>
    <w:rsid w:val="03F3CC41"/>
    <w:rsid w:val="03FB7980"/>
    <w:rsid w:val="04040106"/>
    <w:rsid w:val="0421FD7D"/>
    <w:rsid w:val="042C0FBC"/>
    <w:rsid w:val="042C1C5B"/>
    <w:rsid w:val="043E616C"/>
    <w:rsid w:val="0442285E"/>
    <w:rsid w:val="0457B2A5"/>
    <w:rsid w:val="045A2226"/>
    <w:rsid w:val="04758515"/>
    <w:rsid w:val="047B9057"/>
    <w:rsid w:val="047C0264"/>
    <w:rsid w:val="047E9788"/>
    <w:rsid w:val="04AAA991"/>
    <w:rsid w:val="04B3A866"/>
    <w:rsid w:val="04CD2457"/>
    <w:rsid w:val="04F45661"/>
    <w:rsid w:val="058744A7"/>
    <w:rsid w:val="05B773B0"/>
    <w:rsid w:val="05BA705C"/>
    <w:rsid w:val="05BF9C21"/>
    <w:rsid w:val="05D70DA2"/>
    <w:rsid w:val="05D75CF6"/>
    <w:rsid w:val="05F49AEC"/>
    <w:rsid w:val="05F5732B"/>
    <w:rsid w:val="05F57B1C"/>
    <w:rsid w:val="05F60EBB"/>
    <w:rsid w:val="06027B8E"/>
    <w:rsid w:val="060FE237"/>
    <w:rsid w:val="0619DEFF"/>
    <w:rsid w:val="0650EDD8"/>
    <w:rsid w:val="06723354"/>
    <w:rsid w:val="06743B13"/>
    <w:rsid w:val="067FEFA0"/>
    <w:rsid w:val="06813E6D"/>
    <w:rsid w:val="06B0CF5E"/>
    <w:rsid w:val="06B68F6B"/>
    <w:rsid w:val="06F7FBF4"/>
    <w:rsid w:val="06F9E8D4"/>
    <w:rsid w:val="0730609C"/>
    <w:rsid w:val="077F232E"/>
    <w:rsid w:val="0787B912"/>
    <w:rsid w:val="078C9147"/>
    <w:rsid w:val="07A6C3AD"/>
    <w:rsid w:val="07B4F7F8"/>
    <w:rsid w:val="07B5A065"/>
    <w:rsid w:val="07CD20EC"/>
    <w:rsid w:val="07DAD684"/>
    <w:rsid w:val="07F49E12"/>
    <w:rsid w:val="07FCD793"/>
    <w:rsid w:val="08166453"/>
    <w:rsid w:val="0827639E"/>
    <w:rsid w:val="0848BD32"/>
    <w:rsid w:val="084F8D09"/>
    <w:rsid w:val="0855D542"/>
    <w:rsid w:val="085A7FD1"/>
    <w:rsid w:val="08707633"/>
    <w:rsid w:val="087E0C74"/>
    <w:rsid w:val="0895C357"/>
    <w:rsid w:val="08A60741"/>
    <w:rsid w:val="08B12860"/>
    <w:rsid w:val="08BF3B4C"/>
    <w:rsid w:val="08D123A3"/>
    <w:rsid w:val="08E377C2"/>
    <w:rsid w:val="08FE6211"/>
    <w:rsid w:val="091AF38F"/>
    <w:rsid w:val="0938E487"/>
    <w:rsid w:val="094818D4"/>
    <w:rsid w:val="096F73B0"/>
    <w:rsid w:val="097C475B"/>
    <w:rsid w:val="098D1FDE"/>
    <w:rsid w:val="098E0F7A"/>
    <w:rsid w:val="099B1A11"/>
    <w:rsid w:val="099EDE0D"/>
    <w:rsid w:val="09C1C26C"/>
    <w:rsid w:val="09CED030"/>
    <w:rsid w:val="0A167459"/>
    <w:rsid w:val="0A1C5376"/>
    <w:rsid w:val="0A2F5AF8"/>
    <w:rsid w:val="0A362CF7"/>
    <w:rsid w:val="0A4AA488"/>
    <w:rsid w:val="0A5794D4"/>
    <w:rsid w:val="0A5AF8C5"/>
    <w:rsid w:val="0A7DF8FA"/>
    <w:rsid w:val="0A816629"/>
    <w:rsid w:val="0ACFD14B"/>
    <w:rsid w:val="0AEC5123"/>
    <w:rsid w:val="0B023F84"/>
    <w:rsid w:val="0B06C68B"/>
    <w:rsid w:val="0B22993D"/>
    <w:rsid w:val="0B292FFF"/>
    <w:rsid w:val="0B343C54"/>
    <w:rsid w:val="0B3E02D1"/>
    <w:rsid w:val="0B468514"/>
    <w:rsid w:val="0B47AC36"/>
    <w:rsid w:val="0B48BCEB"/>
    <w:rsid w:val="0B58FC60"/>
    <w:rsid w:val="0B67C433"/>
    <w:rsid w:val="0B85E7A5"/>
    <w:rsid w:val="0B95FC38"/>
    <w:rsid w:val="0BA4D79D"/>
    <w:rsid w:val="0BAA23F3"/>
    <w:rsid w:val="0BB079C8"/>
    <w:rsid w:val="0BB54DBE"/>
    <w:rsid w:val="0BC20509"/>
    <w:rsid w:val="0BE47349"/>
    <w:rsid w:val="0BE83B51"/>
    <w:rsid w:val="0C1FD508"/>
    <w:rsid w:val="0C2CFAAF"/>
    <w:rsid w:val="0C355F4F"/>
    <w:rsid w:val="0C3C5C8A"/>
    <w:rsid w:val="0C40D6C5"/>
    <w:rsid w:val="0C83D129"/>
    <w:rsid w:val="0C8ED5BF"/>
    <w:rsid w:val="0C99988A"/>
    <w:rsid w:val="0C99D267"/>
    <w:rsid w:val="0CA47BE5"/>
    <w:rsid w:val="0CA91ADD"/>
    <w:rsid w:val="0CB4690C"/>
    <w:rsid w:val="0CCAB662"/>
    <w:rsid w:val="0CCEB278"/>
    <w:rsid w:val="0CE81FE3"/>
    <w:rsid w:val="0CEB7257"/>
    <w:rsid w:val="0CF252CB"/>
    <w:rsid w:val="0CF9666A"/>
    <w:rsid w:val="0CF96732"/>
    <w:rsid w:val="0D19D0FB"/>
    <w:rsid w:val="0D24D5BD"/>
    <w:rsid w:val="0D2AF8DD"/>
    <w:rsid w:val="0D2DF028"/>
    <w:rsid w:val="0D3E3F75"/>
    <w:rsid w:val="0D6CCFC1"/>
    <w:rsid w:val="0D6CF15E"/>
    <w:rsid w:val="0D6DCDB9"/>
    <w:rsid w:val="0D819FB2"/>
    <w:rsid w:val="0D81D510"/>
    <w:rsid w:val="0D840BB2"/>
    <w:rsid w:val="0D8B6C69"/>
    <w:rsid w:val="0DA97E69"/>
    <w:rsid w:val="0DB7D018"/>
    <w:rsid w:val="0DC0B1AA"/>
    <w:rsid w:val="0DE82F5A"/>
    <w:rsid w:val="0DEA77AE"/>
    <w:rsid w:val="0DF37B05"/>
    <w:rsid w:val="0E16638B"/>
    <w:rsid w:val="0E27C09A"/>
    <w:rsid w:val="0E381F96"/>
    <w:rsid w:val="0E3ECBF4"/>
    <w:rsid w:val="0E3ECDF2"/>
    <w:rsid w:val="0E3F1FFA"/>
    <w:rsid w:val="0E5A563B"/>
    <w:rsid w:val="0E7A3CB6"/>
    <w:rsid w:val="0EAA3C43"/>
    <w:rsid w:val="0EC4315A"/>
    <w:rsid w:val="0EC6C194"/>
    <w:rsid w:val="0ECADA73"/>
    <w:rsid w:val="0EE7A838"/>
    <w:rsid w:val="0EF0CF46"/>
    <w:rsid w:val="0EFE97F8"/>
    <w:rsid w:val="0F1F0C39"/>
    <w:rsid w:val="0F43417B"/>
    <w:rsid w:val="0F4DAED7"/>
    <w:rsid w:val="0FA3512D"/>
    <w:rsid w:val="0FB72C26"/>
    <w:rsid w:val="0FDA5348"/>
    <w:rsid w:val="0FDE8FB8"/>
    <w:rsid w:val="0FE0F886"/>
    <w:rsid w:val="0FF0BB6C"/>
    <w:rsid w:val="0FF50ADE"/>
    <w:rsid w:val="10051E21"/>
    <w:rsid w:val="1011D89E"/>
    <w:rsid w:val="105BE604"/>
    <w:rsid w:val="106A2603"/>
    <w:rsid w:val="10714523"/>
    <w:rsid w:val="107995E8"/>
    <w:rsid w:val="1081F594"/>
    <w:rsid w:val="1087DCCF"/>
    <w:rsid w:val="10ADD520"/>
    <w:rsid w:val="10AF6B63"/>
    <w:rsid w:val="10B01387"/>
    <w:rsid w:val="10B67D56"/>
    <w:rsid w:val="10CA0537"/>
    <w:rsid w:val="10D80F32"/>
    <w:rsid w:val="10DC1D18"/>
    <w:rsid w:val="10E3FABF"/>
    <w:rsid w:val="10F3B030"/>
    <w:rsid w:val="11078ED0"/>
    <w:rsid w:val="1118124F"/>
    <w:rsid w:val="1119E0F0"/>
    <w:rsid w:val="111F79AF"/>
    <w:rsid w:val="112AD01B"/>
    <w:rsid w:val="11397DE2"/>
    <w:rsid w:val="1140E01C"/>
    <w:rsid w:val="1141A21A"/>
    <w:rsid w:val="116EE3C6"/>
    <w:rsid w:val="119A18F4"/>
    <w:rsid w:val="11A3692C"/>
    <w:rsid w:val="11F5D8EF"/>
    <w:rsid w:val="11FD4EA4"/>
    <w:rsid w:val="1210EC73"/>
    <w:rsid w:val="121DC5F5"/>
    <w:rsid w:val="12201CB0"/>
    <w:rsid w:val="12273680"/>
    <w:rsid w:val="122787FA"/>
    <w:rsid w:val="12558E33"/>
    <w:rsid w:val="125EDD8C"/>
    <w:rsid w:val="129A8DCF"/>
    <w:rsid w:val="12CF43EE"/>
    <w:rsid w:val="12DFD566"/>
    <w:rsid w:val="12ED9867"/>
    <w:rsid w:val="12F1BB87"/>
    <w:rsid w:val="13137A0A"/>
    <w:rsid w:val="132E6C09"/>
    <w:rsid w:val="1331CE2D"/>
    <w:rsid w:val="1341F7AE"/>
    <w:rsid w:val="1351FFD9"/>
    <w:rsid w:val="136E6C84"/>
    <w:rsid w:val="137B55FE"/>
    <w:rsid w:val="13800BB5"/>
    <w:rsid w:val="13C8FA3C"/>
    <w:rsid w:val="13EE60A7"/>
    <w:rsid w:val="13F31D67"/>
    <w:rsid w:val="1407AEDF"/>
    <w:rsid w:val="140A493A"/>
    <w:rsid w:val="1414E8E0"/>
    <w:rsid w:val="142917C8"/>
    <w:rsid w:val="144682C1"/>
    <w:rsid w:val="144B0323"/>
    <w:rsid w:val="1461CF46"/>
    <w:rsid w:val="14649F3B"/>
    <w:rsid w:val="1497A8BA"/>
    <w:rsid w:val="14B30672"/>
    <w:rsid w:val="14B530A5"/>
    <w:rsid w:val="14B775C0"/>
    <w:rsid w:val="14CE326B"/>
    <w:rsid w:val="14E549C1"/>
    <w:rsid w:val="1509C852"/>
    <w:rsid w:val="150BA7F1"/>
    <w:rsid w:val="150FE963"/>
    <w:rsid w:val="1540D795"/>
    <w:rsid w:val="15567F7C"/>
    <w:rsid w:val="156B61EC"/>
    <w:rsid w:val="1570F192"/>
    <w:rsid w:val="15890111"/>
    <w:rsid w:val="158ACDC6"/>
    <w:rsid w:val="158FE916"/>
    <w:rsid w:val="15997D47"/>
    <w:rsid w:val="15A50242"/>
    <w:rsid w:val="15A99D58"/>
    <w:rsid w:val="15D733C7"/>
    <w:rsid w:val="15EA1CC1"/>
    <w:rsid w:val="161527A9"/>
    <w:rsid w:val="161C8DA9"/>
    <w:rsid w:val="162B8D79"/>
    <w:rsid w:val="16388269"/>
    <w:rsid w:val="16499ADA"/>
    <w:rsid w:val="164BE637"/>
    <w:rsid w:val="166D9445"/>
    <w:rsid w:val="1677FF7B"/>
    <w:rsid w:val="16A3873A"/>
    <w:rsid w:val="16BC20B5"/>
    <w:rsid w:val="16C6EA80"/>
    <w:rsid w:val="16CDB839"/>
    <w:rsid w:val="16DC7400"/>
    <w:rsid w:val="16DCC0C0"/>
    <w:rsid w:val="16EA2468"/>
    <w:rsid w:val="16EF3F5B"/>
    <w:rsid w:val="16F91B8D"/>
    <w:rsid w:val="17145AE8"/>
    <w:rsid w:val="175882C6"/>
    <w:rsid w:val="175AECA0"/>
    <w:rsid w:val="176C0C39"/>
    <w:rsid w:val="17994C67"/>
    <w:rsid w:val="17A4F255"/>
    <w:rsid w:val="17B72D41"/>
    <w:rsid w:val="17B8CF2A"/>
    <w:rsid w:val="17CC3CD0"/>
    <w:rsid w:val="17FCC695"/>
    <w:rsid w:val="180646E8"/>
    <w:rsid w:val="181004CF"/>
    <w:rsid w:val="18307EAB"/>
    <w:rsid w:val="1840136D"/>
    <w:rsid w:val="184085BF"/>
    <w:rsid w:val="1847B669"/>
    <w:rsid w:val="18489C3B"/>
    <w:rsid w:val="184F3B78"/>
    <w:rsid w:val="185856B2"/>
    <w:rsid w:val="1860B282"/>
    <w:rsid w:val="1865533F"/>
    <w:rsid w:val="1865C9F4"/>
    <w:rsid w:val="187A3A88"/>
    <w:rsid w:val="18B1BB7A"/>
    <w:rsid w:val="18B539FD"/>
    <w:rsid w:val="18BF5110"/>
    <w:rsid w:val="18C01D2E"/>
    <w:rsid w:val="18CEF979"/>
    <w:rsid w:val="18FFA8D5"/>
    <w:rsid w:val="1907F5D7"/>
    <w:rsid w:val="1919F7E0"/>
    <w:rsid w:val="1934B7F1"/>
    <w:rsid w:val="193AE194"/>
    <w:rsid w:val="195668B4"/>
    <w:rsid w:val="195D50EE"/>
    <w:rsid w:val="1968BAD4"/>
    <w:rsid w:val="196B2CA3"/>
    <w:rsid w:val="19833A59"/>
    <w:rsid w:val="1996C5A1"/>
    <w:rsid w:val="199718F6"/>
    <w:rsid w:val="199DB312"/>
    <w:rsid w:val="19A2FB36"/>
    <w:rsid w:val="19A82095"/>
    <w:rsid w:val="19B8BAE4"/>
    <w:rsid w:val="19C0E1F1"/>
    <w:rsid w:val="19D17307"/>
    <w:rsid w:val="19E32BC2"/>
    <w:rsid w:val="19FF3C08"/>
    <w:rsid w:val="1A254406"/>
    <w:rsid w:val="1A5F5E74"/>
    <w:rsid w:val="1A69E01E"/>
    <w:rsid w:val="1A8AD9C6"/>
    <w:rsid w:val="1A9789F3"/>
    <w:rsid w:val="1A9F222F"/>
    <w:rsid w:val="1AA589A8"/>
    <w:rsid w:val="1AD61C5B"/>
    <w:rsid w:val="1ADD3718"/>
    <w:rsid w:val="1AFECF4A"/>
    <w:rsid w:val="1B468EA4"/>
    <w:rsid w:val="1B67AA7D"/>
    <w:rsid w:val="1B680023"/>
    <w:rsid w:val="1B6D4368"/>
    <w:rsid w:val="1B748C2D"/>
    <w:rsid w:val="1B7F2AE7"/>
    <w:rsid w:val="1B921CFB"/>
    <w:rsid w:val="1BBBEE80"/>
    <w:rsid w:val="1BC5EE0E"/>
    <w:rsid w:val="1BD11703"/>
    <w:rsid w:val="1BDE71D2"/>
    <w:rsid w:val="1BEAF6B6"/>
    <w:rsid w:val="1BEDD9DB"/>
    <w:rsid w:val="1BF68998"/>
    <w:rsid w:val="1C0E1D63"/>
    <w:rsid w:val="1C1B7CAD"/>
    <w:rsid w:val="1C34B6B8"/>
    <w:rsid w:val="1C54499F"/>
    <w:rsid w:val="1C617450"/>
    <w:rsid w:val="1C6861F8"/>
    <w:rsid w:val="1C71ECBC"/>
    <w:rsid w:val="1C71F2F1"/>
    <w:rsid w:val="1C7A5F18"/>
    <w:rsid w:val="1C82DEF3"/>
    <w:rsid w:val="1C94D734"/>
    <w:rsid w:val="1CAE88FE"/>
    <w:rsid w:val="1CCA01B7"/>
    <w:rsid w:val="1CD30DDB"/>
    <w:rsid w:val="1CDB67C2"/>
    <w:rsid w:val="1CE375F2"/>
    <w:rsid w:val="1CE65DCB"/>
    <w:rsid w:val="1D041021"/>
    <w:rsid w:val="1D1FE821"/>
    <w:rsid w:val="1D350F9B"/>
    <w:rsid w:val="1D3E046A"/>
    <w:rsid w:val="1D5E83F2"/>
    <w:rsid w:val="1D64B88F"/>
    <w:rsid w:val="1D70F984"/>
    <w:rsid w:val="1D75882A"/>
    <w:rsid w:val="1D7AF738"/>
    <w:rsid w:val="1D872E3D"/>
    <w:rsid w:val="1DC123BC"/>
    <w:rsid w:val="1DC6FA2D"/>
    <w:rsid w:val="1DDAB3EA"/>
    <w:rsid w:val="1DE6D7AC"/>
    <w:rsid w:val="1E02BA5C"/>
    <w:rsid w:val="1E0CDFBC"/>
    <w:rsid w:val="1E24DF6E"/>
    <w:rsid w:val="1E2AFDEF"/>
    <w:rsid w:val="1E3C2BF7"/>
    <w:rsid w:val="1E48E8DB"/>
    <w:rsid w:val="1E52F6E1"/>
    <w:rsid w:val="1E5F4263"/>
    <w:rsid w:val="1E955326"/>
    <w:rsid w:val="1EB68C54"/>
    <w:rsid w:val="1EDF2312"/>
    <w:rsid w:val="1EEDB34F"/>
    <w:rsid w:val="1F07D4A1"/>
    <w:rsid w:val="1F0B7A92"/>
    <w:rsid w:val="1F0C1257"/>
    <w:rsid w:val="1F0E6066"/>
    <w:rsid w:val="1F1A31B8"/>
    <w:rsid w:val="1F1BD30E"/>
    <w:rsid w:val="1F1EFA16"/>
    <w:rsid w:val="1F3BB6C1"/>
    <w:rsid w:val="1F45773F"/>
    <w:rsid w:val="1F5FC466"/>
    <w:rsid w:val="1F7783E5"/>
    <w:rsid w:val="1F80AD96"/>
    <w:rsid w:val="1F86D3EE"/>
    <w:rsid w:val="1F8933B5"/>
    <w:rsid w:val="1F927F1D"/>
    <w:rsid w:val="1FA53141"/>
    <w:rsid w:val="1FB84F28"/>
    <w:rsid w:val="1FBA8471"/>
    <w:rsid w:val="1FBAE61D"/>
    <w:rsid w:val="1FC857B6"/>
    <w:rsid w:val="1FE99E74"/>
    <w:rsid w:val="20018335"/>
    <w:rsid w:val="2002172F"/>
    <w:rsid w:val="20100D93"/>
    <w:rsid w:val="2012D980"/>
    <w:rsid w:val="2026B115"/>
    <w:rsid w:val="2041569B"/>
    <w:rsid w:val="2075E02E"/>
    <w:rsid w:val="20798419"/>
    <w:rsid w:val="20864210"/>
    <w:rsid w:val="209EA308"/>
    <w:rsid w:val="20A3C130"/>
    <w:rsid w:val="20A49566"/>
    <w:rsid w:val="20A7EF0F"/>
    <w:rsid w:val="20B74E66"/>
    <w:rsid w:val="20D048E8"/>
    <w:rsid w:val="20E6CD79"/>
    <w:rsid w:val="210899EB"/>
    <w:rsid w:val="211FAF81"/>
    <w:rsid w:val="212DB973"/>
    <w:rsid w:val="21426EC2"/>
    <w:rsid w:val="214C0EE3"/>
    <w:rsid w:val="215343B6"/>
    <w:rsid w:val="216ACDE4"/>
    <w:rsid w:val="2177BADB"/>
    <w:rsid w:val="217A010D"/>
    <w:rsid w:val="2185C951"/>
    <w:rsid w:val="21921482"/>
    <w:rsid w:val="21B729FD"/>
    <w:rsid w:val="21D4FF0A"/>
    <w:rsid w:val="21DE01BA"/>
    <w:rsid w:val="2206481A"/>
    <w:rsid w:val="223342DA"/>
    <w:rsid w:val="224A2760"/>
    <w:rsid w:val="22518D1A"/>
    <w:rsid w:val="22820248"/>
    <w:rsid w:val="22948F20"/>
    <w:rsid w:val="2299EC93"/>
    <w:rsid w:val="229C8265"/>
    <w:rsid w:val="22A38B2B"/>
    <w:rsid w:val="22A99E79"/>
    <w:rsid w:val="22C0D477"/>
    <w:rsid w:val="22C121C3"/>
    <w:rsid w:val="22D33C91"/>
    <w:rsid w:val="22E3DC5B"/>
    <w:rsid w:val="22F67FC7"/>
    <w:rsid w:val="2300C7D4"/>
    <w:rsid w:val="230C61F2"/>
    <w:rsid w:val="230D4E98"/>
    <w:rsid w:val="23252F45"/>
    <w:rsid w:val="232DE4E3"/>
    <w:rsid w:val="232F94B8"/>
    <w:rsid w:val="23478430"/>
    <w:rsid w:val="236F85B8"/>
    <w:rsid w:val="23803EF1"/>
    <w:rsid w:val="238DAEE3"/>
    <w:rsid w:val="239141BE"/>
    <w:rsid w:val="23A5B2BE"/>
    <w:rsid w:val="23DB1719"/>
    <w:rsid w:val="23EC77FF"/>
    <w:rsid w:val="23F3B7DA"/>
    <w:rsid w:val="23F77F24"/>
    <w:rsid w:val="23FBF922"/>
    <w:rsid w:val="24059FAC"/>
    <w:rsid w:val="2419571A"/>
    <w:rsid w:val="241BE689"/>
    <w:rsid w:val="241CCDF1"/>
    <w:rsid w:val="242D3162"/>
    <w:rsid w:val="242E6923"/>
    <w:rsid w:val="2433C589"/>
    <w:rsid w:val="2434E583"/>
    <w:rsid w:val="24390DF6"/>
    <w:rsid w:val="243CBC82"/>
    <w:rsid w:val="24418F04"/>
    <w:rsid w:val="24550F78"/>
    <w:rsid w:val="24637092"/>
    <w:rsid w:val="2467A57C"/>
    <w:rsid w:val="24768907"/>
    <w:rsid w:val="248304B6"/>
    <w:rsid w:val="24993923"/>
    <w:rsid w:val="24A37FF5"/>
    <w:rsid w:val="24B99AE3"/>
    <w:rsid w:val="24BE0E65"/>
    <w:rsid w:val="24C9CC2F"/>
    <w:rsid w:val="24CB4F6A"/>
    <w:rsid w:val="24CE2726"/>
    <w:rsid w:val="24F61AA3"/>
    <w:rsid w:val="251B70BA"/>
    <w:rsid w:val="251DBD07"/>
    <w:rsid w:val="2520BC19"/>
    <w:rsid w:val="25251801"/>
    <w:rsid w:val="25327AC5"/>
    <w:rsid w:val="2549D52C"/>
    <w:rsid w:val="25537AE9"/>
    <w:rsid w:val="2595A4B9"/>
    <w:rsid w:val="259ADC28"/>
    <w:rsid w:val="25B54DA2"/>
    <w:rsid w:val="25BFB25E"/>
    <w:rsid w:val="25C30B14"/>
    <w:rsid w:val="25D7CD60"/>
    <w:rsid w:val="25F952B0"/>
    <w:rsid w:val="260381A4"/>
    <w:rsid w:val="26044772"/>
    <w:rsid w:val="260C3FF5"/>
    <w:rsid w:val="261621B3"/>
    <w:rsid w:val="263574A6"/>
    <w:rsid w:val="2650CF2A"/>
    <w:rsid w:val="2658FD4B"/>
    <w:rsid w:val="265F58C5"/>
    <w:rsid w:val="266A6C16"/>
    <w:rsid w:val="26742BC7"/>
    <w:rsid w:val="267A9495"/>
    <w:rsid w:val="267F39E7"/>
    <w:rsid w:val="26811741"/>
    <w:rsid w:val="26C041E5"/>
    <w:rsid w:val="26E24F2D"/>
    <w:rsid w:val="270213C3"/>
    <w:rsid w:val="2710C51C"/>
    <w:rsid w:val="2767DAA7"/>
    <w:rsid w:val="27745098"/>
    <w:rsid w:val="27B700C1"/>
    <w:rsid w:val="27C96D3F"/>
    <w:rsid w:val="27DDF8F9"/>
    <w:rsid w:val="27F6EA52"/>
    <w:rsid w:val="27F845E0"/>
    <w:rsid w:val="280B6227"/>
    <w:rsid w:val="280BBBCE"/>
    <w:rsid w:val="28159C71"/>
    <w:rsid w:val="2821D376"/>
    <w:rsid w:val="2829A9EF"/>
    <w:rsid w:val="282C33B3"/>
    <w:rsid w:val="283B355A"/>
    <w:rsid w:val="287EFD59"/>
    <w:rsid w:val="2883F9E7"/>
    <w:rsid w:val="2889D78B"/>
    <w:rsid w:val="28B1BF1F"/>
    <w:rsid w:val="28BD1A74"/>
    <w:rsid w:val="28C9CA9B"/>
    <w:rsid w:val="28D0FAF9"/>
    <w:rsid w:val="28F29B8C"/>
    <w:rsid w:val="29143F76"/>
    <w:rsid w:val="2925F7A3"/>
    <w:rsid w:val="293DDCDE"/>
    <w:rsid w:val="2958729B"/>
    <w:rsid w:val="295B7862"/>
    <w:rsid w:val="2963D1CC"/>
    <w:rsid w:val="2968AD67"/>
    <w:rsid w:val="29886FEC"/>
    <w:rsid w:val="29A03AA3"/>
    <w:rsid w:val="29B0E600"/>
    <w:rsid w:val="29BADEA2"/>
    <w:rsid w:val="29BD2625"/>
    <w:rsid w:val="29C14ED1"/>
    <w:rsid w:val="29EF0AD1"/>
    <w:rsid w:val="29F79956"/>
    <w:rsid w:val="2A04F3D0"/>
    <w:rsid w:val="2A05A04F"/>
    <w:rsid w:val="2A2DC461"/>
    <w:rsid w:val="2A46AC9E"/>
    <w:rsid w:val="2A4AA3EE"/>
    <w:rsid w:val="2A4D984B"/>
    <w:rsid w:val="2A4EBBD5"/>
    <w:rsid w:val="2A533384"/>
    <w:rsid w:val="2A6B3985"/>
    <w:rsid w:val="2A8800C1"/>
    <w:rsid w:val="2A8E6BED"/>
    <w:rsid w:val="2AA0AC5E"/>
    <w:rsid w:val="2AABFE06"/>
    <w:rsid w:val="2AB652FB"/>
    <w:rsid w:val="2AB662CF"/>
    <w:rsid w:val="2AC82772"/>
    <w:rsid w:val="2AF892D9"/>
    <w:rsid w:val="2B01C6A9"/>
    <w:rsid w:val="2B0662DF"/>
    <w:rsid w:val="2B19450A"/>
    <w:rsid w:val="2B35050D"/>
    <w:rsid w:val="2B649FF4"/>
    <w:rsid w:val="2B73D62E"/>
    <w:rsid w:val="2B873096"/>
    <w:rsid w:val="2B8A078C"/>
    <w:rsid w:val="2B8CF14D"/>
    <w:rsid w:val="2B8CFE8B"/>
    <w:rsid w:val="2BC49F1F"/>
    <w:rsid w:val="2BE866B4"/>
    <w:rsid w:val="2BEDC448"/>
    <w:rsid w:val="2BF38505"/>
    <w:rsid w:val="2C054BF0"/>
    <w:rsid w:val="2C060A39"/>
    <w:rsid w:val="2C1653E5"/>
    <w:rsid w:val="2C2E324F"/>
    <w:rsid w:val="2C31B99A"/>
    <w:rsid w:val="2C3677C4"/>
    <w:rsid w:val="2C4364AB"/>
    <w:rsid w:val="2C4699A2"/>
    <w:rsid w:val="2C497E1E"/>
    <w:rsid w:val="2C5433F9"/>
    <w:rsid w:val="2C6A0B83"/>
    <w:rsid w:val="2C6CF3AE"/>
    <w:rsid w:val="2C7B0FA5"/>
    <w:rsid w:val="2C8040C8"/>
    <w:rsid w:val="2C867CEF"/>
    <w:rsid w:val="2C8B22AB"/>
    <w:rsid w:val="2CA8ABBE"/>
    <w:rsid w:val="2CB445A5"/>
    <w:rsid w:val="2CDBBC58"/>
    <w:rsid w:val="2CE35E7A"/>
    <w:rsid w:val="2D117DBD"/>
    <w:rsid w:val="2D3A6CD8"/>
    <w:rsid w:val="2D4AAC26"/>
    <w:rsid w:val="2D7BD379"/>
    <w:rsid w:val="2D7C0C7F"/>
    <w:rsid w:val="2D923613"/>
    <w:rsid w:val="2D9FCF4B"/>
    <w:rsid w:val="2DB22446"/>
    <w:rsid w:val="2DDF350C"/>
    <w:rsid w:val="2DFE297D"/>
    <w:rsid w:val="2E19C0CD"/>
    <w:rsid w:val="2E30BFAB"/>
    <w:rsid w:val="2E537037"/>
    <w:rsid w:val="2E574A0C"/>
    <w:rsid w:val="2E59F44B"/>
    <w:rsid w:val="2E60812F"/>
    <w:rsid w:val="2E8C8173"/>
    <w:rsid w:val="2E981632"/>
    <w:rsid w:val="2EB3C5C5"/>
    <w:rsid w:val="2EC96E79"/>
    <w:rsid w:val="2ECB65BA"/>
    <w:rsid w:val="2ED4C9F3"/>
    <w:rsid w:val="2EE57D03"/>
    <w:rsid w:val="2F1CF20A"/>
    <w:rsid w:val="2F204120"/>
    <w:rsid w:val="2F2F2569"/>
    <w:rsid w:val="2F58FC15"/>
    <w:rsid w:val="2F5BF588"/>
    <w:rsid w:val="2F5E7DFE"/>
    <w:rsid w:val="2F6F9991"/>
    <w:rsid w:val="2F7AE8C7"/>
    <w:rsid w:val="2F8B5AFD"/>
    <w:rsid w:val="2F909EE2"/>
    <w:rsid w:val="2FB177A2"/>
    <w:rsid w:val="2FB2AFE9"/>
    <w:rsid w:val="2FB8EFAA"/>
    <w:rsid w:val="2FCF957E"/>
    <w:rsid w:val="2FF6EA3A"/>
    <w:rsid w:val="2FFF2828"/>
    <w:rsid w:val="3005D525"/>
    <w:rsid w:val="300BCB74"/>
    <w:rsid w:val="300CA660"/>
    <w:rsid w:val="300F5FAA"/>
    <w:rsid w:val="301D5475"/>
    <w:rsid w:val="30292C4E"/>
    <w:rsid w:val="302EF95D"/>
    <w:rsid w:val="3054A1CC"/>
    <w:rsid w:val="3079F215"/>
    <w:rsid w:val="3097E8F0"/>
    <w:rsid w:val="30B65A40"/>
    <w:rsid w:val="30CA2D85"/>
    <w:rsid w:val="30DB0C0D"/>
    <w:rsid w:val="30DE60C3"/>
    <w:rsid w:val="30E24CF1"/>
    <w:rsid w:val="31025A76"/>
    <w:rsid w:val="311A6A23"/>
    <w:rsid w:val="311A8130"/>
    <w:rsid w:val="3136179E"/>
    <w:rsid w:val="314A58FE"/>
    <w:rsid w:val="3169110A"/>
    <w:rsid w:val="316E3E3C"/>
    <w:rsid w:val="31775507"/>
    <w:rsid w:val="318C4B18"/>
    <w:rsid w:val="3190FD83"/>
    <w:rsid w:val="31BE8A95"/>
    <w:rsid w:val="31EB0538"/>
    <w:rsid w:val="32005D51"/>
    <w:rsid w:val="3201E6C3"/>
    <w:rsid w:val="321DEB07"/>
    <w:rsid w:val="3220C31A"/>
    <w:rsid w:val="322E356D"/>
    <w:rsid w:val="323F880F"/>
    <w:rsid w:val="3240FE07"/>
    <w:rsid w:val="3241909A"/>
    <w:rsid w:val="3246CF81"/>
    <w:rsid w:val="324AC654"/>
    <w:rsid w:val="324E568A"/>
    <w:rsid w:val="324ECDE7"/>
    <w:rsid w:val="3251F6B2"/>
    <w:rsid w:val="3262C689"/>
    <w:rsid w:val="32852ABA"/>
    <w:rsid w:val="329FD421"/>
    <w:rsid w:val="32B8BFA2"/>
    <w:rsid w:val="32CEE496"/>
    <w:rsid w:val="32D601A6"/>
    <w:rsid w:val="32DEE5C7"/>
    <w:rsid w:val="32E2602A"/>
    <w:rsid w:val="32E2E2F6"/>
    <w:rsid w:val="32E539D2"/>
    <w:rsid w:val="330B7FC2"/>
    <w:rsid w:val="3323B886"/>
    <w:rsid w:val="333CD630"/>
    <w:rsid w:val="33474107"/>
    <w:rsid w:val="33573547"/>
    <w:rsid w:val="338BC631"/>
    <w:rsid w:val="33AEFB77"/>
    <w:rsid w:val="33B4C766"/>
    <w:rsid w:val="33B5E726"/>
    <w:rsid w:val="33BAEA86"/>
    <w:rsid w:val="33C8102D"/>
    <w:rsid w:val="33CA9D98"/>
    <w:rsid w:val="33CB9905"/>
    <w:rsid w:val="33DFAF9E"/>
    <w:rsid w:val="33FAC272"/>
    <w:rsid w:val="34005B7A"/>
    <w:rsid w:val="3433CCAA"/>
    <w:rsid w:val="343C7AD2"/>
    <w:rsid w:val="346DB860"/>
    <w:rsid w:val="3484F9B9"/>
    <w:rsid w:val="34890251"/>
    <w:rsid w:val="348C065E"/>
    <w:rsid w:val="34913A67"/>
    <w:rsid w:val="34A8E1F2"/>
    <w:rsid w:val="34AC0228"/>
    <w:rsid w:val="34AEF290"/>
    <w:rsid w:val="34BEE2A1"/>
    <w:rsid w:val="34C7E145"/>
    <w:rsid w:val="350205D9"/>
    <w:rsid w:val="350BC34E"/>
    <w:rsid w:val="3524EB98"/>
    <w:rsid w:val="3532331C"/>
    <w:rsid w:val="354AF028"/>
    <w:rsid w:val="354FDBEB"/>
    <w:rsid w:val="3556AEA0"/>
    <w:rsid w:val="35797F62"/>
    <w:rsid w:val="3586A17A"/>
    <w:rsid w:val="358A66DE"/>
    <w:rsid w:val="3593C422"/>
    <w:rsid w:val="359A769F"/>
    <w:rsid w:val="359D4147"/>
    <w:rsid w:val="35A94EE7"/>
    <w:rsid w:val="35B55438"/>
    <w:rsid w:val="35C5BF42"/>
    <w:rsid w:val="35D8B714"/>
    <w:rsid w:val="35DA5AD2"/>
    <w:rsid w:val="35DDA080"/>
    <w:rsid w:val="35DEEDB4"/>
    <w:rsid w:val="35F9D18B"/>
    <w:rsid w:val="36052277"/>
    <w:rsid w:val="3608C910"/>
    <w:rsid w:val="3610E571"/>
    <w:rsid w:val="36132BBE"/>
    <w:rsid w:val="36154389"/>
    <w:rsid w:val="3622C866"/>
    <w:rsid w:val="363BE3F2"/>
    <w:rsid w:val="3663AD99"/>
    <w:rsid w:val="36840DE5"/>
    <w:rsid w:val="36895499"/>
    <w:rsid w:val="36AA616A"/>
    <w:rsid w:val="36AD1834"/>
    <w:rsid w:val="36BAD289"/>
    <w:rsid w:val="36C0B239"/>
    <w:rsid w:val="36C8D788"/>
    <w:rsid w:val="36DFC33D"/>
    <w:rsid w:val="36E74622"/>
    <w:rsid w:val="36EDDE10"/>
    <w:rsid w:val="36F5C1DA"/>
    <w:rsid w:val="36FDFCBC"/>
    <w:rsid w:val="3710A81F"/>
    <w:rsid w:val="372911AC"/>
    <w:rsid w:val="3734C114"/>
    <w:rsid w:val="37562E6C"/>
    <w:rsid w:val="377477E7"/>
    <w:rsid w:val="377737A1"/>
    <w:rsid w:val="37878C12"/>
    <w:rsid w:val="378E4AFD"/>
    <w:rsid w:val="37B23744"/>
    <w:rsid w:val="37B537A9"/>
    <w:rsid w:val="37B8AAF5"/>
    <w:rsid w:val="37B8DAFF"/>
    <w:rsid w:val="37BCBC47"/>
    <w:rsid w:val="37E10C79"/>
    <w:rsid w:val="37F195F4"/>
    <w:rsid w:val="3804A6CF"/>
    <w:rsid w:val="3814F11C"/>
    <w:rsid w:val="38262627"/>
    <w:rsid w:val="3826A55C"/>
    <w:rsid w:val="38276FA5"/>
    <w:rsid w:val="3832956C"/>
    <w:rsid w:val="3837F1F3"/>
    <w:rsid w:val="383D127B"/>
    <w:rsid w:val="383F44F8"/>
    <w:rsid w:val="384AACB5"/>
    <w:rsid w:val="386F883A"/>
    <w:rsid w:val="3883E64C"/>
    <w:rsid w:val="3890E130"/>
    <w:rsid w:val="38B4ECEE"/>
    <w:rsid w:val="38BAF5DD"/>
    <w:rsid w:val="38C33F69"/>
    <w:rsid w:val="38C7EBB4"/>
    <w:rsid w:val="38DC4F60"/>
    <w:rsid w:val="38F64AB0"/>
    <w:rsid w:val="3922A126"/>
    <w:rsid w:val="394EA4C6"/>
    <w:rsid w:val="395A0481"/>
    <w:rsid w:val="395C7374"/>
    <w:rsid w:val="3969409B"/>
    <w:rsid w:val="398ADA3C"/>
    <w:rsid w:val="39AE5C73"/>
    <w:rsid w:val="39B55B38"/>
    <w:rsid w:val="39B89DA4"/>
    <w:rsid w:val="39C37E18"/>
    <w:rsid w:val="39CD6FE3"/>
    <w:rsid w:val="39DBB42C"/>
    <w:rsid w:val="39DEDF86"/>
    <w:rsid w:val="39F6171D"/>
    <w:rsid w:val="39FC65A3"/>
    <w:rsid w:val="3A09D8A0"/>
    <w:rsid w:val="3A0CDE08"/>
    <w:rsid w:val="3A193EFB"/>
    <w:rsid w:val="3A2C3A37"/>
    <w:rsid w:val="3A342CC5"/>
    <w:rsid w:val="3A3CD1E7"/>
    <w:rsid w:val="3A4FB5E3"/>
    <w:rsid w:val="3A60362D"/>
    <w:rsid w:val="3A63D10A"/>
    <w:rsid w:val="3A6402F2"/>
    <w:rsid w:val="3A829CA9"/>
    <w:rsid w:val="3A8AFD61"/>
    <w:rsid w:val="3A8E5C79"/>
    <w:rsid w:val="3AAA20C5"/>
    <w:rsid w:val="3AABF344"/>
    <w:rsid w:val="3AAEBC46"/>
    <w:rsid w:val="3AB21A62"/>
    <w:rsid w:val="3ABE42E5"/>
    <w:rsid w:val="3AE03ED5"/>
    <w:rsid w:val="3AFF5ED5"/>
    <w:rsid w:val="3B07777C"/>
    <w:rsid w:val="3B0F870C"/>
    <w:rsid w:val="3B1B25D7"/>
    <w:rsid w:val="3B270049"/>
    <w:rsid w:val="3B3AF607"/>
    <w:rsid w:val="3B5B1062"/>
    <w:rsid w:val="3B8D3146"/>
    <w:rsid w:val="3BA96226"/>
    <w:rsid w:val="3BB15E61"/>
    <w:rsid w:val="3BBBEEB3"/>
    <w:rsid w:val="3BE9462D"/>
    <w:rsid w:val="3BF91B3F"/>
    <w:rsid w:val="3BFF8544"/>
    <w:rsid w:val="3C08627B"/>
    <w:rsid w:val="3C0A3AB7"/>
    <w:rsid w:val="3C3A0CA9"/>
    <w:rsid w:val="3C556890"/>
    <w:rsid w:val="3C60AA0C"/>
    <w:rsid w:val="3C67DA6A"/>
    <w:rsid w:val="3C68C6AF"/>
    <w:rsid w:val="3C6E4DD5"/>
    <w:rsid w:val="3C719580"/>
    <w:rsid w:val="3C85C80D"/>
    <w:rsid w:val="3C99D93A"/>
    <w:rsid w:val="3C9AAEBB"/>
    <w:rsid w:val="3CA1B197"/>
    <w:rsid w:val="3CA8886A"/>
    <w:rsid w:val="3CE4AFDB"/>
    <w:rsid w:val="3CE71ECE"/>
    <w:rsid w:val="3D021356"/>
    <w:rsid w:val="3D151B33"/>
    <w:rsid w:val="3D1AFAAE"/>
    <w:rsid w:val="3D4083B3"/>
    <w:rsid w:val="3D51957B"/>
    <w:rsid w:val="3D5E28D0"/>
    <w:rsid w:val="3D706080"/>
    <w:rsid w:val="3DC5E47A"/>
    <w:rsid w:val="3DDDB0C9"/>
    <w:rsid w:val="3DEC4F7D"/>
    <w:rsid w:val="3DFF476B"/>
    <w:rsid w:val="3E17DF97"/>
    <w:rsid w:val="3E4119F0"/>
    <w:rsid w:val="3E74F575"/>
    <w:rsid w:val="3E7D1405"/>
    <w:rsid w:val="3E985296"/>
    <w:rsid w:val="3EA4ECB4"/>
    <w:rsid w:val="3EA6C5A3"/>
    <w:rsid w:val="3EBC80D6"/>
    <w:rsid w:val="3ED770B8"/>
    <w:rsid w:val="3EDDFA65"/>
    <w:rsid w:val="3EE57CA1"/>
    <w:rsid w:val="3EE78CBC"/>
    <w:rsid w:val="3EFD5583"/>
    <w:rsid w:val="3F0022B4"/>
    <w:rsid w:val="3F0377D6"/>
    <w:rsid w:val="3F079DE8"/>
    <w:rsid w:val="3F37422D"/>
    <w:rsid w:val="3F4C370F"/>
    <w:rsid w:val="3F559C3F"/>
    <w:rsid w:val="3F5CCDF3"/>
    <w:rsid w:val="3F63D6AF"/>
    <w:rsid w:val="3F6EBA5F"/>
    <w:rsid w:val="3FA2DD66"/>
    <w:rsid w:val="3FAACE76"/>
    <w:rsid w:val="3FCA3C16"/>
    <w:rsid w:val="3FD9CFB7"/>
    <w:rsid w:val="3FD9E0B8"/>
    <w:rsid w:val="3FE7E8B9"/>
    <w:rsid w:val="3FF222BA"/>
    <w:rsid w:val="40001320"/>
    <w:rsid w:val="4015C2C0"/>
    <w:rsid w:val="4019592D"/>
    <w:rsid w:val="401AB462"/>
    <w:rsid w:val="403E3D62"/>
    <w:rsid w:val="4040B5DD"/>
    <w:rsid w:val="404309A3"/>
    <w:rsid w:val="4073B4FE"/>
    <w:rsid w:val="4081B7DD"/>
    <w:rsid w:val="408E2868"/>
    <w:rsid w:val="409A859F"/>
    <w:rsid w:val="40B61183"/>
    <w:rsid w:val="40BBD6B5"/>
    <w:rsid w:val="40BDC5F3"/>
    <w:rsid w:val="40C363FD"/>
    <w:rsid w:val="40D3128E"/>
    <w:rsid w:val="40DE6880"/>
    <w:rsid w:val="40F0E47A"/>
    <w:rsid w:val="4101982D"/>
    <w:rsid w:val="4108AFD7"/>
    <w:rsid w:val="410C1B9E"/>
    <w:rsid w:val="4115518B"/>
    <w:rsid w:val="4121D834"/>
    <w:rsid w:val="41288579"/>
    <w:rsid w:val="4155E706"/>
    <w:rsid w:val="41678559"/>
    <w:rsid w:val="4185A774"/>
    <w:rsid w:val="418D243A"/>
    <w:rsid w:val="418F943B"/>
    <w:rsid w:val="41A07B92"/>
    <w:rsid w:val="41D5C26B"/>
    <w:rsid w:val="41EE7156"/>
    <w:rsid w:val="41F0E93E"/>
    <w:rsid w:val="41F833B9"/>
    <w:rsid w:val="42146E4F"/>
    <w:rsid w:val="42193D18"/>
    <w:rsid w:val="4220AAEA"/>
    <w:rsid w:val="4230D472"/>
    <w:rsid w:val="4231340D"/>
    <w:rsid w:val="42365600"/>
    <w:rsid w:val="424BB923"/>
    <w:rsid w:val="42586707"/>
    <w:rsid w:val="4259CA7D"/>
    <w:rsid w:val="425AE5E4"/>
    <w:rsid w:val="42687A8B"/>
    <w:rsid w:val="426E9091"/>
    <w:rsid w:val="427AE85F"/>
    <w:rsid w:val="42880D4E"/>
    <w:rsid w:val="42931A2D"/>
    <w:rsid w:val="429B56C2"/>
    <w:rsid w:val="42A8A7C3"/>
    <w:rsid w:val="42A8D3AF"/>
    <w:rsid w:val="43113C20"/>
    <w:rsid w:val="43185886"/>
    <w:rsid w:val="4322BC51"/>
    <w:rsid w:val="432F20AF"/>
    <w:rsid w:val="433F259B"/>
    <w:rsid w:val="43474914"/>
    <w:rsid w:val="4352F73E"/>
    <w:rsid w:val="436798B6"/>
    <w:rsid w:val="43AA912E"/>
    <w:rsid w:val="43C98618"/>
    <w:rsid w:val="43D3552E"/>
    <w:rsid w:val="43D60948"/>
    <w:rsid w:val="441B9EB0"/>
    <w:rsid w:val="4420009D"/>
    <w:rsid w:val="444B71FD"/>
    <w:rsid w:val="445F66AF"/>
    <w:rsid w:val="44627BA4"/>
    <w:rsid w:val="4473AE1C"/>
    <w:rsid w:val="447E05A0"/>
    <w:rsid w:val="449B2837"/>
    <w:rsid w:val="44A45306"/>
    <w:rsid w:val="44A8FCC9"/>
    <w:rsid w:val="44E24494"/>
    <w:rsid w:val="44E2E88A"/>
    <w:rsid w:val="44F35410"/>
    <w:rsid w:val="44FE3D3A"/>
    <w:rsid w:val="4509052F"/>
    <w:rsid w:val="450FEE27"/>
    <w:rsid w:val="451E3788"/>
    <w:rsid w:val="4530924F"/>
    <w:rsid w:val="454C74F9"/>
    <w:rsid w:val="455D4CCF"/>
    <w:rsid w:val="45638702"/>
    <w:rsid w:val="4574BFF0"/>
    <w:rsid w:val="4580C9A7"/>
    <w:rsid w:val="45BD075C"/>
    <w:rsid w:val="45D50950"/>
    <w:rsid w:val="45D60787"/>
    <w:rsid w:val="460B76D4"/>
    <w:rsid w:val="462ABD47"/>
    <w:rsid w:val="4640661B"/>
    <w:rsid w:val="46406DCE"/>
    <w:rsid w:val="46495215"/>
    <w:rsid w:val="466131D4"/>
    <w:rsid w:val="46638BD2"/>
    <w:rsid w:val="46720FB5"/>
    <w:rsid w:val="4676C65D"/>
    <w:rsid w:val="46876185"/>
    <w:rsid w:val="468DA103"/>
    <w:rsid w:val="46AF5915"/>
    <w:rsid w:val="47110A6B"/>
    <w:rsid w:val="472072F5"/>
    <w:rsid w:val="4741C1AD"/>
    <w:rsid w:val="47454C44"/>
    <w:rsid w:val="474A5629"/>
    <w:rsid w:val="475C47BF"/>
    <w:rsid w:val="47759987"/>
    <w:rsid w:val="477D2B3E"/>
    <w:rsid w:val="4782BA18"/>
    <w:rsid w:val="478CE53F"/>
    <w:rsid w:val="47A59D62"/>
    <w:rsid w:val="47AF34BB"/>
    <w:rsid w:val="47B9E889"/>
    <w:rsid w:val="47C93686"/>
    <w:rsid w:val="47CF5201"/>
    <w:rsid w:val="47DB0A6E"/>
    <w:rsid w:val="47DCC78E"/>
    <w:rsid w:val="47EE968E"/>
    <w:rsid w:val="47F31A56"/>
    <w:rsid w:val="4802AF5E"/>
    <w:rsid w:val="482A11B2"/>
    <w:rsid w:val="482CA2EE"/>
    <w:rsid w:val="48340247"/>
    <w:rsid w:val="4836B915"/>
    <w:rsid w:val="483EA7D1"/>
    <w:rsid w:val="485E2F9D"/>
    <w:rsid w:val="486BB44E"/>
    <w:rsid w:val="48706A86"/>
    <w:rsid w:val="4879CA0F"/>
    <w:rsid w:val="4891F839"/>
    <w:rsid w:val="4895E5E4"/>
    <w:rsid w:val="489BC3CE"/>
    <w:rsid w:val="48A3AF69"/>
    <w:rsid w:val="48AB2BE4"/>
    <w:rsid w:val="48BC4356"/>
    <w:rsid w:val="48CCFFDF"/>
    <w:rsid w:val="490F8D43"/>
    <w:rsid w:val="4929C503"/>
    <w:rsid w:val="494674E9"/>
    <w:rsid w:val="495153A2"/>
    <w:rsid w:val="496EF136"/>
    <w:rsid w:val="497821BF"/>
    <w:rsid w:val="498F8EE2"/>
    <w:rsid w:val="49A7A784"/>
    <w:rsid w:val="49A9B077"/>
    <w:rsid w:val="49AF6248"/>
    <w:rsid w:val="49B5B970"/>
    <w:rsid w:val="49BF0247"/>
    <w:rsid w:val="49C6C533"/>
    <w:rsid w:val="49D1BF6D"/>
    <w:rsid w:val="49DB5D6A"/>
    <w:rsid w:val="49F05999"/>
    <w:rsid w:val="49F3128A"/>
    <w:rsid w:val="49F61EA4"/>
    <w:rsid w:val="4A28EC1E"/>
    <w:rsid w:val="4A3F8EF0"/>
    <w:rsid w:val="4A442822"/>
    <w:rsid w:val="4A6974A3"/>
    <w:rsid w:val="4A71A346"/>
    <w:rsid w:val="4A72C161"/>
    <w:rsid w:val="4A7F52DF"/>
    <w:rsid w:val="4A8E8AE0"/>
    <w:rsid w:val="4A9567DA"/>
    <w:rsid w:val="4AC727D8"/>
    <w:rsid w:val="4ACF95C3"/>
    <w:rsid w:val="4ADFD07D"/>
    <w:rsid w:val="4AE63D1B"/>
    <w:rsid w:val="4AE9B8B2"/>
    <w:rsid w:val="4AF6629F"/>
    <w:rsid w:val="4B2F303A"/>
    <w:rsid w:val="4B51A135"/>
    <w:rsid w:val="4B54E1A6"/>
    <w:rsid w:val="4B87AB74"/>
    <w:rsid w:val="4B8FBD54"/>
    <w:rsid w:val="4B9942BA"/>
    <w:rsid w:val="4B9C6213"/>
    <w:rsid w:val="4B9C7AB6"/>
    <w:rsid w:val="4BB99980"/>
    <w:rsid w:val="4BC0B66E"/>
    <w:rsid w:val="4C2A5B41"/>
    <w:rsid w:val="4C30E706"/>
    <w:rsid w:val="4C626A64"/>
    <w:rsid w:val="4C6C2DE9"/>
    <w:rsid w:val="4C6FF4E7"/>
    <w:rsid w:val="4C774F75"/>
    <w:rsid w:val="4C8CECE9"/>
    <w:rsid w:val="4CA19FE2"/>
    <w:rsid w:val="4CAFB9B2"/>
    <w:rsid w:val="4CC56DCB"/>
    <w:rsid w:val="4CD18C1D"/>
    <w:rsid w:val="4CF8F097"/>
    <w:rsid w:val="4D10C1A1"/>
    <w:rsid w:val="4D1798EA"/>
    <w:rsid w:val="4D1B8870"/>
    <w:rsid w:val="4D1C8F5F"/>
    <w:rsid w:val="4D390BFE"/>
    <w:rsid w:val="4D3F91B5"/>
    <w:rsid w:val="4D46E7C3"/>
    <w:rsid w:val="4D57A7D9"/>
    <w:rsid w:val="4D597206"/>
    <w:rsid w:val="4D696F09"/>
    <w:rsid w:val="4D82B2C7"/>
    <w:rsid w:val="4D85207B"/>
    <w:rsid w:val="4D986D39"/>
    <w:rsid w:val="4D9BCB0C"/>
    <w:rsid w:val="4DAFD828"/>
    <w:rsid w:val="4DB82169"/>
    <w:rsid w:val="4DC4D9BD"/>
    <w:rsid w:val="4DC7D589"/>
    <w:rsid w:val="4DD2BD34"/>
    <w:rsid w:val="4DE26FE9"/>
    <w:rsid w:val="4E14DEE6"/>
    <w:rsid w:val="4E3B870E"/>
    <w:rsid w:val="4E4AE3E9"/>
    <w:rsid w:val="4E60B927"/>
    <w:rsid w:val="4E6BC724"/>
    <w:rsid w:val="4E6FCF07"/>
    <w:rsid w:val="4E8C3096"/>
    <w:rsid w:val="4E99F00F"/>
    <w:rsid w:val="4EB9A336"/>
    <w:rsid w:val="4EC5F92A"/>
    <w:rsid w:val="4EC98FC7"/>
    <w:rsid w:val="4ECD554D"/>
    <w:rsid w:val="4ED4BFB9"/>
    <w:rsid w:val="4EDAAB5A"/>
    <w:rsid w:val="4EDBC52B"/>
    <w:rsid w:val="4EE2CF45"/>
    <w:rsid w:val="4EE61736"/>
    <w:rsid w:val="4EF5E993"/>
    <w:rsid w:val="4F2D1C8E"/>
    <w:rsid w:val="4F2F6693"/>
    <w:rsid w:val="4F349B9E"/>
    <w:rsid w:val="4F375962"/>
    <w:rsid w:val="4F69E23B"/>
    <w:rsid w:val="4F70E48D"/>
    <w:rsid w:val="4F7CE9CD"/>
    <w:rsid w:val="4F7CEF52"/>
    <w:rsid w:val="4F94762A"/>
    <w:rsid w:val="4F96122A"/>
    <w:rsid w:val="4FBE5554"/>
    <w:rsid w:val="4FC9D3C2"/>
    <w:rsid w:val="4FCEB8C5"/>
    <w:rsid w:val="4FD35574"/>
    <w:rsid w:val="4FD7AAF5"/>
    <w:rsid w:val="4FDD103B"/>
    <w:rsid w:val="4FF00482"/>
    <w:rsid w:val="503AA142"/>
    <w:rsid w:val="505FAF52"/>
    <w:rsid w:val="507E0B26"/>
    <w:rsid w:val="50864A22"/>
    <w:rsid w:val="5086E87A"/>
    <w:rsid w:val="50917231"/>
    <w:rsid w:val="50BAFA76"/>
    <w:rsid w:val="50C53CCD"/>
    <w:rsid w:val="50E235BA"/>
    <w:rsid w:val="50FA776C"/>
    <w:rsid w:val="51196D46"/>
    <w:rsid w:val="51212569"/>
    <w:rsid w:val="512D1D0C"/>
    <w:rsid w:val="5131E61F"/>
    <w:rsid w:val="51803060"/>
    <w:rsid w:val="518F2163"/>
    <w:rsid w:val="519047A7"/>
    <w:rsid w:val="51942CA9"/>
    <w:rsid w:val="519F8759"/>
    <w:rsid w:val="51A848C5"/>
    <w:rsid w:val="51EB54F5"/>
    <w:rsid w:val="520511E3"/>
    <w:rsid w:val="52221838"/>
    <w:rsid w:val="522625D0"/>
    <w:rsid w:val="52534B8B"/>
    <w:rsid w:val="52556274"/>
    <w:rsid w:val="5259919F"/>
    <w:rsid w:val="5263FBE3"/>
    <w:rsid w:val="526A33D9"/>
    <w:rsid w:val="527EE8F6"/>
    <w:rsid w:val="529A63FB"/>
    <w:rsid w:val="529C9557"/>
    <w:rsid w:val="52A25181"/>
    <w:rsid w:val="52A8854F"/>
    <w:rsid w:val="52C24710"/>
    <w:rsid w:val="52E0D67B"/>
    <w:rsid w:val="52E3D875"/>
    <w:rsid w:val="52EEC366"/>
    <w:rsid w:val="52F10222"/>
    <w:rsid w:val="5312FB3B"/>
    <w:rsid w:val="5314DA84"/>
    <w:rsid w:val="5317938C"/>
    <w:rsid w:val="531AB729"/>
    <w:rsid w:val="5320513D"/>
    <w:rsid w:val="53346865"/>
    <w:rsid w:val="5338C83D"/>
    <w:rsid w:val="534B7ACD"/>
    <w:rsid w:val="534D1537"/>
    <w:rsid w:val="5360CB83"/>
    <w:rsid w:val="5372CC6A"/>
    <w:rsid w:val="537A93C2"/>
    <w:rsid w:val="53D7E03F"/>
    <w:rsid w:val="53E5C7F1"/>
    <w:rsid w:val="53E91BB6"/>
    <w:rsid w:val="53FC7A41"/>
    <w:rsid w:val="5423EED8"/>
    <w:rsid w:val="54249239"/>
    <w:rsid w:val="542654F5"/>
    <w:rsid w:val="54349F08"/>
    <w:rsid w:val="545E1771"/>
    <w:rsid w:val="546AF526"/>
    <w:rsid w:val="546D0989"/>
    <w:rsid w:val="546FA84B"/>
    <w:rsid w:val="5485CA3D"/>
    <w:rsid w:val="549C3754"/>
    <w:rsid w:val="54CBF141"/>
    <w:rsid w:val="54D4B253"/>
    <w:rsid w:val="54DD0547"/>
    <w:rsid w:val="54ECDCC6"/>
    <w:rsid w:val="54FBCE5D"/>
    <w:rsid w:val="550A8A24"/>
    <w:rsid w:val="55225B0A"/>
    <w:rsid w:val="55441DE3"/>
    <w:rsid w:val="556701B3"/>
    <w:rsid w:val="556A6254"/>
    <w:rsid w:val="556B3497"/>
    <w:rsid w:val="559A0E12"/>
    <w:rsid w:val="559B7630"/>
    <w:rsid w:val="55AE39C3"/>
    <w:rsid w:val="55BEA0EF"/>
    <w:rsid w:val="55C8DAB4"/>
    <w:rsid w:val="55D9D271"/>
    <w:rsid w:val="5616D078"/>
    <w:rsid w:val="56186AE9"/>
    <w:rsid w:val="5624CF84"/>
    <w:rsid w:val="56298824"/>
    <w:rsid w:val="562E71C7"/>
    <w:rsid w:val="56786E63"/>
    <w:rsid w:val="567DC05B"/>
    <w:rsid w:val="568E9670"/>
    <w:rsid w:val="56B2312A"/>
    <w:rsid w:val="56C0492A"/>
    <w:rsid w:val="56C6C5E7"/>
    <w:rsid w:val="56D59C39"/>
    <w:rsid w:val="56E2E2A1"/>
    <w:rsid w:val="56E673FB"/>
    <w:rsid w:val="56E98491"/>
    <w:rsid w:val="56EC9B9A"/>
    <w:rsid w:val="56F22ABF"/>
    <w:rsid w:val="5717A221"/>
    <w:rsid w:val="5717A4CE"/>
    <w:rsid w:val="571C8359"/>
    <w:rsid w:val="57231D0F"/>
    <w:rsid w:val="5724CA75"/>
    <w:rsid w:val="572D33B9"/>
    <w:rsid w:val="5740B6D9"/>
    <w:rsid w:val="574F7718"/>
    <w:rsid w:val="57599D4F"/>
    <w:rsid w:val="576D0DE8"/>
    <w:rsid w:val="5770D528"/>
    <w:rsid w:val="57774835"/>
    <w:rsid w:val="5787DF0C"/>
    <w:rsid w:val="57A4F8B1"/>
    <w:rsid w:val="57AAD37E"/>
    <w:rsid w:val="57AB3016"/>
    <w:rsid w:val="57CBA70B"/>
    <w:rsid w:val="57DA9A03"/>
    <w:rsid w:val="57FEAEDB"/>
    <w:rsid w:val="58110C00"/>
    <w:rsid w:val="5814B332"/>
    <w:rsid w:val="5817C541"/>
    <w:rsid w:val="582A345D"/>
    <w:rsid w:val="58565B8B"/>
    <w:rsid w:val="58716C9A"/>
    <w:rsid w:val="5886AE3C"/>
    <w:rsid w:val="589EA275"/>
    <w:rsid w:val="58B9F4E6"/>
    <w:rsid w:val="58D0EFB0"/>
    <w:rsid w:val="58E5DA85"/>
    <w:rsid w:val="5928BD0E"/>
    <w:rsid w:val="5946E8B8"/>
    <w:rsid w:val="5956088E"/>
    <w:rsid w:val="59759B0B"/>
    <w:rsid w:val="5981E1D1"/>
    <w:rsid w:val="59935307"/>
    <w:rsid w:val="59A63CA5"/>
    <w:rsid w:val="59ACDC61"/>
    <w:rsid w:val="59B906CC"/>
    <w:rsid w:val="59ED693B"/>
    <w:rsid w:val="59F5F4B4"/>
    <w:rsid w:val="5A35211F"/>
    <w:rsid w:val="5A6E7C31"/>
    <w:rsid w:val="5A7108BD"/>
    <w:rsid w:val="5A8AA9BB"/>
    <w:rsid w:val="5A8F05CE"/>
    <w:rsid w:val="5A90D96B"/>
    <w:rsid w:val="5A9BA344"/>
    <w:rsid w:val="5AA8667C"/>
    <w:rsid w:val="5AA9EEAF"/>
    <w:rsid w:val="5AB75306"/>
    <w:rsid w:val="5AB8E759"/>
    <w:rsid w:val="5ABCACBD"/>
    <w:rsid w:val="5AC1816E"/>
    <w:rsid w:val="5AD70223"/>
    <w:rsid w:val="5AD99BE9"/>
    <w:rsid w:val="5AEE5E46"/>
    <w:rsid w:val="5B1F08BC"/>
    <w:rsid w:val="5B28528F"/>
    <w:rsid w:val="5B3E599C"/>
    <w:rsid w:val="5B417822"/>
    <w:rsid w:val="5B45719D"/>
    <w:rsid w:val="5B459D81"/>
    <w:rsid w:val="5B4CC997"/>
    <w:rsid w:val="5B67513B"/>
    <w:rsid w:val="5B83BC9C"/>
    <w:rsid w:val="5B8ED938"/>
    <w:rsid w:val="5BA90D5C"/>
    <w:rsid w:val="5BAF4953"/>
    <w:rsid w:val="5BB342C1"/>
    <w:rsid w:val="5BEB09E3"/>
    <w:rsid w:val="5BF03348"/>
    <w:rsid w:val="5BFE82BB"/>
    <w:rsid w:val="5C0E1700"/>
    <w:rsid w:val="5C26C4D4"/>
    <w:rsid w:val="5C51FE18"/>
    <w:rsid w:val="5C58A249"/>
    <w:rsid w:val="5C590850"/>
    <w:rsid w:val="5C6C6236"/>
    <w:rsid w:val="5C8FAA60"/>
    <w:rsid w:val="5C985862"/>
    <w:rsid w:val="5CA7225A"/>
    <w:rsid w:val="5CCF8C9D"/>
    <w:rsid w:val="5CDE3FD6"/>
    <w:rsid w:val="5CDEE6BF"/>
    <w:rsid w:val="5CF5ECFF"/>
    <w:rsid w:val="5D008653"/>
    <w:rsid w:val="5D063BD7"/>
    <w:rsid w:val="5D0B8B1E"/>
    <w:rsid w:val="5D1B19A1"/>
    <w:rsid w:val="5D52DC60"/>
    <w:rsid w:val="5D561F99"/>
    <w:rsid w:val="5D7381DA"/>
    <w:rsid w:val="5D961A0F"/>
    <w:rsid w:val="5D9708B7"/>
    <w:rsid w:val="5DA63EF3"/>
    <w:rsid w:val="5DBBBEFB"/>
    <w:rsid w:val="5DC46557"/>
    <w:rsid w:val="5DD1A05A"/>
    <w:rsid w:val="5DD7A3A2"/>
    <w:rsid w:val="5DE3B1F7"/>
    <w:rsid w:val="5DFF8E23"/>
    <w:rsid w:val="5E0B99EE"/>
    <w:rsid w:val="5E2239CE"/>
    <w:rsid w:val="5E297C4F"/>
    <w:rsid w:val="5E39D84F"/>
    <w:rsid w:val="5E5F9228"/>
    <w:rsid w:val="5E71FD78"/>
    <w:rsid w:val="5E88543E"/>
    <w:rsid w:val="5E8AB0BB"/>
    <w:rsid w:val="5E8EB953"/>
    <w:rsid w:val="5E974DF5"/>
    <w:rsid w:val="5EAA56AC"/>
    <w:rsid w:val="5ED86C32"/>
    <w:rsid w:val="5EDF28AE"/>
    <w:rsid w:val="5EE10BE6"/>
    <w:rsid w:val="5EF8BCAA"/>
    <w:rsid w:val="5EF930E9"/>
    <w:rsid w:val="5F378614"/>
    <w:rsid w:val="5F3BD302"/>
    <w:rsid w:val="5F487EBF"/>
    <w:rsid w:val="5F578F5C"/>
    <w:rsid w:val="5F78FAE8"/>
    <w:rsid w:val="5F922C2A"/>
    <w:rsid w:val="5F9CE017"/>
    <w:rsid w:val="5F9D3A26"/>
    <w:rsid w:val="5FB00894"/>
    <w:rsid w:val="5FBE77C7"/>
    <w:rsid w:val="5FC52A85"/>
    <w:rsid w:val="5FC8F882"/>
    <w:rsid w:val="5FCC9DD4"/>
    <w:rsid w:val="5FDDA357"/>
    <w:rsid w:val="5FEA58B3"/>
    <w:rsid w:val="5FF71428"/>
    <w:rsid w:val="6005E4D7"/>
    <w:rsid w:val="600EDF58"/>
    <w:rsid w:val="600EF264"/>
    <w:rsid w:val="6044D6E7"/>
    <w:rsid w:val="6044DFF5"/>
    <w:rsid w:val="604E36D2"/>
    <w:rsid w:val="6061C7D3"/>
    <w:rsid w:val="606260DE"/>
    <w:rsid w:val="607C7E7F"/>
    <w:rsid w:val="607EE304"/>
    <w:rsid w:val="60804319"/>
    <w:rsid w:val="609AEC57"/>
    <w:rsid w:val="609E5CE7"/>
    <w:rsid w:val="60FAF85C"/>
    <w:rsid w:val="610277EE"/>
    <w:rsid w:val="612228FD"/>
    <w:rsid w:val="6122A138"/>
    <w:rsid w:val="612F6373"/>
    <w:rsid w:val="61354B85"/>
    <w:rsid w:val="613982D7"/>
    <w:rsid w:val="61459531"/>
    <w:rsid w:val="6160FAE6"/>
    <w:rsid w:val="617501BF"/>
    <w:rsid w:val="618EBE9D"/>
    <w:rsid w:val="61A4DCF4"/>
    <w:rsid w:val="61B78085"/>
    <w:rsid w:val="61BCF316"/>
    <w:rsid w:val="61E00C0C"/>
    <w:rsid w:val="61E7DE3C"/>
    <w:rsid w:val="62006F21"/>
    <w:rsid w:val="6235459E"/>
    <w:rsid w:val="6254DD66"/>
    <w:rsid w:val="625EFDAC"/>
    <w:rsid w:val="626FA528"/>
    <w:rsid w:val="6274ED23"/>
    <w:rsid w:val="62952ABC"/>
    <w:rsid w:val="62B72A71"/>
    <w:rsid w:val="62BF74FD"/>
    <w:rsid w:val="62F1666A"/>
    <w:rsid w:val="6310D220"/>
    <w:rsid w:val="6319A918"/>
    <w:rsid w:val="6329530F"/>
    <w:rsid w:val="634109FB"/>
    <w:rsid w:val="63557BB0"/>
    <w:rsid w:val="635DDFE3"/>
    <w:rsid w:val="636D1E38"/>
    <w:rsid w:val="637A1B6A"/>
    <w:rsid w:val="63C5E5ED"/>
    <w:rsid w:val="63DD2854"/>
    <w:rsid w:val="63FD5517"/>
    <w:rsid w:val="64201E45"/>
    <w:rsid w:val="64299FC1"/>
    <w:rsid w:val="64495BE2"/>
    <w:rsid w:val="644A485B"/>
    <w:rsid w:val="6451105E"/>
    <w:rsid w:val="645C2DAA"/>
    <w:rsid w:val="6473B4E7"/>
    <w:rsid w:val="647827B3"/>
    <w:rsid w:val="648F58EF"/>
    <w:rsid w:val="64AD3A2B"/>
    <w:rsid w:val="64ADD990"/>
    <w:rsid w:val="64B84DB2"/>
    <w:rsid w:val="64BFA606"/>
    <w:rsid w:val="64DF197E"/>
    <w:rsid w:val="64E2A4BA"/>
    <w:rsid w:val="64EB24B8"/>
    <w:rsid w:val="6502EF0A"/>
    <w:rsid w:val="6507DFBF"/>
    <w:rsid w:val="651D7077"/>
    <w:rsid w:val="6523DA45"/>
    <w:rsid w:val="65301BE2"/>
    <w:rsid w:val="653F97C7"/>
    <w:rsid w:val="65616E4C"/>
    <w:rsid w:val="6563D43D"/>
    <w:rsid w:val="6566E233"/>
    <w:rsid w:val="65675263"/>
    <w:rsid w:val="65B59609"/>
    <w:rsid w:val="65C00799"/>
    <w:rsid w:val="65E016D6"/>
    <w:rsid w:val="65FB0BD7"/>
    <w:rsid w:val="660E359D"/>
    <w:rsid w:val="664439BB"/>
    <w:rsid w:val="6646171A"/>
    <w:rsid w:val="66501A4B"/>
    <w:rsid w:val="6688B5CA"/>
    <w:rsid w:val="668F5BED"/>
    <w:rsid w:val="66993C40"/>
    <w:rsid w:val="66A33135"/>
    <w:rsid w:val="66A594CB"/>
    <w:rsid w:val="66DD5C9E"/>
    <w:rsid w:val="66EAF0AA"/>
    <w:rsid w:val="66EBBB82"/>
    <w:rsid w:val="66FAA3A1"/>
    <w:rsid w:val="67041907"/>
    <w:rsid w:val="6723021E"/>
    <w:rsid w:val="67264ED5"/>
    <w:rsid w:val="6732EE2B"/>
    <w:rsid w:val="6734DBE4"/>
    <w:rsid w:val="6752B756"/>
    <w:rsid w:val="6768D6EB"/>
    <w:rsid w:val="6771F6DB"/>
    <w:rsid w:val="67880071"/>
    <w:rsid w:val="67888CF6"/>
    <w:rsid w:val="678CEA2A"/>
    <w:rsid w:val="67B3B8F1"/>
    <w:rsid w:val="67D66CE1"/>
    <w:rsid w:val="67DEB39D"/>
    <w:rsid w:val="67EA1EF8"/>
    <w:rsid w:val="67EF9ECD"/>
    <w:rsid w:val="6824862B"/>
    <w:rsid w:val="682D439C"/>
    <w:rsid w:val="68300DDF"/>
    <w:rsid w:val="6838D624"/>
    <w:rsid w:val="68525D0C"/>
    <w:rsid w:val="68528150"/>
    <w:rsid w:val="687F4FD8"/>
    <w:rsid w:val="6887E93D"/>
    <w:rsid w:val="68A1D379"/>
    <w:rsid w:val="68A2F539"/>
    <w:rsid w:val="68B8DA02"/>
    <w:rsid w:val="68E4D061"/>
    <w:rsid w:val="68E6B9EA"/>
    <w:rsid w:val="68E82C73"/>
    <w:rsid w:val="68FC1261"/>
    <w:rsid w:val="69087C52"/>
    <w:rsid w:val="690A4E29"/>
    <w:rsid w:val="690E77D0"/>
    <w:rsid w:val="691E8CC6"/>
    <w:rsid w:val="6926059B"/>
    <w:rsid w:val="692AF40F"/>
    <w:rsid w:val="6940D6B8"/>
    <w:rsid w:val="6943734B"/>
    <w:rsid w:val="694B4E6C"/>
    <w:rsid w:val="69575A19"/>
    <w:rsid w:val="69874084"/>
    <w:rsid w:val="69B4F818"/>
    <w:rsid w:val="69C3FBC7"/>
    <w:rsid w:val="69E3EFB0"/>
    <w:rsid w:val="69ED62DE"/>
    <w:rsid w:val="69EDC522"/>
    <w:rsid w:val="6A0AB865"/>
    <w:rsid w:val="6A0B9C6D"/>
    <w:rsid w:val="6A0BC16B"/>
    <w:rsid w:val="6A14E769"/>
    <w:rsid w:val="6A29400C"/>
    <w:rsid w:val="6A2CCA4F"/>
    <w:rsid w:val="6A3C260D"/>
    <w:rsid w:val="6A484FED"/>
    <w:rsid w:val="6A8A9D4D"/>
    <w:rsid w:val="6A9ABB13"/>
    <w:rsid w:val="6AA0E9CF"/>
    <w:rsid w:val="6AAF8DC0"/>
    <w:rsid w:val="6AB7EC7C"/>
    <w:rsid w:val="6ABEED58"/>
    <w:rsid w:val="6AC05DFD"/>
    <w:rsid w:val="6AC4DA87"/>
    <w:rsid w:val="6AD241E8"/>
    <w:rsid w:val="6AE634D7"/>
    <w:rsid w:val="6AEABE7A"/>
    <w:rsid w:val="6AFF685C"/>
    <w:rsid w:val="6B0BF9FE"/>
    <w:rsid w:val="6B229DAE"/>
    <w:rsid w:val="6B46A54C"/>
    <w:rsid w:val="6B5A477D"/>
    <w:rsid w:val="6B5CB708"/>
    <w:rsid w:val="6B644CA8"/>
    <w:rsid w:val="6B899583"/>
    <w:rsid w:val="6B8EDAA3"/>
    <w:rsid w:val="6B8FFC78"/>
    <w:rsid w:val="6B9D1719"/>
    <w:rsid w:val="6BC06910"/>
    <w:rsid w:val="6BCC0167"/>
    <w:rsid w:val="6BD29600"/>
    <w:rsid w:val="6BD642F3"/>
    <w:rsid w:val="6BDB5392"/>
    <w:rsid w:val="6BF84503"/>
    <w:rsid w:val="6C0F302A"/>
    <w:rsid w:val="6C26588D"/>
    <w:rsid w:val="6C367CCE"/>
    <w:rsid w:val="6C3C0D02"/>
    <w:rsid w:val="6C3EDD68"/>
    <w:rsid w:val="6C52F829"/>
    <w:rsid w:val="6C535600"/>
    <w:rsid w:val="6C583FCE"/>
    <w:rsid w:val="6C6C19C5"/>
    <w:rsid w:val="6C7E56FA"/>
    <w:rsid w:val="6CB52D43"/>
    <w:rsid w:val="6CEB4389"/>
    <w:rsid w:val="6CFA2241"/>
    <w:rsid w:val="6CFC9A37"/>
    <w:rsid w:val="6D0B6C88"/>
    <w:rsid w:val="6D0E39A7"/>
    <w:rsid w:val="6D2565E4"/>
    <w:rsid w:val="6D34901D"/>
    <w:rsid w:val="6D5035E3"/>
    <w:rsid w:val="6D92120F"/>
    <w:rsid w:val="6DA6795E"/>
    <w:rsid w:val="6DE0C60D"/>
    <w:rsid w:val="6DE31C0B"/>
    <w:rsid w:val="6DE7C424"/>
    <w:rsid w:val="6E194782"/>
    <w:rsid w:val="6E23CEE0"/>
    <w:rsid w:val="6E3038C7"/>
    <w:rsid w:val="6E5A1EA4"/>
    <w:rsid w:val="6E5D0F81"/>
    <w:rsid w:val="6E7DDC7D"/>
    <w:rsid w:val="6E8FFD50"/>
    <w:rsid w:val="6EA446BD"/>
    <w:rsid w:val="6EA9CE07"/>
    <w:rsid w:val="6EBC9497"/>
    <w:rsid w:val="6EBFD508"/>
    <w:rsid w:val="6ECA7BFE"/>
    <w:rsid w:val="6EE7DEF0"/>
    <w:rsid w:val="6EFADC1C"/>
    <w:rsid w:val="6F109459"/>
    <w:rsid w:val="6F1A3811"/>
    <w:rsid w:val="6F1BC110"/>
    <w:rsid w:val="6F2894F9"/>
    <w:rsid w:val="6F3CD311"/>
    <w:rsid w:val="6F77882A"/>
    <w:rsid w:val="6F8A47E7"/>
    <w:rsid w:val="6F8C55F1"/>
    <w:rsid w:val="6FA3DA11"/>
    <w:rsid w:val="6FA496BA"/>
    <w:rsid w:val="6FA61E2D"/>
    <w:rsid w:val="6FAB2F24"/>
    <w:rsid w:val="6FC260CC"/>
    <w:rsid w:val="6FE9A739"/>
    <w:rsid w:val="6FEA94DB"/>
    <w:rsid w:val="6FF950A2"/>
    <w:rsid w:val="7009F65F"/>
    <w:rsid w:val="7009FC0E"/>
    <w:rsid w:val="70430D4A"/>
    <w:rsid w:val="7067A706"/>
    <w:rsid w:val="7098AFB7"/>
    <w:rsid w:val="70A7D637"/>
    <w:rsid w:val="70A94B96"/>
    <w:rsid w:val="70B3AB8D"/>
    <w:rsid w:val="70C497F9"/>
    <w:rsid w:val="70C89C15"/>
    <w:rsid w:val="70DA8422"/>
    <w:rsid w:val="70DEF7E3"/>
    <w:rsid w:val="70F655C8"/>
    <w:rsid w:val="71246676"/>
    <w:rsid w:val="71287A53"/>
    <w:rsid w:val="7128BB99"/>
    <w:rsid w:val="713439BC"/>
    <w:rsid w:val="713E75CE"/>
    <w:rsid w:val="715BD56D"/>
    <w:rsid w:val="717A8347"/>
    <w:rsid w:val="71A6C27D"/>
    <w:rsid w:val="71B50959"/>
    <w:rsid w:val="71C270EE"/>
    <w:rsid w:val="71D4CFA8"/>
    <w:rsid w:val="71D5FCAC"/>
    <w:rsid w:val="71F51B48"/>
    <w:rsid w:val="7220042A"/>
    <w:rsid w:val="7228E8E8"/>
    <w:rsid w:val="72430780"/>
    <w:rsid w:val="7260685A"/>
    <w:rsid w:val="726CF55E"/>
    <w:rsid w:val="729D1332"/>
    <w:rsid w:val="729FC118"/>
    <w:rsid w:val="72A9521F"/>
    <w:rsid w:val="72C44AB4"/>
    <w:rsid w:val="72CFF442"/>
    <w:rsid w:val="72DA1D08"/>
    <w:rsid w:val="72DDDEB9"/>
    <w:rsid w:val="731653A8"/>
    <w:rsid w:val="73216644"/>
    <w:rsid w:val="733A530B"/>
    <w:rsid w:val="7389C680"/>
    <w:rsid w:val="738B241C"/>
    <w:rsid w:val="738F9177"/>
    <w:rsid w:val="73A8BFFB"/>
    <w:rsid w:val="73AC5551"/>
    <w:rsid w:val="73C1DFC4"/>
    <w:rsid w:val="73D23091"/>
    <w:rsid w:val="73D609D6"/>
    <w:rsid w:val="73DCD6DF"/>
    <w:rsid w:val="73E865BD"/>
    <w:rsid w:val="73EEF71F"/>
    <w:rsid w:val="7403A9DD"/>
    <w:rsid w:val="7407C44E"/>
    <w:rsid w:val="7426D052"/>
    <w:rsid w:val="7429259A"/>
    <w:rsid w:val="7434BFB8"/>
    <w:rsid w:val="7437CB22"/>
    <w:rsid w:val="7456C29E"/>
    <w:rsid w:val="7476F21B"/>
    <w:rsid w:val="74847364"/>
    <w:rsid w:val="7490B783"/>
    <w:rsid w:val="749664CE"/>
    <w:rsid w:val="74A2F234"/>
    <w:rsid w:val="74B3D61A"/>
    <w:rsid w:val="74B5B563"/>
    <w:rsid w:val="74B8EB1F"/>
    <w:rsid w:val="74F28292"/>
    <w:rsid w:val="7512A5BF"/>
    <w:rsid w:val="75167E6D"/>
    <w:rsid w:val="751BBEDF"/>
    <w:rsid w:val="75224A61"/>
    <w:rsid w:val="753077C9"/>
    <w:rsid w:val="753B0DDE"/>
    <w:rsid w:val="7545040C"/>
    <w:rsid w:val="754E943F"/>
    <w:rsid w:val="755A0D63"/>
    <w:rsid w:val="755C5A29"/>
    <w:rsid w:val="755EA0A7"/>
    <w:rsid w:val="75619C47"/>
    <w:rsid w:val="757AA842"/>
    <w:rsid w:val="75A19ADF"/>
    <w:rsid w:val="75AAF138"/>
    <w:rsid w:val="75D8DF67"/>
    <w:rsid w:val="75DFDB8B"/>
    <w:rsid w:val="75E6C119"/>
    <w:rsid w:val="75E9DD37"/>
    <w:rsid w:val="761A2611"/>
    <w:rsid w:val="7621D244"/>
    <w:rsid w:val="7648A984"/>
    <w:rsid w:val="7678A30B"/>
    <w:rsid w:val="7678FDAA"/>
    <w:rsid w:val="767F68BD"/>
    <w:rsid w:val="76934F2D"/>
    <w:rsid w:val="7698F51B"/>
    <w:rsid w:val="76CD5B2D"/>
    <w:rsid w:val="76E523F5"/>
    <w:rsid w:val="76E64350"/>
    <w:rsid w:val="771A3CD1"/>
    <w:rsid w:val="772D993C"/>
    <w:rsid w:val="772F1B9C"/>
    <w:rsid w:val="7733D1E2"/>
    <w:rsid w:val="773EC300"/>
    <w:rsid w:val="77499972"/>
    <w:rsid w:val="774F392D"/>
    <w:rsid w:val="77582933"/>
    <w:rsid w:val="7767B596"/>
    <w:rsid w:val="77738B6F"/>
    <w:rsid w:val="77AE6804"/>
    <w:rsid w:val="77B05E96"/>
    <w:rsid w:val="77C8F07F"/>
    <w:rsid w:val="77CA53B9"/>
    <w:rsid w:val="77FB4552"/>
    <w:rsid w:val="77FF6EF9"/>
    <w:rsid w:val="7810A186"/>
    <w:rsid w:val="7826579E"/>
    <w:rsid w:val="784C253F"/>
    <w:rsid w:val="7859EB23"/>
    <w:rsid w:val="78694100"/>
    <w:rsid w:val="786982FF"/>
    <w:rsid w:val="7890576E"/>
    <w:rsid w:val="78AFC903"/>
    <w:rsid w:val="78C1717F"/>
    <w:rsid w:val="78C1F9F2"/>
    <w:rsid w:val="78CAB27C"/>
    <w:rsid w:val="78FBE61F"/>
    <w:rsid w:val="7932D390"/>
    <w:rsid w:val="793BE919"/>
    <w:rsid w:val="7941CD2D"/>
    <w:rsid w:val="7941E222"/>
    <w:rsid w:val="794D0073"/>
    <w:rsid w:val="79587B04"/>
    <w:rsid w:val="796A0552"/>
    <w:rsid w:val="79777F6B"/>
    <w:rsid w:val="79798705"/>
    <w:rsid w:val="797EF87B"/>
    <w:rsid w:val="798F75C2"/>
    <w:rsid w:val="799AE6F1"/>
    <w:rsid w:val="79A6FBEC"/>
    <w:rsid w:val="79A7D058"/>
    <w:rsid w:val="79B8101C"/>
    <w:rsid w:val="79C32DD8"/>
    <w:rsid w:val="79C866FE"/>
    <w:rsid w:val="79DBA941"/>
    <w:rsid w:val="79F194C7"/>
    <w:rsid w:val="79F2D799"/>
    <w:rsid w:val="7A07EA80"/>
    <w:rsid w:val="7A0F4B26"/>
    <w:rsid w:val="7A19F2E5"/>
    <w:rsid w:val="7A1AD270"/>
    <w:rsid w:val="7A364755"/>
    <w:rsid w:val="7A40E06E"/>
    <w:rsid w:val="7A600087"/>
    <w:rsid w:val="7A78D265"/>
    <w:rsid w:val="7A98C24F"/>
    <w:rsid w:val="7AC6E467"/>
    <w:rsid w:val="7ACC0690"/>
    <w:rsid w:val="7AD01DE0"/>
    <w:rsid w:val="7AD5FADF"/>
    <w:rsid w:val="7B000011"/>
    <w:rsid w:val="7B1E548A"/>
    <w:rsid w:val="7B49AF49"/>
    <w:rsid w:val="7B5BCE03"/>
    <w:rsid w:val="7B6822FA"/>
    <w:rsid w:val="7B7FCB48"/>
    <w:rsid w:val="7B82B8A3"/>
    <w:rsid w:val="7B83BC39"/>
    <w:rsid w:val="7B849DCA"/>
    <w:rsid w:val="7B8FAE43"/>
    <w:rsid w:val="7BE11BBB"/>
    <w:rsid w:val="7BEF0589"/>
    <w:rsid w:val="7C03DB71"/>
    <w:rsid w:val="7C0EE75D"/>
    <w:rsid w:val="7C11733C"/>
    <w:rsid w:val="7C152880"/>
    <w:rsid w:val="7C493B95"/>
    <w:rsid w:val="7C5283C1"/>
    <w:rsid w:val="7C7F7EE2"/>
    <w:rsid w:val="7C8289BB"/>
    <w:rsid w:val="7C82B336"/>
    <w:rsid w:val="7C842B5A"/>
    <w:rsid w:val="7C8CADFF"/>
    <w:rsid w:val="7CAD05B0"/>
    <w:rsid w:val="7CAF1B34"/>
    <w:rsid w:val="7CB80FAE"/>
    <w:rsid w:val="7CBA4191"/>
    <w:rsid w:val="7CC06478"/>
    <w:rsid w:val="7CE98AE3"/>
    <w:rsid w:val="7CF088B3"/>
    <w:rsid w:val="7CFF11AF"/>
    <w:rsid w:val="7D033E52"/>
    <w:rsid w:val="7D03B146"/>
    <w:rsid w:val="7D10F8C1"/>
    <w:rsid w:val="7D3549CC"/>
    <w:rsid w:val="7D4F4EBB"/>
    <w:rsid w:val="7D7E07FE"/>
    <w:rsid w:val="7D8FB8FC"/>
    <w:rsid w:val="7DC3E17D"/>
    <w:rsid w:val="7DC9C79C"/>
    <w:rsid w:val="7DCB051A"/>
    <w:rsid w:val="7DD4ED7B"/>
    <w:rsid w:val="7DDBA1FE"/>
    <w:rsid w:val="7DE5AF00"/>
    <w:rsid w:val="7DEA6145"/>
    <w:rsid w:val="7DECAF46"/>
    <w:rsid w:val="7E02D0A6"/>
    <w:rsid w:val="7E08BBE0"/>
    <w:rsid w:val="7E0B760B"/>
    <w:rsid w:val="7E1218AE"/>
    <w:rsid w:val="7E202DEA"/>
    <w:rsid w:val="7E303293"/>
    <w:rsid w:val="7E4DCBC5"/>
    <w:rsid w:val="7E57D9DF"/>
    <w:rsid w:val="7E59064F"/>
    <w:rsid w:val="7E827637"/>
    <w:rsid w:val="7E8EB88D"/>
    <w:rsid w:val="7E93AD7C"/>
    <w:rsid w:val="7EA4F520"/>
    <w:rsid w:val="7EBF4A27"/>
    <w:rsid w:val="7EC68BA3"/>
    <w:rsid w:val="7ECDA981"/>
    <w:rsid w:val="7EE2BC49"/>
    <w:rsid w:val="7EE8D774"/>
    <w:rsid w:val="7EEE6E72"/>
    <w:rsid w:val="7F0057CA"/>
    <w:rsid w:val="7F1F23A2"/>
    <w:rsid w:val="7F2FAE51"/>
    <w:rsid w:val="7F30B303"/>
    <w:rsid w:val="7F423CA4"/>
    <w:rsid w:val="7F438755"/>
    <w:rsid w:val="7F49E60D"/>
    <w:rsid w:val="7F6597FD"/>
    <w:rsid w:val="7F87E00E"/>
    <w:rsid w:val="7F8945ED"/>
    <w:rsid w:val="7F8DD8A6"/>
    <w:rsid w:val="7F987AB7"/>
    <w:rsid w:val="7FA9A790"/>
    <w:rsid w:val="7FB61607"/>
    <w:rsid w:val="7FD4928C"/>
    <w:rsid w:val="7FD55AE4"/>
    <w:rsid w:val="7FEB7727"/>
    <w:rsid w:val="7FEDBD6B"/>
    <w:rsid w:val="7FF60C26"/>
    <w:rsid w:val="7FFD3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0969C"/>
  <w15:chartTrackingRefBased/>
  <w15:docId w15:val="{D376ECAA-964F-4B69-B749-6E9D0A205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561"/>
    <w:pPr>
      <w:spacing w:after="0" w:line="240" w:lineRule="auto"/>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653959"/>
    <w:rPr>
      <w:sz w:val="16"/>
      <w:szCs w:val="16"/>
    </w:rPr>
  </w:style>
  <w:style w:type="paragraph" w:styleId="CommentText">
    <w:name w:val="annotation text"/>
    <w:basedOn w:val="Normal"/>
    <w:link w:val="CommentTextChar"/>
    <w:uiPriority w:val="99"/>
    <w:semiHidden/>
    <w:unhideWhenUsed/>
    <w:rsid w:val="00653959"/>
    <w:rPr>
      <w:sz w:val="20"/>
      <w:szCs w:val="20"/>
    </w:rPr>
  </w:style>
  <w:style w:type="character" w:customStyle="1" w:styleId="CommentTextChar">
    <w:name w:val="Comment Text Char"/>
    <w:basedOn w:val="DefaultParagraphFont"/>
    <w:link w:val="CommentText"/>
    <w:uiPriority w:val="99"/>
    <w:semiHidden/>
    <w:rsid w:val="00653959"/>
    <w:rPr>
      <w:rFonts w:ascii="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53959"/>
    <w:rPr>
      <w:b/>
      <w:bCs/>
    </w:rPr>
  </w:style>
  <w:style w:type="character" w:customStyle="1" w:styleId="CommentSubjectChar">
    <w:name w:val="Comment Subject Char"/>
    <w:basedOn w:val="CommentTextChar"/>
    <w:link w:val="CommentSubject"/>
    <w:uiPriority w:val="99"/>
    <w:semiHidden/>
    <w:rsid w:val="00653959"/>
    <w:rPr>
      <w:rFonts w:ascii="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653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959"/>
    <w:rPr>
      <w:rFonts w:ascii="Segoe UI" w:hAnsi="Segoe UI" w:cs="Segoe UI"/>
      <w:sz w:val="18"/>
      <w:szCs w:val="18"/>
      <w:lang w:eastAsia="en-AU"/>
    </w:rPr>
  </w:style>
  <w:style w:type="table" w:styleId="TableGrid">
    <w:name w:val="Table Grid"/>
    <w:basedOn w:val="TableNormal"/>
    <w:uiPriority w:val="59"/>
    <w:rsid w:val="00AB5578"/>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AB5578"/>
    <w:pPr>
      <w:numPr>
        <w:numId w:val="28"/>
      </w:numPr>
      <w:spacing w:before="120" w:after="120" w:line="276" w:lineRule="auto"/>
      <w:contextualSpacing/>
    </w:pPr>
    <w:rPr>
      <w:rFonts w:asciiTheme="minorHAnsi" w:eastAsia="Times New Roman" w:hAnsiTheme="minorHAnsi"/>
      <w:sz w:val="20"/>
    </w:rPr>
  </w:style>
  <w:style w:type="character" w:styleId="Hyperlink">
    <w:name w:val="Hyperlink"/>
    <w:basedOn w:val="DefaultParagraphFont"/>
    <w:rsid w:val="00AB5578"/>
    <w:rPr>
      <w:color w:val="0563C1" w:themeColor="hyperlink"/>
      <w:u w:val="single"/>
    </w:rPr>
  </w:style>
  <w:style w:type="table" w:customStyle="1" w:styleId="Table3">
    <w:name w:val="Table3"/>
    <w:basedOn w:val="TableNormal"/>
    <w:next w:val="TableGrid"/>
    <w:uiPriority w:val="39"/>
    <w:rsid w:val="00AB5578"/>
    <w:pPr>
      <w:spacing w:after="0" w:line="240" w:lineRule="auto"/>
    </w:pPr>
    <w:rPr>
      <w:rFonts w:ascii="Segoe UI" w:eastAsia="Calibri" w:hAnsi="Segoe UI" w:cs="Times New Roman"/>
      <w:sz w:val="18"/>
      <w:lang w:val="en-US"/>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w:hAnsi="Segoe UI"/>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paragraph" w:customStyle="1" w:styleId="Bullet">
    <w:name w:val="Bullet"/>
    <w:basedOn w:val="Normal"/>
    <w:link w:val="BulletChar"/>
    <w:uiPriority w:val="2"/>
    <w:qFormat/>
    <w:rsid w:val="00AB5578"/>
    <w:pPr>
      <w:suppressAutoHyphens/>
      <w:spacing w:after="165" w:line="259" w:lineRule="auto"/>
      <w:ind w:left="680" w:hanging="453"/>
    </w:pPr>
    <w:rPr>
      <w:rFonts w:ascii="Segoe UI" w:eastAsia="Times New Roman" w:hAnsi="Segoe UI"/>
      <w:szCs w:val="19"/>
    </w:rPr>
  </w:style>
  <w:style w:type="character" w:customStyle="1" w:styleId="BulletChar">
    <w:name w:val="Bullet Char"/>
    <w:basedOn w:val="DefaultParagraphFont"/>
    <w:link w:val="Bullet"/>
    <w:uiPriority w:val="2"/>
    <w:rsid w:val="00AB5578"/>
    <w:rPr>
      <w:rFonts w:ascii="Segoe UI" w:eastAsia="Times New Roman" w:hAnsi="Segoe UI" w:cs="Times New Roman"/>
      <w:sz w:val="24"/>
      <w:szCs w:val="19"/>
      <w:lang w:eastAsia="en-AU"/>
    </w:rPr>
  </w:style>
  <w:style w:type="paragraph" w:styleId="Header">
    <w:name w:val="header"/>
    <w:basedOn w:val="Normal"/>
    <w:link w:val="HeaderChar"/>
    <w:uiPriority w:val="99"/>
    <w:unhideWhenUsed/>
    <w:rsid w:val="001B46A1"/>
    <w:pPr>
      <w:tabs>
        <w:tab w:val="center" w:pos="4513"/>
        <w:tab w:val="right" w:pos="9026"/>
      </w:tabs>
    </w:pPr>
  </w:style>
  <w:style w:type="character" w:customStyle="1" w:styleId="HeaderChar">
    <w:name w:val="Header Char"/>
    <w:basedOn w:val="DefaultParagraphFont"/>
    <w:link w:val="Header"/>
    <w:uiPriority w:val="99"/>
    <w:rsid w:val="001B46A1"/>
    <w:rPr>
      <w:rFonts w:ascii="Times New Roman" w:hAnsi="Times New Roman" w:cs="Times New Roman"/>
      <w:sz w:val="24"/>
      <w:szCs w:val="24"/>
      <w:lang w:eastAsia="en-AU"/>
    </w:rPr>
  </w:style>
  <w:style w:type="paragraph" w:styleId="Footer">
    <w:name w:val="footer"/>
    <w:basedOn w:val="Normal"/>
    <w:link w:val="FooterChar"/>
    <w:uiPriority w:val="99"/>
    <w:unhideWhenUsed/>
    <w:rsid w:val="001B46A1"/>
    <w:pPr>
      <w:tabs>
        <w:tab w:val="center" w:pos="4513"/>
        <w:tab w:val="right" w:pos="9026"/>
      </w:tabs>
    </w:pPr>
  </w:style>
  <w:style w:type="character" w:customStyle="1" w:styleId="FooterChar">
    <w:name w:val="Footer Char"/>
    <w:basedOn w:val="DefaultParagraphFont"/>
    <w:link w:val="Footer"/>
    <w:uiPriority w:val="99"/>
    <w:rsid w:val="001B46A1"/>
    <w:rPr>
      <w:rFonts w:ascii="Times New Roman" w:hAnsi="Times New Roman" w:cs="Times New Roman"/>
      <w:sz w:val="24"/>
      <w:szCs w:val="24"/>
      <w:lang w:eastAsia="en-AU"/>
    </w:rPr>
  </w:style>
  <w:style w:type="paragraph" w:customStyle="1" w:styleId="Style1">
    <w:name w:val="Style1"/>
    <w:basedOn w:val="Normal"/>
    <w:qFormat/>
    <w:rsid w:val="007C0E8E"/>
    <w:pPr>
      <w:numPr>
        <w:numId w:val="18"/>
      </w:numPr>
      <w:spacing w:before="480" w:after="120" w:line="400" w:lineRule="exact"/>
      <w:outlineLvl w:val="0"/>
    </w:pPr>
    <w:rPr>
      <w:rFonts w:ascii="Verdana" w:eastAsia="Times New Roman" w:hAnsi="Verdana" w:cs="Arial"/>
      <w:color w:val="00428B"/>
      <w:sz w:val="32"/>
      <w:szCs w:val="32"/>
      <w:lang w:eastAsia="en-US"/>
    </w:rPr>
  </w:style>
  <w:style w:type="paragraph" w:customStyle="1" w:styleId="Style2">
    <w:name w:val="Style2"/>
    <w:basedOn w:val="Style1"/>
    <w:qFormat/>
    <w:rsid w:val="007C0E8E"/>
    <w:pPr>
      <w:numPr>
        <w:ilvl w:val="1"/>
      </w:numPr>
    </w:pPr>
    <w:rPr>
      <w:sz w:val="24"/>
      <w:szCs w:val="24"/>
    </w:rPr>
  </w:style>
  <w:style w:type="paragraph" w:styleId="ListParagraph">
    <w:name w:val="List Paragraph"/>
    <w:basedOn w:val="Normal"/>
    <w:uiPriority w:val="34"/>
    <w:qFormat/>
    <w:rsid w:val="00531A5D"/>
    <w:pPr>
      <w:spacing w:after="200" w:line="259" w:lineRule="auto"/>
      <w:ind w:left="720"/>
      <w:contextualSpacing/>
    </w:pPr>
    <w:rPr>
      <w:rFonts w:asciiTheme="minorHAnsi" w:hAnsiTheme="minorHAnsi" w:cstheme="minorBidi"/>
      <w:sz w:val="18"/>
      <w:szCs w:val="22"/>
      <w:lang w:eastAsia="en-US"/>
    </w:rPr>
  </w:style>
  <w:style w:type="paragraph" w:customStyle="1" w:styleId="Style1-businesscase">
    <w:name w:val="Style1 - business case"/>
    <w:basedOn w:val="Normal"/>
    <w:link w:val="Style1-businesscaseChar"/>
    <w:qFormat/>
    <w:rsid w:val="32005D51"/>
    <w:pPr>
      <w:spacing w:before="360" w:after="120"/>
      <w:ind w:left="1080" w:hanging="720"/>
      <w:outlineLvl w:val="0"/>
    </w:pPr>
    <w:rPr>
      <w:rFonts w:asciiTheme="minorHAnsi" w:eastAsia="Verdana" w:hAnsiTheme="minorHAnsi" w:cs="Arial"/>
      <w:color w:val="00428B"/>
      <w:sz w:val="32"/>
      <w:szCs w:val="32"/>
      <w:lang w:eastAsia="en-US"/>
    </w:rPr>
  </w:style>
  <w:style w:type="character" w:customStyle="1" w:styleId="Style1-businesscaseChar">
    <w:name w:val="Style1 - business case Char"/>
    <w:basedOn w:val="DefaultParagraphFont"/>
    <w:link w:val="Style1-businesscase"/>
    <w:rsid w:val="32005D51"/>
    <w:rPr>
      <w:rFonts w:asciiTheme="majorHAnsi" w:eastAsiaTheme="minorEastAsia" w:hAnsiTheme="majorHAnsi" w:cs="Arial"/>
      <w:b w:val="0"/>
      <w:bCs w:val="0"/>
      <w:color w:val="00428B"/>
      <w:sz w:val="32"/>
      <w:szCs w:val="32"/>
      <w:lang w:eastAsia="en-US"/>
    </w:rPr>
  </w:style>
  <w:style w:type="character" w:customStyle="1" w:styleId="Mention1">
    <w:name w:val="Mention1"/>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paragraph" w:styleId="Caption">
    <w:name w:val="caption"/>
    <w:basedOn w:val="Normal"/>
    <w:next w:val="Normal"/>
    <w:unhideWhenUsed/>
    <w:qFormat/>
    <w:rsid w:val="00693FA6"/>
    <w:pPr>
      <w:spacing w:after="200"/>
    </w:pPr>
    <w:rPr>
      <w:i/>
      <w:iCs/>
      <w:color w:val="44546A" w:themeColor="text2"/>
      <w:sz w:val="18"/>
      <w:szCs w:val="18"/>
    </w:rPr>
  </w:style>
  <w:style w:type="paragraph" w:customStyle="1" w:styleId="paragraph">
    <w:name w:val="paragraph"/>
    <w:basedOn w:val="Normal"/>
    <w:rsid w:val="00A524F1"/>
    <w:pPr>
      <w:spacing w:before="100" w:beforeAutospacing="1" w:after="100" w:afterAutospacing="1"/>
    </w:pPr>
    <w:rPr>
      <w:rFonts w:eastAsia="Times New Roman"/>
    </w:rPr>
  </w:style>
  <w:style w:type="character" w:customStyle="1" w:styleId="normaltextrun">
    <w:name w:val="normaltextrun"/>
    <w:basedOn w:val="DefaultParagraphFont"/>
    <w:rsid w:val="00A524F1"/>
  </w:style>
  <w:style w:type="character" w:customStyle="1" w:styleId="eop">
    <w:name w:val="eop"/>
    <w:basedOn w:val="DefaultParagraphFont"/>
    <w:rsid w:val="00A524F1"/>
  </w:style>
  <w:style w:type="character" w:customStyle="1" w:styleId="Mention">
    <w:name w:val="Mention"/>
    <w:basedOn w:val="DefaultParagraphFont"/>
    <w:uiPriority w:val="99"/>
    <w:unhideWhenUsed/>
    <w:rsid w:val="00B114A2"/>
    <w:rPr>
      <w:color w:val="2B579A"/>
      <w:shd w:val="clear" w:color="auto" w:fill="E6E6E6"/>
    </w:rPr>
  </w:style>
  <w:style w:type="paragraph" w:styleId="BodyText">
    <w:name w:val="Body Text"/>
    <w:basedOn w:val="Normal"/>
    <w:link w:val="BodyTextChar"/>
    <w:qFormat/>
    <w:rsid w:val="00E81982"/>
    <w:pPr>
      <w:tabs>
        <w:tab w:val="left" w:pos="2268"/>
        <w:tab w:val="left" w:pos="4536"/>
        <w:tab w:val="left" w:pos="6804"/>
        <w:tab w:val="right" w:pos="9638"/>
      </w:tabs>
      <w:spacing w:before="120" w:after="200" w:line="260" w:lineRule="atLeast"/>
    </w:pPr>
    <w:rPr>
      <w:rFonts w:asciiTheme="minorHAnsi" w:eastAsia="Times New Roman" w:hAnsiTheme="minorHAnsi"/>
      <w:color w:val="000000" w:themeColor="text1"/>
      <w:sz w:val="20"/>
      <w:szCs w:val="20"/>
    </w:rPr>
  </w:style>
  <w:style w:type="character" w:customStyle="1" w:styleId="BodyTextChar">
    <w:name w:val="Body Text Char"/>
    <w:basedOn w:val="DefaultParagraphFont"/>
    <w:link w:val="BodyText"/>
    <w:rsid w:val="00E81982"/>
    <w:rPr>
      <w:rFonts w:eastAsia="Times New Roman" w:cs="Times New Roman"/>
      <w:color w:val="000000" w:themeColor="text1"/>
      <w:sz w:val="20"/>
      <w:szCs w:val="20"/>
      <w:lang w:eastAsia="en-AU"/>
    </w:rPr>
  </w:style>
  <w:style w:type="paragraph" w:styleId="Revision">
    <w:name w:val="Revision"/>
    <w:hidden/>
    <w:uiPriority w:val="99"/>
    <w:semiHidden/>
    <w:rsid w:val="00E81982"/>
    <w:pPr>
      <w:spacing w:after="0" w:line="240" w:lineRule="auto"/>
    </w:pPr>
    <w:rPr>
      <w:rFonts w:ascii="Times New Roman" w:hAnsi="Times New Roman" w:cs="Times New Roman"/>
      <w:sz w:val="24"/>
      <w:szCs w:val="24"/>
      <w:lang w:eastAsia="en-AU"/>
    </w:rPr>
  </w:style>
  <w:style w:type="paragraph" w:styleId="ListNumber">
    <w:name w:val="List Number"/>
    <w:basedOn w:val="Normal"/>
    <w:uiPriority w:val="99"/>
    <w:semiHidden/>
    <w:unhideWhenUsed/>
    <w:rsid w:val="007E03C9"/>
    <w:pPr>
      <w:spacing w:after="160" w:line="252" w:lineRule="auto"/>
      <w:contextualSpacing/>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596971">
      <w:bodyDiv w:val="1"/>
      <w:marLeft w:val="0"/>
      <w:marRight w:val="0"/>
      <w:marTop w:val="0"/>
      <w:marBottom w:val="0"/>
      <w:divBdr>
        <w:top w:val="none" w:sz="0" w:space="0" w:color="auto"/>
        <w:left w:val="none" w:sz="0" w:space="0" w:color="auto"/>
        <w:bottom w:val="none" w:sz="0" w:space="0" w:color="auto"/>
        <w:right w:val="none" w:sz="0" w:space="0" w:color="auto"/>
      </w:divBdr>
    </w:div>
    <w:div w:id="764033242">
      <w:bodyDiv w:val="1"/>
      <w:marLeft w:val="0"/>
      <w:marRight w:val="0"/>
      <w:marTop w:val="0"/>
      <w:marBottom w:val="0"/>
      <w:divBdr>
        <w:top w:val="none" w:sz="0" w:space="0" w:color="auto"/>
        <w:left w:val="none" w:sz="0" w:space="0" w:color="auto"/>
        <w:bottom w:val="none" w:sz="0" w:space="0" w:color="auto"/>
        <w:right w:val="none" w:sz="0" w:space="0" w:color="auto"/>
      </w:divBdr>
    </w:div>
    <w:div w:id="1312490902">
      <w:bodyDiv w:val="1"/>
      <w:marLeft w:val="0"/>
      <w:marRight w:val="0"/>
      <w:marTop w:val="0"/>
      <w:marBottom w:val="0"/>
      <w:divBdr>
        <w:top w:val="none" w:sz="0" w:space="0" w:color="auto"/>
        <w:left w:val="none" w:sz="0" w:space="0" w:color="auto"/>
        <w:bottom w:val="none" w:sz="0" w:space="0" w:color="auto"/>
        <w:right w:val="none" w:sz="0" w:space="0" w:color="auto"/>
      </w:divBdr>
    </w:div>
    <w:div w:id="1772242950">
      <w:bodyDiv w:val="1"/>
      <w:marLeft w:val="0"/>
      <w:marRight w:val="0"/>
      <w:marTop w:val="0"/>
      <w:marBottom w:val="0"/>
      <w:divBdr>
        <w:top w:val="none" w:sz="0" w:space="0" w:color="auto"/>
        <w:left w:val="none" w:sz="0" w:space="0" w:color="auto"/>
        <w:bottom w:val="none" w:sz="0" w:space="0" w:color="auto"/>
        <w:right w:val="none" w:sz="0" w:space="0" w:color="auto"/>
      </w:divBdr>
      <w:divsChild>
        <w:div w:id="1356807183">
          <w:marLeft w:val="0"/>
          <w:marRight w:val="0"/>
          <w:marTop w:val="0"/>
          <w:marBottom w:val="0"/>
          <w:divBdr>
            <w:top w:val="none" w:sz="0" w:space="0" w:color="auto"/>
            <w:left w:val="none" w:sz="0" w:space="0" w:color="auto"/>
            <w:bottom w:val="none" w:sz="0" w:space="0" w:color="auto"/>
            <w:right w:val="none" w:sz="0" w:space="0" w:color="auto"/>
          </w:divBdr>
          <w:divsChild>
            <w:div w:id="1188980405">
              <w:marLeft w:val="0"/>
              <w:marRight w:val="0"/>
              <w:marTop w:val="0"/>
              <w:marBottom w:val="0"/>
              <w:divBdr>
                <w:top w:val="none" w:sz="0" w:space="0" w:color="auto"/>
                <w:left w:val="none" w:sz="0" w:space="0" w:color="auto"/>
                <w:bottom w:val="none" w:sz="0" w:space="0" w:color="auto"/>
                <w:right w:val="none" w:sz="0" w:space="0" w:color="auto"/>
              </w:divBdr>
            </w:div>
          </w:divsChild>
        </w:div>
        <w:div w:id="2095121683">
          <w:marLeft w:val="0"/>
          <w:marRight w:val="0"/>
          <w:marTop w:val="0"/>
          <w:marBottom w:val="0"/>
          <w:divBdr>
            <w:top w:val="none" w:sz="0" w:space="0" w:color="auto"/>
            <w:left w:val="none" w:sz="0" w:space="0" w:color="auto"/>
            <w:bottom w:val="none" w:sz="0" w:space="0" w:color="auto"/>
            <w:right w:val="none" w:sz="0" w:space="0" w:color="auto"/>
          </w:divBdr>
          <w:divsChild>
            <w:div w:id="708996754">
              <w:marLeft w:val="0"/>
              <w:marRight w:val="0"/>
              <w:marTop w:val="0"/>
              <w:marBottom w:val="0"/>
              <w:divBdr>
                <w:top w:val="none" w:sz="0" w:space="0" w:color="auto"/>
                <w:left w:val="none" w:sz="0" w:space="0" w:color="auto"/>
                <w:bottom w:val="none" w:sz="0" w:space="0" w:color="auto"/>
                <w:right w:val="none" w:sz="0" w:space="0" w:color="auto"/>
              </w:divBdr>
            </w:div>
          </w:divsChild>
        </w:div>
        <w:div w:id="2099863965">
          <w:marLeft w:val="0"/>
          <w:marRight w:val="0"/>
          <w:marTop w:val="0"/>
          <w:marBottom w:val="0"/>
          <w:divBdr>
            <w:top w:val="none" w:sz="0" w:space="0" w:color="auto"/>
            <w:left w:val="none" w:sz="0" w:space="0" w:color="auto"/>
            <w:bottom w:val="none" w:sz="0" w:space="0" w:color="auto"/>
            <w:right w:val="none" w:sz="0" w:space="0" w:color="auto"/>
          </w:divBdr>
          <w:divsChild>
            <w:div w:id="877741131">
              <w:marLeft w:val="0"/>
              <w:marRight w:val="0"/>
              <w:marTop w:val="0"/>
              <w:marBottom w:val="0"/>
              <w:divBdr>
                <w:top w:val="none" w:sz="0" w:space="0" w:color="auto"/>
                <w:left w:val="none" w:sz="0" w:space="0" w:color="auto"/>
                <w:bottom w:val="none" w:sz="0" w:space="0" w:color="auto"/>
                <w:right w:val="none" w:sz="0" w:space="0" w:color="auto"/>
              </w:divBdr>
            </w:div>
          </w:divsChild>
        </w:div>
        <w:div w:id="491259385">
          <w:marLeft w:val="0"/>
          <w:marRight w:val="0"/>
          <w:marTop w:val="0"/>
          <w:marBottom w:val="0"/>
          <w:divBdr>
            <w:top w:val="none" w:sz="0" w:space="0" w:color="auto"/>
            <w:left w:val="none" w:sz="0" w:space="0" w:color="auto"/>
            <w:bottom w:val="none" w:sz="0" w:space="0" w:color="auto"/>
            <w:right w:val="none" w:sz="0" w:space="0" w:color="auto"/>
          </w:divBdr>
          <w:divsChild>
            <w:div w:id="1946037539">
              <w:marLeft w:val="0"/>
              <w:marRight w:val="0"/>
              <w:marTop w:val="0"/>
              <w:marBottom w:val="0"/>
              <w:divBdr>
                <w:top w:val="none" w:sz="0" w:space="0" w:color="auto"/>
                <w:left w:val="none" w:sz="0" w:space="0" w:color="auto"/>
                <w:bottom w:val="none" w:sz="0" w:space="0" w:color="auto"/>
                <w:right w:val="none" w:sz="0" w:space="0" w:color="auto"/>
              </w:divBdr>
            </w:div>
          </w:divsChild>
        </w:div>
        <w:div w:id="437528863">
          <w:marLeft w:val="0"/>
          <w:marRight w:val="0"/>
          <w:marTop w:val="0"/>
          <w:marBottom w:val="0"/>
          <w:divBdr>
            <w:top w:val="none" w:sz="0" w:space="0" w:color="auto"/>
            <w:left w:val="none" w:sz="0" w:space="0" w:color="auto"/>
            <w:bottom w:val="none" w:sz="0" w:space="0" w:color="auto"/>
            <w:right w:val="none" w:sz="0" w:space="0" w:color="auto"/>
          </w:divBdr>
          <w:divsChild>
            <w:div w:id="1026635951">
              <w:marLeft w:val="0"/>
              <w:marRight w:val="0"/>
              <w:marTop w:val="0"/>
              <w:marBottom w:val="0"/>
              <w:divBdr>
                <w:top w:val="none" w:sz="0" w:space="0" w:color="auto"/>
                <w:left w:val="none" w:sz="0" w:space="0" w:color="auto"/>
                <w:bottom w:val="none" w:sz="0" w:space="0" w:color="auto"/>
                <w:right w:val="none" w:sz="0" w:space="0" w:color="auto"/>
              </w:divBdr>
            </w:div>
          </w:divsChild>
        </w:div>
        <w:div w:id="1912958682">
          <w:marLeft w:val="0"/>
          <w:marRight w:val="0"/>
          <w:marTop w:val="0"/>
          <w:marBottom w:val="0"/>
          <w:divBdr>
            <w:top w:val="none" w:sz="0" w:space="0" w:color="auto"/>
            <w:left w:val="none" w:sz="0" w:space="0" w:color="auto"/>
            <w:bottom w:val="none" w:sz="0" w:space="0" w:color="auto"/>
            <w:right w:val="none" w:sz="0" w:space="0" w:color="auto"/>
          </w:divBdr>
          <w:divsChild>
            <w:div w:id="202987519">
              <w:marLeft w:val="0"/>
              <w:marRight w:val="0"/>
              <w:marTop w:val="0"/>
              <w:marBottom w:val="0"/>
              <w:divBdr>
                <w:top w:val="none" w:sz="0" w:space="0" w:color="auto"/>
                <w:left w:val="none" w:sz="0" w:space="0" w:color="auto"/>
                <w:bottom w:val="none" w:sz="0" w:space="0" w:color="auto"/>
                <w:right w:val="none" w:sz="0" w:space="0" w:color="auto"/>
              </w:divBdr>
            </w:div>
          </w:divsChild>
        </w:div>
        <w:div w:id="234559297">
          <w:marLeft w:val="0"/>
          <w:marRight w:val="0"/>
          <w:marTop w:val="0"/>
          <w:marBottom w:val="0"/>
          <w:divBdr>
            <w:top w:val="none" w:sz="0" w:space="0" w:color="auto"/>
            <w:left w:val="none" w:sz="0" w:space="0" w:color="auto"/>
            <w:bottom w:val="none" w:sz="0" w:space="0" w:color="auto"/>
            <w:right w:val="none" w:sz="0" w:space="0" w:color="auto"/>
          </w:divBdr>
          <w:divsChild>
            <w:div w:id="1165364682">
              <w:marLeft w:val="0"/>
              <w:marRight w:val="0"/>
              <w:marTop w:val="0"/>
              <w:marBottom w:val="0"/>
              <w:divBdr>
                <w:top w:val="none" w:sz="0" w:space="0" w:color="auto"/>
                <w:left w:val="none" w:sz="0" w:space="0" w:color="auto"/>
                <w:bottom w:val="none" w:sz="0" w:space="0" w:color="auto"/>
                <w:right w:val="none" w:sz="0" w:space="0" w:color="auto"/>
              </w:divBdr>
            </w:div>
          </w:divsChild>
        </w:div>
        <w:div w:id="1424451720">
          <w:marLeft w:val="0"/>
          <w:marRight w:val="0"/>
          <w:marTop w:val="0"/>
          <w:marBottom w:val="0"/>
          <w:divBdr>
            <w:top w:val="none" w:sz="0" w:space="0" w:color="auto"/>
            <w:left w:val="none" w:sz="0" w:space="0" w:color="auto"/>
            <w:bottom w:val="none" w:sz="0" w:space="0" w:color="auto"/>
            <w:right w:val="none" w:sz="0" w:space="0" w:color="auto"/>
          </w:divBdr>
          <w:divsChild>
            <w:div w:id="638724475">
              <w:marLeft w:val="0"/>
              <w:marRight w:val="0"/>
              <w:marTop w:val="0"/>
              <w:marBottom w:val="0"/>
              <w:divBdr>
                <w:top w:val="none" w:sz="0" w:space="0" w:color="auto"/>
                <w:left w:val="none" w:sz="0" w:space="0" w:color="auto"/>
                <w:bottom w:val="none" w:sz="0" w:space="0" w:color="auto"/>
                <w:right w:val="none" w:sz="0" w:space="0" w:color="auto"/>
              </w:divBdr>
            </w:div>
          </w:divsChild>
        </w:div>
        <w:div w:id="337126155">
          <w:marLeft w:val="0"/>
          <w:marRight w:val="0"/>
          <w:marTop w:val="0"/>
          <w:marBottom w:val="0"/>
          <w:divBdr>
            <w:top w:val="none" w:sz="0" w:space="0" w:color="auto"/>
            <w:left w:val="none" w:sz="0" w:space="0" w:color="auto"/>
            <w:bottom w:val="none" w:sz="0" w:space="0" w:color="auto"/>
            <w:right w:val="none" w:sz="0" w:space="0" w:color="auto"/>
          </w:divBdr>
          <w:divsChild>
            <w:div w:id="1331837423">
              <w:marLeft w:val="0"/>
              <w:marRight w:val="0"/>
              <w:marTop w:val="0"/>
              <w:marBottom w:val="0"/>
              <w:divBdr>
                <w:top w:val="none" w:sz="0" w:space="0" w:color="auto"/>
                <w:left w:val="none" w:sz="0" w:space="0" w:color="auto"/>
                <w:bottom w:val="none" w:sz="0" w:space="0" w:color="auto"/>
                <w:right w:val="none" w:sz="0" w:space="0" w:color="auto"/>
              </w:divBdr>
            </w:div>
          </w:divsChild>
        </w:div>
        <w:div w:id="3745440">
          <w:marLeft w:val="0"/>
          <w:marRight w:val="0"/>
          <w:marTop w:val="0"/>
          <w:marBottom w:val="0"/>
          <w:divBdr>
            <w:top w:val="none" w:sz="0" w:space="0" w:color="auto"/>
            <w:left w:val="none" w:sz="0" w:space="0" w:color="auto"/>
            <w:bottom w:val="none" w:sz="0" w:space="0" w:color="auto"/>
            <w:right w:val="none" w:sz="0" w:space="0" w:color="auto"/>
          </w:divBdr>
          <w:divsChild>
            <w:div w:id="25914756">
              <w:marLeft w:val="0"/>
              <w:marRight w:val="0"/>
              <w:marTop w:val="0"/>
              <w:marBottom w:val="0"/>
              <w:divBdr>
                <w:top w:val="none" w:sz="0" w:space="0" w:color="auto"/>
                <w:left w:val="none" w:sz="0" w:space="0" w:color="auto"/>
                <w:bottom w:val="none" w:sz="0" w:space="0" w:color="auto"/>
                <w:right w:val="none" w:sz="0" w:space="0" w:color="auto"/>
              </w:divBdr>
            </w:div>
          </w:divsChild>
        </w:div>
        <w:div w:id="1593973269">
          <w:marLeft w:val="0"/>
          <w:marRight w:val="0"/>
          <w:marTop w:val="0"/>
          <w:marBottom w:val="0"/>
          <w:divBdr>
            <w:top w:val="none" w:sz="0" w:space="0" w:color="auto"/>
            <w:left w:val="none" w:sz="0" w:space="0" w:color="auto"/>
            <w:bottom w:val="none" w:sz="0" w:space="0" w:color="auto"/>
            <w:right w:val="none" w:sz="0" w:space="0" w:color="auto"/>
          </w:divBdr>
          <w:divsChild>
            <w:div w:id="1772553736">
              <w:marLeft w:val="0"/>
              <w:marRight w:val="0"/>
              <w:marTop w:val="0"/>
              <w:marBottom w:val="0"/>
              <w:divBdr>
                <w:top w:val="none" w:sz="0" w:space="0" w:color="auto"/>
                <w:left w:val="none" w:sz="0" w:space="0" w:color="auto"/>
                <w:bottom w:val="none" w:sz="0" w:space="0" w:color="auto"/>
                <w:right w:val="none" w:sz="0" w:space="0" w:color="auto"/>
              </w:divBdr>
            </w:div>
          </w:divsChild>
        </w:div>
        <w:div w:id="1990353829">
          <w:marLeft w:val="0"/>
          <w:marRight w:val="0"/>
          <w:marTop w:val="0"/>
          <w:marBottom w:val="0"/>
          <w:divBdr>
            <w:top w:val="none" w:sz="0" w:space="0" w:color="auto"/>
            <w:left w:val="none" w:sz="0" w:space="0" w:color="auto"/>
            <w:bottom w:val="none" w:sz="0" w:space="0" w:color="auto"/>
            <w:right w:val="none" w:sz="0" w:space="0" w:color="auto"/>
          </w:divBdr>
          <w:divsChild>
            <w:div w:id="664171197">
              <w:marLeft w:val="0"/>
              <w:marRight w:val="0"/>
              <w:marTop w:val="0"/>
              <w:marBottom w:val="0"/>
              <w:divBdr>
                <w:top w:val="none" w:sz="0" w:space="0" w:color="auto"/>
                <w:left w:val="none" w:sz="0" w:space="0" w:color="auto"/>
                <w:bottom w:val="none" w:sz="0" w:space="0" w:color="auto"/>
                <w:right w:val="none" w:sz="0" w:space="0" w:color="auto"/>
              </w:divBdr>
            </w:div>
          </w:divsChild>
        </w:div>
        <w:div w:id="1596788177">
          <w:marLeft w:val="0"/>
          <w:marRight w:val="0"/>
          <w:marTop w:val="0"/>
          <w:marBottom w:val="0"/>
          <w:divBdr>
            <w:top w:val="none" w:sz="0" w:space="0" w:color="auto"/>
            <w:left w:val="none" w:sz="0" w:space="0" w:color="auto"/>
            <w:bottom w:val="none" w:sz="0" w:space="0" w:color="auto"/>
            <w:right w:val="none" w:sz="0" w:space="0" w:color="auto"/>
          </w:divBdr>
          <w:divsChild>
            <w:div w:id="1532843480">
              <w:marLeft w:val="0"/>
              <w:marRight w:val="0"/>
              <w:marTop w:val="0"/>
              <w:marBottom w:val="0"/>
              <w:divBdr>
                <w:top w:val="none" w:sz="0" w:space="0" w:color="auto"/>
                <w:left w:val="none" w:sz="0" w:space="0" w:color="auto"/>
                <w:bottom w:val="none" w:sz="0" w:space="0" w:color="auto"/>
                <w:right w:val="none" w:sz="0" w:space="0" w:color="auto"/>
              </w:divBdr>
            </w:div>
          </w:divsChild>
        </w:div>
        <w:div w:id="1355884629">
          <w:marLeft w:val="0"/>
          <w:marRight w:val="0"/>
          <w:marTop w:val="0"/>
          <w:marBottom w:val="0"/>
          <w:divBdr>
            <w:top w:val="none" w:sz="0" w:space="0" w:color="auto"/>
            <w:left w:val="none" w:sz="0" w:space="0" w:color="auto"/>
            <w:bottom w:val="none" w:sz="0" w:space="0" w:color="auto"/>
            <w:right w:val="none" w:sz="0" w:space="0" w:color="auto"/>
          </w:divBdr>
          <w:divsChild>
            <w:div w:id="478231658">
              <w:marLeft w:val="0"/>
              <w:marRight w:val="0"/>
              <w:marTop w:val="0"/>
              <w:marBottom w:val="0"/>
              <w:divBdr>
                <w:top w:val="none" w:sz="0" w:space="0" w:color="auto"/>
                <w:left w:val="none" w:sz="0" w:space="0" w:color="auto"/>
                <w:bottom w:val="none" w:sz="0" w:space="0" w:color="auto"/>
                <w:right w:val="none" w:sz="0" w:space="0" w:color="auto"/>
              </w:divBdr>
            </w:div>
          </w:divsChild>
        </w:div>
        <w:div w:id="142158572">
          <w:marLeft w:val="0"/>
          <w:marRight w:val="0"/>
          <w:marTop w:val="0"/>
          <w:marBottom w:val="0"/>
          <w:divBdr>
            <w:top w:val="none" w:sz="0" w:space="0" w:color="auto"/>
            <w:left w:val="none" w:sz="0" w:space="0" w:color="auto"/>
            <w:bottom w:val="none" w:sz="0" w:space="0" w:color="auto"/>
            <w:right w:val="none" w:sz="0" w:space="0" w:color="auto"/>
          </w:divBdr>
          <w:divsChild>
            <w:div w:id="1617717589">
              <w:marLeft w:val="0"/>
              <w:marRight w:val="0"/>
              <w:marTop w:val="0"/>
              <w:marBottom w:val="0"/>
              <w:divBdr>
                <w:top w:val="none" w:sz="0" w:space="0" w:color="auto"/>
                <w:left w:val="none" w:sz="0" w:space="0" w:color="auto"/>
                <w:bottom w:val="none" w:sz="0" w:space="0" w:color="auto"/>
                <w:right w:val="none" w:sz="0" w:space="0" w:color="auto"/>
              </w:divBdr>
            </w:div>
          </w:divsChild>
        </w:div>
        <w:div w:id="1653293106">
          <w:marLeft w:val="0"/>
          <w:marRight w:val="0"/>
          <w:marTop w:val="0"/>
          <w:marBottom w:val="0"/>
          <w:divBdr>
            <w:top w:val="none" w:sz="0" w:space="0" w:color="auto"/>
            <w:left w:val="none" w:sz="0" w:space="0" w:color="auto"/>
            <w:bottom w:val="none" w:sz="0" w:space="0" w:color="auto"/>
            <w:right w:val="none" w:sz="0" w:space="0" w:color="auto"/>
          </w:divBdr>
          <w:divsChild>
            <w:div w:id="845023642">
              <w:marLeft w:val="0"/>
              <w:marRight w:val="0"/>
              <w:marTop w:val="0"/>
              <w:marBottom w:val="0"/>
              <w:divBdr>
                <w:top w:val="none" w:sz="0" w:space="0" w:color="auto"/>
                <w:left w:val="none" w:sz="0" w:space="0" w:color="auto"/>
                <w:bottom w:val="none" w:sz="0" w:space="0" w:color="auto"/>
                <w:right w:val="none" w:sz="0" w:space="0" w:color="auto"/>
              </w:divBdr>
            </w:div>
          </w:divsChild>
        </w:div>
        <w:div w:id="1387416178">
          <w:marLeft w:val="0"/>
          <w:marRight w:val="0"/>
          <w:marTop w:val="0"/>
          <w:marBottom w:val="0"/>
          <w:divBdr>
            <w:top w:val="none" w:sz="0" w:space="0" w:color="auto"/>
            <w:left w:val="none" w:sz="0" w:space="0" w:color="auto"/>
            <w:bottom w:val="none" w:sz="0" w:space="0" w:color="auto"/>
            <w:right w:val="none" w:sz="0" w:space="0" w:color="auto"/>
          </w:divBdr>
          <w:divsChild>
            <w:div w:id="1594051761">
              <w:marLeft w:val="0"/>
              <w:marRight w:val="0"/>
              <w:marTop w:val="0"/>
              <w:marBottom w:val="0"/>
              <w:divBdr>
                <w:top w:val="none" w:sz="0" w:space="0" w:color="auto"/>
                <w:left w:val="none" w:sz="0" w:space="0" w:color="auto"/>
                <w:bottom w:val="none" w:sz="0" w:space="0" w:color="auto"/>
                <w:right w:val="none" w:sz="0" w:space="0" w:color="auto"/>
              </w:divBdr>
            </w:div>
          </w:divsChild>
        </w:div>
        <w:div w:id="491914623">
          <w:marLeft w:val="0"/>
          <w:marRight w:val="0"/>
          <w:marTop w:val="0"/>
          <w:marBottom w:val="0"/>
          <w:divBdr>
            <w:top w:val="none" w:sz="0" w:space="0" w:color="auto"/>
            <w:left w:val="none" w:sz="0" w:space="0" w:color="auto"/>
            <w:bottom w:val="none" w:sz="0" w:space="0" w:color="auto"/>
            <w:right w:val="none" w:sz="0" w:space="0" w:color="auto"/>
          </w:divBdr>
          <w:divsChild>
            <w:div w:id="291863121">
              <w:marLeft w:val="0"/>
              <w:marRight w:val="0"/>
              <w:marTop w:val="0"/>
              <w:marBottom w:val="0"/>
              <w:divBdr>
                <w:top w:val="none" w:sz="0" w:space="0" w:color="auto"/>
                <w:left w:val="none" w:sz="0" w:space="0" w:color="auto"/>
                <w:bottom w:val="none" w:sz="0" w:space="0" w:color="auto"/>
                <w:right w:val="none" w:sz="0" w:space="0" w:color="auto"/>
              </w:divBdr>
            </w:div>
          </w:divsChild>
        </w:div>
        <w:div w:id="1521897881">
          <w:marLeft w:val="0"/>
          <w:marRight w:val="0"/>
          <w:marTop w:val="0"/>
          <w:marBottom w:val="0"/>
          <w:divBdr>
            <w:top w:val="none" w:sz="0" w:space="0" w:color="auto"/>
            <w:left w:val="none" w:sz="0" w:space="0" w:color="auto"/>
            <w:bottom w:val="none" w:sz="0" w:space="0" w:color="auto"/>
            <w:right w:val="none" w:sz="0" w:space="0" w:color="auto"/>
          </w:divBdr>
          <w:divsChild>
            <w:div w:id="1773086708">
              <w:marLeft w:val="0"/>
              <w:marRight w:val="0"/>
              <w:marTop w:val="0"/>
              <w:marBottom w:val="0"/>
              <w:divBdr>
                <w:top w:val="none" w:sz="0" w:space="0" w:color="auto"/>
                <w:left w:val="none" w:sz="0" w:space="0" w:color="auto"/>
                <w:bottom w:val="none" w:sz="0" w:space="0" w:color="auto"/>
                <w:right w:val="none" w:sz="0" w:space="0" w:color="auto"/>
              </w:divBdr>
            </w:div>
          </w:divsChild>
        </w:div>
        <w:div w:id="579364675">
          <w:marLeft w:val="0"/>
          <w:marRight w:val="0"/>
          <w:marTop w:val="0"/>
          <w:marBottom w:val="0"/>
          <w:divBdr>
            <w:top w:val="none" w:sz="0" w:space="0" w:color="auto"/>
            <w:left w:val="none" w:sz="0" w:space="0" w:color="auto"/>
            <w:bottom w:val="none" w:sz="0" w:space="0" w:color="auto"/>
            <w:right w:val="none" w:sz="0" w:space="0" w:color="auto"/>
          </w:divBdr>
          <w:divsChild>
            <w:div w:id="1896234179">
              <w:marLeft w:val="0"/>
              <w:marRight w:val="0"/>
              <w:marTop w:val="0"/>
              <w:marBottom w:val="0"/>
              <w:divBdr>
                <w:top w:val="none" w:sz="0" w:space="0" w:color="auto"/>
                <w:left w:val="none" w:sz="0" w:space="0" w:color="auto"/>
                <w:bottom w:val="none" w:sz="0" w:space="0" w:color="auto"/>
                <w:right w:val="none" w:sz="0" w:space="0" w:color="auto"/>
              </w:divBdr>
            </w:div>
          </w:divsChild>
        </w:div>
        <w:div w:id="947930536">
          <w:marLeft w:val="0"/>
          <w:marRight w:val="0"/>
          <w:marTop w:val="0"/>
          <w:marBottom w:val="0"/>
          <w:divBdr>
            <w:top w:val="none" w:sz="0" w:space="0" w:color="auto"/>
            <w:left w:val="none" w:sz="0" w:space="0" w:color="auto"/>
            <w:bottom w:val="none" w:sz="0" w:space="0" w:color="auto"/>
            <w:right w:val="none" w:sz="0" w:space="0" w:color="auto"/>
          </w:divBdr>
          <w:divsChild>
            <w:div w:id="650789260">
              <w:marLeft w:val="0"/>
              <w:marRight w:val="0"/>
              <w:marTop w:val="0"/>
              <w:marBottom w:val="0"/>
              <w:divBdr>
                <w:top w:val="none" w:sz="0" w:space="0" w:color="auto"/>
                <w:left w:val="none" w:sz="0" w:space="0" w:color="auto"/>
                <w:bottom w:val="none" w:sz="0" w:space="0" w:color="auto"/>
                <w:right w:val="none" w:sz="0" w:space="0" w:color="auto"/>
              </w:divBdr>
            </w:div>
          </w:divsChild>
        </w:div>
        <w:div w:id="1606839323">
          <w:marLeft w:val="0"/>
          <w:marRight w:val="0"/>
          <w:marTop w:val="0"/>
          <w:marBottom w:val="0"/>
          <w:divBdr>
            <w:top w:val="none" w:sz="0" w:space="0" w:color="auto"/>
            <w:left w:val="none" w:sz="0" w:space="0" w:color="auto"/>
            <w:bottom w:val="none" w:sz="0" w:space="0" w:color="auto"/>
            <w:right w:val="none" w:sz="0" w:space="0" w:color="auto"/>
          </w:divBdr>
          <w:divsChild>
            <w:div w:id="1551847619">
              <w:marLeft w:val="0"/>
              <w:marRight w:val="0"/>
              <w:marTop w:val="0"/>
              <w:marBottom w:val="0"/>
              <w:divBdr>
                <w:top w:val="none" w:sz="0" w:space="0" w:color="auto"/>
                <w:left w:val="none" w:sz="0" w:space="0" w:color="auto"/>
                <w:bottom w:val="none" w:sz="0" w:space="0" w:color="auto"/>
                <w:right w:val="none" w:sz="0" w:space="0" w:color="auto"/>
              </w:divBdr>
            </w:div>
          </w:divsChild>
        </w:div>
        <w:div w:id="1583174112">
          <w:marLeft w:val="0"/>
          <w:marRight w:val="0"/>
          <w:marTop w:val="0"/>
          <w:marBottom w:val="0"/>
          <w:divBdr>
            <w:top w:val="none" w:sz="0" w:space="0" w:color="auto"/>
            <w:left w:val="none" w:sz="0" w:space="0" w:color="auto"/>
            <w:bottom w:val="none" w:sz="0" w:space="0" w:color="auto"/>
            <w:right w:val="none" w:sz="0" w:space="0" w:color="auto"/>
          </w:divBdr>
          <w:divsChild>
            <w:div w:id="10911562">
              <w:marLeft w:val="0"/>
              <w:marRight w:val="0"/>
              <w:marTop w:val="0"/>
              <w:marBottom w:val="0"/>
              <w:divBdr>
                <w:top w:val="none" w:sz="0" w:space="0" w:color="auto"/>
                <w:left w:val="none" w:sz="0" w:space="0" w:color="auto"/>
                <w:bottom w:val="none" w:sz="0" w:space="0" w:color="auto"/>
                <w:right w:val="none" w:sz="0" w:space="0" w:color="auto"/>
              </w:divBdr>
            </w:div>
          </w:divsChild>
        </w:div>
        <w:div w:id="1573805985">
          <w:marLeft w:val="0"/>
          <w:marRight w:val="0"/>
          <w:marTop w:val="0"/>
          <w:marBottom w:val="0"/>
          <w:divBdr>
            <w:top w:val="none" w:sz="0" w:space="0" w:color="auto"/>
            <w:left w:val="none" w:sz="0" w:space="0" w:color="auto"/>
            <w:bottom w:val="none" w:sz="0" w:space="0" w:color="auto"/>
            <w:right w:val="none" w:sz="0" w:space="0" w:color="auto"/>
          </w:divBdr>
          <w:divsChild>
            <w:div w:id="422605064">
              <w:marLeft w:val="0"/>
              <w:marRight w:val="0"/>
              <w:marTop w:val="0"/>
              <w:marBottom w:val="0"/>
              <w:divBdr>
                <w:top w:val="none" w:sz="0" w:space="0" w:color="auto"/>
                <w:left w:val="none" w:sz="0" w:space="0" w:color="auto"/>
                <w:bottom w:val="none" w:sz="0" w:space="0" w:color="auto"/>
                <w:right w:val="none" w:sz="0" w:space="0" w:color="auto"/>
              </w:divBdr>
            </w:div>
          </w:divsChild>
        </w:div>
        <w:div w:id="854467677">
          <w:marLeft w:val="0"/>
          <w:marRight w:val="0"/>
          <w:marTop w:val="0"/>
          <w:marBottom w:val="0"/>
          <w:divBdr>
            <w:top w:val="none" w:sz="0" w:space="0" w:color="auto"/>
            <w:left w:val="none" w:sz="0" w:space="0" w:color="auto"/>
            <w:bottom w:val="none" w:sz="0" w:space="0" w:color="auto"/>
            <w:right w:val="none" w:sz="0" w:space="0" w:color="auto"/>
          </w:divBdr>
          <w:divsChild>
            <w:div w:id="1496261386">
              <w:marLeft w:val="0"/>
              <w:marRight w:val="0"/>
              <w:marTop w:val="0"/>
              <w:marBottom w:val="0"/>
              <w:divBdr>
                <w:top w:val="none" w:sz="0" w:space="0" w:color="auto"/>
                <w:left w:val="none" w:sz="0" w:space="0" w:color="auto"/>
                <w:bottom w:val="none" w:sz="0" w:space="0" w:color="auto"/>
                <w:right w:val="none" w:sz="0" w:space="0" w:color="auto"/>
              </w:divBdr>
            </w:div>
            <w:div w:id="1324117044">
              <w:marLeft w:val="0"/>
              <w:marRight w:val="0"/>
              <w:marTop w:val="0"/>
              <w:marBottom w:val="0"/>
              <w:divBdr>
                <w:top w:val="none" w:sz="0" w:space="0" w:color="auto"/>
                <w:left w:val="none" w:sz="0" w:space="0" w:color="auto"/>
                <w:bottom w:val="none" w:sz="0" w:space="0" w:color="auto"/>
                <w:right w:val="none" w:sz="0" w:space="0" w:color="auto"/>
              </w:divBdr>
            </w:div>
          </w:divsChild>
        </w:div>
        <w:div w:id="983238636">
          <w:marLeft w:val="0"/>
          <w:marRight w:val="0"/>
          <w:marTop w:val="0"/>
          <w:marBottom w:val="0"/>
          <w:divBdr>
            <w:top w:val="none" w:sz="0" w:space="0" w:color="auto"/>
            <w:left w:val="none" w:sz="0" w:space="0" w:color="auto"/>
            <w:bottom w:val="none" w:sz="0" w:space="0" w:color="auto"/>
            <w:right w:val="none" w:sz="0" w:space="0" w:color="auto"/>
          </w:divBdr>
          <w:divsChild>
            <w:div w:id="200091552">
              <w:marLeft w:val="0"/>
              <w:marRight w:val="0"/>
              <w:marTop w:val="0"/>
              <w:marBottom w:val="0"/>
              <w:divBdr>
                <w:top w:val="none" w:sz="0" w:space="0" w:color="auto"/>
                <w:left w:val="none" w:sz="0" w:space="0" w:color="auto"/>
                <w:bottom w:val="none" w:sz="0" w:space="0" w:color="auto"/>
                <w:right w:val="none" w:sz="0" w:space="0" w:color="auto"/>
              </w:divBdr>
            </w:div>
          </w:divsChild>
        </w:div>
        <w:div w:id="853109146">
          <w:marLeft w:val="0"/>
          <w:marRight w:val="0"/>
          <w:marTop w:val="0"/>
          <w:marBottom w:val="0"/>
          <w:divBdr>
            <w:top w:val="none" w:sz="0" w:space="0" w:color="auto"/>
            <w:left w:val="none" w:sz="0" w:space="0" w:color="auto"/>
            <w:bottom w:val="none" w:sz="0" w:space="0" w:color="auto"/>
            <w:right w:val="none" w:sz="0" w:space="0" w:color="auto"/>
          </w:divBdr>
          <w:divsChild>
            <w:div w:id="1755467229">
              <w:marLeft w:val="0"/>
              <w:marRight w:val="0"/>
              <w:marTop w:val="0"/>
              <w:marBottom w:val="0"/>
              <w:divBdr>
                <w:top w:val="none" w:sz="0" w:space="0" w:color="auto"/>
                <w:left w:val="none" w:sz="0" w:space="0" w:color="auto"/>
                <w:bottom w:val="none" w:sz="0" w:space="0" w:color="auto"/>
                <w:right w:val="none" w:sz="0" w:space="0" w:color="auto"/>
              </w:divBdr>
            </w:div>
          </w:divsChild>
        </w:div>
        <w:div w:id="1667131735">
          <w:marLeft w:val="0"/>
          <w:marRight w:val="0"/>
          <w:marTop w:val="0"/>
          <w:marBottom w:val="0"/>
          <w:divBdr>
            <w:top w:val="none" w:sz="0" w:space="0" w:color="auto"/>
            <w:left w:val="none" w:sz="0" w:space="0" w:color="auto"/>
            <w:bottom w:val="none" w:sz="0" w:space="0" w:color="auto"/>
            <w:right w:val="none" w:sz="0" w:space="0" w:color="auto"/>
          </w:divBdr>
          <w:divsChild>
            <w:div w:id="1702242990">
              <w:marLeft w:val="0"/>
              <w:marRight w:val="0"/>
              <w:marTop w:val="0"/>
              <w:marBottom w:val="0"/>
              <w:divBdr>
                <w:top w:val="none" w:sz="0" w:space="0" w:color="auto"/>
                <w:left w:val="none" w:sz="0" w:space="0" w:color="auto"/>
                <w:bottom w:val="none" w:sz="0" w:space="0" w:color="auto"/>
                <w:right w:val="none" w:sz="0" w:space="0" w:color="auto"/>
              </w:divBdr>
            </w:div>
          </w:divsChild>
        </w:div>
        <w:div w:id="756439113">
          <w:marLeft w:val="0"/>
          <w:marRight w:val="0"/>
          <w:marTop w:val="0"/>
          <w:marBottom w:val="0"/>
          <w:divBdr>
            <w:top w:val="none" w:sz="0" w:space="0" w:color="auto"/>
            <w:left w:val="none" w:sz="0" w:space="0" w:color="auto"/>
            <w:bottom w:val="none" w:sz="0" w:space="0" w:color="auto"/>
            <w:right w:val="none" w:sz="0" w:space="0" w:color="auto"/>
          </w:divBdr>
          <w:divsChild>
            <w:div w:id="1279290603">
              <w:marLeft w:val="0"/>
              <w:marRight w:val="0"/>
              <w:marTop w:val="0"/>
              <w:marBottom w:val="0"/>
              <w:divBdr>
                <w:top w:val="none" w:sz="0" w:space="0" w:color="auto"/>
                <w:left w:val="none" w:sz="0" w:space="0" w:color="auto"/>
                <w:bottom w:val="none" w:sz="0" w:space="0" w:color="auto"/>
                <w:right w:val="none" w:sz="0" w:space="0" w:color="auto"/>
              </w:divBdr>
            </w:div>
          </w:divsChild>
        </w:div>
        <w:div w:id="1444225972">
          <w:marLeft w:val="0"/>
          <w:marRight w:val="0"/>
          <w:marTop w:val="0"/>
          <w:marBottom w:val="0"/>
          <w:divBdr>
            <w:top w:val="none" w:sz="0" w:space="0" w:color="auto"/>
            <w:left w:val="none" w:sz="0" w:space="0" w:color="auto"/>
            <w:bottom w:val="none" w:sz="0" w:space="0" w:color="auto"/>
            <w:right w:val="none" w:sz="0" w:space="0" w:color="auto"/>
          </w:divBdr>
          <w:divsChild>
            <w:div w:id="2100447756">
              <w:marLeft w:val="0"/>
              <w:marRight w:val="0"/>
              <w:marTop w:val="0"/>
              <w:marBottom w:val="0"/>
              <w:divBdr>
                <w:top w:val="none" w:sz="0" w:space="0" w:color="auto"/>
                <w:left w:val="none" w:sz="0" w:space="0" w:color="auto"/>
                <w:bottom w:val="none" w:sz="0" w:space="0" w:color="auto"/>
                <w:right w:val="none" w:sz="0" w:space="0" w:color="auto"/>
              </w:divBdr>
            </w:div>
          </w:divsChild>
        </w:div>
        <w:div w:id="1705326113">
          <w:marLeft w:val="0"/>
          <w:marRight w:val="0"/>
          <w:marTop w:val="0"/>
          <w:marBottom w:val="0"/>
          <w:divBdr>
            <w:top w:val="none" w:sz="0" w:space="0" w:color="auto"/>
            <w:left w:val="none" w:sz="0" w:space="0" w:color="auto"/>
            <w:bottom w:val="none" w:sz="0" w:space="0" w:color="auto"/>
            <w:right w:val="none" w:sz="0" w:space="0" w:color="auto"/>
          </w:divBdr>
          <w:divsChild>
            <w:div w:id="987899877">
              <w:marLeft w:val="0"/>
              <w:marRight w:val="0"/>
              <w:marTop w:val="0"/>
              <w:marBottom w:val="0"/>
              <w:divBdr>
                <w:top w:val="none" w:sz="0" w:space="0" w:color="auto"/>
                <w:left w:val="none" w:sz="0" w:space="0" w:color="auto"/>
                <w:bottom w:val="none" w:sz="0" w:space="0" w:color="auto"/>
                <w:right w:val="none" w:sz="0" w:space="0" w:color="auto"/>
              </w:divBdr>
            </w:div>
            <w:div w:id="94639528">
              <w:marLeft w:val="0"/>
              <w:marRight w:val="0"/>
              <w:marTop w:val="0"/>
              <w:marBottom w:val="0"/>
              <w:divBdr>
                <w:top w:val="none" w:sz="0" w:space="0" w:color="auto"/>
                <w:left w:val="none" w:sz="0" w:space="0" w:color="auto"/>
                <w:bottom w:val="none" w:sz="0" w:space="0" w:color="auto"/>
                <w:right w:val="none" w:sz="0" w:space="0" w:color="auto"/>
              </w:divBdr>
            </w:div>
          </w:divsChild>
        </w:div>
        <w:div w:id="1998193081">
          <w:marLeft w:val="0"/>
          <w:marRight w:val="0"/>
          <w:marTop w:val="0"/>
          <w:marBottom w:val="0"/>
          <w:divBdr>
            <w:top w:val="none" w:sz="0" w:space="0" w:color="auto"/>
            <w:left w:val="none" w:sz="0" w:space="0" w:color="auto"/>
            <w:bottom w:val="none" w:sz="0" w:space="0" w:color="auto"/>
            <w:right w:val="none" w:sz="0" w:space="0" w:color="auto"/>
          </w:divBdr>
          <w:divsChild>
            <w:div w:id="608197998">
              <w:marLeft w:val="0"/>
              <w:marRight w:val="0"/>
              <w:marTop w:val="0"/>
              <w:marBottom w:val="0"/>
              <w:divBdr>
                <w:top w:val="none" w:sz="0" w:space="0" w:color="auto"/>
                <w:left w:val="none" w:sz="0" w:space="0" w:color="auto"/>
                <w:bottom w:val="none" w:sz="0" w:space="0" w:color="auto"/>
                <w:right w:val="none" w:sz="0" w:space="0" w:color="auto"/>
              </w:divBdr>
            </w:div>
          </w:divsChild>
        </w:div>
        <w:div w:id="1197891333">
          <w:marLeft w:val="0"/>
          <w:marRight w:val="0"/>
          <w:marTop w:val="0"/>
          <w:marBottom w:val="0"/>
          <w:divBdr>
            <w:top w:val="none" w:sz="0" w:space="0" w:color="auto"/>
            <w:left w:val="none" w:sz="0" w:space="0" w:color="auto"/>
            <w:bottom w:val="none" w:sz="0" w:space="0" w:color="auto"/>
            <w:right w:val="none" w:sz="0" w:space="0" w:color="auto"/>
          </w:divBdr>
          <w:divsChild>
            <w:div w:id="244000359">
              <w:marLeft w:val="0"/>
              <w:marRight w:val="0"/>
              <w:marTop w:val="0"/>
              <w:marBottom w:val="0"/>
              <w:divBdr>
                <w:top w:val="none" w:sz="0" w:space="0" w:color="auto"/>
                <w:left w:val="none" w:sz="0" w:space="0" w:color="auto"/>
                <w:bottom w:val="none" w:sz="0" w:space="0" w:color="auto"/>
                <w:right w:val="none" w:sz="0" w:space="0" w:color="auto"/>
              </w:divBdr>
            </w:div>
          </w:divsChild>
        </w:div>
        <w:div w:id="1085802561">
          <w:marLeft w:val="0"/>
          <w:marRight w:val="0"/>
          <w:marTop w:val="0"/>
          <w:marBottom w:val="0"/>
          <w:divBdr>
            <w:top w:val="none" w:sz="0" w:space="0" w:color="auto"/>
            <w:left w:val="none" w:sz="0" w:space="0" w:color="auto"/>
            <w:bottom w:val="none" w:sz="0" w:space="0" w:color="auto"/>
            <w:right w:val="none" w:sz="0" w:space="0" w:color="auto"/>
          </w:divBdr>
          <w:divsChild>
            <w:div w:id="1530803385">
              <w:marLeft w:val="0"/>
              <w:marRight w:val="0"/>
              <w:marTop w:val="0"/>
              <w:marBottom w:val="0"/>
              <w:divBdr>
                <w:top w:val="none" w:sz="0" w:space="0" w:color="auto"/>
                <w:left w:val="none" w:sz="0" w:space="0" w:color="auto"/>
                <w:bottom w:val="none" w:sz="0" w:space="0" w:color="auto"/>
                <w:right w:val="none" w:sz="0" w:space="0" w:color="auto"/>
              </w:divBdr>
            </w:div>
          </w:divsChild>
        </w:div>
        <w:div w:id="1915779362">
          <w:marLeft w:val="0"/>
          <w:marRight w:val="0"/>
          <w:marTop w:val="0"/>
          <w:marBottom w:val="0"/>
          <w:divBdr>
            <w:top w:val="none" w:sz="0" w:space="0" w:color="auto"/>
            <w:left w:val="none" w:sz="0" w:space="0" w:color="auto"/>
            <w:bottom w:val="none" w:sz="0" w:space="0" w:color="auto"/>
            <w:right w:val="none" w:sz="0" w:space="0" w:color="auto"/>
          </w:divBdr>
          <w:divsChild>
            <w:div w:id="631902656">
              <w:marLeft w:val="0"/>
              <w:marRight w:val="0"/>
              <w:marTop w:val="0"/>
              <w:marBottom w:val="0"/>
              <w:divBdr>
                <w:top w:val="none" w:sz="0" w:space="0" w:color="auto"/>
                <w:left w:val="none" w:sz="0" w:space="0" w:color="auto"/>
                <w:bottom w:val="none" w:sz="0" w:space="0" w:color="auto"/>
                <w:right w:val="none" w:sz="0" w:space="0" w:color="auto"/>
              </w:divBdr>
            </w:div>
          </w:divsChild>
        </w:div>
        <w:div w:id="1658531948">
          <w:marLeft w:val="0"/>
          <w:marRight w:val="0"/>
          <w:marTop w:val="0"/>
          <w:marBottom w:val="0"/>
          <w:divBdr>
            <w:top w:val="none" w:sz="0" w:space="0" w:color="auto"/>
            <w:left w:val="none" w:sz="0" w:space="0" w:color="auto"/>
            <w:bottom w:val="none" w:sz="0" w:space="0" w:color="auto"/>
            <w:right w:val="none" w:sz="0" w:space="0" w:color="auto"/>
          </w:divBdr>
          <w:divsChild>
            <w:div w:id="1031960367">
              <w:marLeft w:val="0"/>
              <w:marRight w:val="0"/>
              <w:marTop w:val="0"/>
              <w:marBottom w:val="0"/>
              <w:divBdr>
                <w:top w:val="none" w:sz="0" w:space="0" w:color="auto"/>
                <w:left w:val="none" w:sz="0" w:space="0" w:color="auto"/>
                <w:bottom w:val="none" w:sz="0" w:space="0" w:color="auto"/>
                <w:right w:val="none" w:sz="0" w:space="0" w:color="auto"/>
              </w:divBdr>
            </w:div>
          </w:divsChild>
        </w:div>
        <w:div w:id="934169855">
          <w:marLeft w:val="0"/>
          <w:marRight w:val="0"/>
          <w:marTop w:val="0"/>
          <w:marBottom w:val="0"/>
          <w:divBdr>
            <w:top w:val="none" w:sz="0" w:space="0" w:color="auto"/>
            <w:left w:val="none" w:sz="0" w:space="0" w:color="auto"/>
            <w:bottom w:val="none" w:sz="0" w:space="0" w:color="auto"/>
            <w:right w:val="none" w:sz="0" w:space="0" w:color="auto"/>
          </w:divBdr>
          <w:divsChild>
            <w:div w:id="811404857">
              <w:marLeft w:val="0"/>
              <w:marRight w:val="0"/>
              <w:marTop w:val="0"/>
              <w:marBottom w:val="0"/>
              <w:divBdr>
                <w:top w:val="none" w:sz="0" w:space="0" w:color="auto"/>
                <w:left w:val="none" w:sz="0" w:space="0" w:color="auto"/>
                <w:bottom w:val="none" w:sz="0" w:space="0" w:color="auto"/>
                <w:right w:val="none" w:sz="0" w:space="0" w:color="auto"/>
              </w:divBdr>
            </w:div>
          </w:divsChild>
        </w:div>
        <w:div w:id="1048065316">
          <w:marLeft w:val="0"/>
          <w:marRight w:val="0"/>
          <w:marTop w:val="0"/>
          <w:marBottom w:val="0"/>
          <w:divBdr>
            <w:top w:val="none" w:sz="0" w:space="0" w:color="auto"/>
            <w:left w:val="none" w:sz="0" w:space="0" w:color="auto"/>
            <w:bottom w:val="none" w:sz="0" w:space="0" w:color="auto"/>
            <w:right w:val="none" w:sz="0" w:space="0" w:color="auto"/>
          </w:divBdr>
          <w:divsChild>
            <w:div w:id="1723869465">
              <w:marLeft w:val="0"/>
              <w:marRight w:val="0"/>
              <w:marTop w:val="0"/>
              <w:marBottom w:val="0"/>
              <w:divBdr>
                <w:top w:val="none" w:sz="0" w:space="0" w:color="auto"/>
                <w:left w:val="none" w:sz="0" w:space="0" w:color="auto"/>
                <w:bottom w:val="none" w:sz="0" w:space="0" w:color="auto"/>
                <w:right w:val="none" w:sz="0" w:space="0" w:color="auto"/>
              </w:divBdr>
            </w:div>
          </w:divsChild>
        </w:div>
        <w:div w:id="1178034052">
          <w:marLeft w:val="0"/>
          <w:marRight w:val="0"/>
          <w:marTop w:val="0"/>
          <w:marBottom w:val="0"/>
          <w:divBdr>
            <w:top w:val="none" w:sz="0" w:space="0" w:color="auto"/>
            <w:left w:val="none" w:sz="0" w:space="0" w:color="auto"/>
            <w:bottom w:val="none" w:sz="0" w:space="0" w:color="auto"/>
            <w:right w:val="none" w:sz="0" w:space="0" w:color="auto"/>
          </w:divBdr>
          <w:divsChild>
            <w:div w:id="1288926995">
              <w:marLeft w:val="0"/>
              <w:marRight w:val="0"/>
              <w:marTop w:val="0"/>
              <w:marBottom w:val="0"/>
              <w:divBdr>
                <w:top w:val="none" w:sz="0" w:space="0" w:color="auto"/>
                <w:left w:val="none" w:sz="0" w:space="0" w:color="auto"/>
                <w:bottom w:val="none" w:sz="0" w:space="0" w:color="auto"/>
                <w:right w:val="none" w:sz="0" w:space="0" w:color="auto"/>
              </w:divBdr>
            </w:div>
          </w:divsChild>
        </w:div>
        <w:div w:id="769549741">
          <w:marLeft w:val="0"/>
          <w:marRight w:val="0"/>
          <w:marTop w:val="0"/>
          <w:marBottom w:val="0"/>
          <w:divBdr>
            <w:top w:val="none" w:sz="0" w:space="0" w:color="auto"/>
            <w:left w:val="none" w:sz="0" w:space="0" w:color="auto"/>
            <w:bottom w:val="none" w:sz="0" w:space="0" w:color="auto"/>
            <w:right w:val="none" w:sz="0" w:space="0" w:color="auto"/>
          </w:divBdr>
          <w:divsChild>
            <w:div w:id="1765489439">
              <w:marLeft w:val="0"/>
              <w:marRight w:val="0"/>
              <w:marTop w:val="0"/>
              <w:marBottom w:val="0"/>
              <w:divBdr>
                <w:top w:val="none" w:sz="0" w:space="0" w:color="auto"/>
                <w:left w:val="none" w:sz="0" w:space="0" w:color="auto"/>
                <w:bottom w:val="none" w:sz="0" w:space="0" w:color="auto"/>
                <w:right w:val="none" w:sz="0" w:space="0" w:color="auto"/>
              </w:divBdr>
            </w:div>
          </w:divsChild>
        </w:div>
        <w:div w:id="1060134091">
          <w:marLeft w:val="0"/>
          <w:marRight w:val="0"/>
          <w:marTop w:val="0"/>
          <w:marBottom w:val="0"/>
          <w:divBdr>
            <w:top w:val="none" w:sz="0" w:space="0" w:color="auto"/>
            <w:left w:val="none" w:sz="0" w:space="0" w:color="auto"/>
            <w:bottom w:val="none" w:sz="0" w:space="0" w:color="auto"/>
            <w:right w:val="none" w:sz="0" w:space="0" w:color="auto"/>
          </w:divBdr>
          <w:divsChild>
            <w:div w:id="1329479382">
              <w:marLeft w:val="0"/>
              <w:marRight w:val="0"/>
              <w:marTop w:val="0"/>
              <w:marBottom w:val="0"/>
              <w:divBdr>
                <w:top w:val="none" w:sz="0" w:space="0" w:color="auto"/>
                <w:left w:val="none" w:sz="0" w:space="0" w:color="auto"/>
                <w:bottom w:val="none" w:sz="0" w:space="0" w:color="auto"/>
                <w:right w:val="none" w:sz="0" w:space="0" w:color="auto"/>
              </w:divBdr>
            </w:div>
          </w:divsChild>
        </w:div>
        <w:div w:id="1150095186">
          <w:marLeft w:val="0"/>
          <w:marRight w:val="0"/>
          <w:marTop w:val="0"/>
          <w:marBottom w:val="0"/>
          <w:divBdr>
            <w:top w:val="none" w:sz="0" w:space="0" w:color="auto"/>
            <w:left w:val="none" w:sz="0" w:space="0" w:color="auto"/>
            <w:bottom w:val="none" w:sz="0" w:space="0" w:color="auto"/>
            <w:right w:val="none" w:sz="0" w:space="0" w:color="auto"/>
          </w:divBdr>
          <w:divsChild>
            <w:div w:id="1839929164">
              <w:marLeft w:val="0"/>
              <w:marRight w:val="0"/>
              <w:marTop w:val="0"/>
              <w:marBottom w:val="0"/>
              <w:divBdr>
                <w:top w:val="none" w:sz="0" w:space="0" w:color="auto"/>
                <w:left w:val="none" w:sz="0" w:space="0" w:color="auto"/>
                <w:bottom w:val="none" w:sz="0" w:space="0" w:color="auto"/>
                <w:right w:val="none" w:sz="0" w:space="0" w:color="auto"/>
              </w:divBdr>
            </w:div>
          </w:divsChild>
        </w:div>
        <w:div w:id="457913839">
          <w:marLeft w:val="0"/>
          <w:marRight w:val="0"/>
          <w:marTop w:val="0"/>
          <w:marBottom w:val="0"/>
          <w:divBdr>
            <w:top w:val="none" w:sz="0" w:space="0" w:color="auto"/>
            <w:left w:val="none" w:sz="0" w:space="0" w:color="auto"/>
            <w:bottom w:val="none" w:sz="0" w:space="0" w:color="auto"/>
            <w:right w:val="none" w:sz="0" w:space="0" w:color="auto"/>
          </w:divBdr>
          <w:divsChild>
            <w:div w:id="1309432048">
              <w:marLeft w:val="0"/>
              <w:marRight w:val="0"/>
              <w:marTop w:val="0"/>
              <w:marBottom w:val="0"/>
              <w:divBdr>
                <w:top w:val="none" w:sz="0" w:space="0" w:color="auto"/>
                <w:left w:val="none" w:sz="0" w:space="0" w:color="auto"/>
                <w:bottom w:val="none" w:sz="0" w:space="0" w:color="auto"/>
                <w:right w:val="none" w:sz="0" w:space="0" w:color="auto"/>
              </w:divBdr>
            </w:div>
          </w:divsChild>
        </w:div>
        <w:div w:id="706683650">
          <w:marLeft w:val="0"/>
          <w:marRight w:val="0"/>
          <w:marTop w:val="0"/>
          <w:marBottom w:val="0"/>
          <w:divBdr>
            <w:top w:val="none" w:sz="0" w:space="0" w:color="auto"/>
            <w:left w:val="none" w:sz="0" w:space="0" w:color="auto"/>
            <w:bottom w:val="none" w:sz="0" w:space="0" w:color="auto"/>
            <w:right w:val="none" w:sz="0" w:space="0" w:color="auto"/>
          </w:divBdr>
          <w:divsChild>
            <w:div w:id="758523214">
              <w:marLeft w:val="0"/>
              <w:marRight w:val="0"/>
              <w:marTop w:val="0"/>
              <w:marBottom w:val="0"/>
              <w:divBdr>
                <w:top w:val="none" w:sz="0" w:space="0" w:color="auto"/>
                <w:left w:val="none" w:sz="0" w:space="0" w:color="auto"/>
                <w:bottom w:val="none" w:sz="0" w:space="0" w:color="auto"/>
                <w:right w:val="none" w:sz="0" w:space="0" w:color="auto"/>
              </w:divBdr>
            </w:div>
          </w:divsChild>
        </w:div>
        <w:div w:id="2122534339">
          <w:marLeft w:val="0"/>
          <w:marRight w:val="0"/>
          <w:marTop w:val="0"/>
          <w:marBottom w:val="0"/>
          <w:divBdr>
            <w:top w:val="none" w:sz="0" w:space="0" w:color="auto"/>
            <w:left w:val="none" w:sz="0" w:space="0" w:color="auto"/>
            <w:bottom w:val="none" w:sz="0" w:space="0" w:color="auto"/>
            <w:right w:val="none" w:sz="0" w:space="0" w:color="auto"/>
          </w:divBdr>
          <w:divsChild>
            <w:div w:id="610282255">
              <w:marLeft w:val="0"/>
              <w:marRight w:val="0"/>
              <w:marTop w:val="0"/>
              <w:marBottom w:val="0"/>
              <w:divBdr>
                <w:top w:val="none" w:sz="0" w:space="0" w:color="auto"/>
                <w:left w:val="none" w:sz="0" w:space="0" w:color="auto"/>
                <w:bottom w:val="none" w:sz="0" w:space="0" w:color="auto"/>
                <w:right w:val="none" w:sz="0" w:space="0" w:color="auto"/>
              </w:divBdr>
            </w:div>
          </w:divsChild>
        </w:div>
        <w:div w:id="1677615380">
          <w:marLeft w:val="0"/>
          <w:marRight w:val="0"/>
          <w:marTop w:val="0"/>
          <w:marBottom w:val="0"/>
          <w:divBdr>
            <w:top w:val="none" w:sz="0" w:space="0" w:color="auto"/>
            <w:left w:val="none" w:sz="0" w:space="0" w:color="auto"/>
            <w:bottom w:val="none" w:sz="0" w:space="0" w:color="auto"/>
            <w:right w:val="none" w:sz="0" w:space="0" w:color="auto"/>
          </w:divBdr>
          <w:divsChild>
            <w:div w:id="1631744988">
              <w:marLeft w:val="0"/>
              <w:marRight w:val="0"/>
              <w:marTop w:val="0"/>
              <w:marBottom w:val="0"/>
              <w:divBdr>
                <w:top w:val="none" w:sz="0" w:space="0" w:color="auto"/>
                <w:left w:val="none" w:sz="0" w:space="0" w:color="auto"/>
                <w:bottom w:val="none" w:sz="0" w:space="0" w:color="auto"/>
                <w:right w:val="none" w:sz="0" w:space="0" w:color="auto"/>
              </w:divBdr>
            </w:div>
          </w:divsChild>
        </w:div>
        <w:div w:id="1175918623">
          <w:marLeft w:val="0"/>
          <w:marRight w:val="0"/>
          <w:marTop w:val="0"/>
          <w:marBottom w:val="0"/>
          <w:divBdr>
            <w:top w:val="none" w:sz="0" w:space="0" w:color="auto"/>
            <w:left w:val="none" w:sz="0" w:space="0" w:color="auto"/>
            <w:bottom w:val="none" w:sz="0" w:space="0" w:color="auto"/>
            <w:right w:val="none" w:sz="0" w:space="0" w:color="auto"/>
          </w:divBdr>
          <w:divsChild>
            <w:div w:id="1375932716">
              <w:marLeft w:val="0"/>
              <w:marRight w:val="0"/>
              <w:marTop w:val="0"/>
              <w:marBottom w:val="0"/>
              <w:divBdr>
                <w:top w:val="none" w:sz="0" w:space="0" w:color="auto"/>
                <w:left w:val="none" w:sz="0" w:space="0" w:color="auto"/>
                <w:bottom w:val="none" w:sz="0" w:space="0" w:color="auto"/>
                <w:right w:val="none" w:sz="0" w:space="0" w:color="auto"/>
              </w:divBdr>
            </w:div>
          </w:divsChild>
        </w:div>
        <w:div w:id="1820346395">
          <w:marLeft w:val="0"/>
          <w:marRight w:val="0"/>
          <w:marTop w:val="0"/>
          <w:marBottom w:val="0"/>
          <w:divBdr>
            <w:top w:val="none" w:sz="0" w:space="0" w:color="auto"/>
            <w:left w:val="none" w:sz="0" w:space="0" w:color="auto"/>
            <w:bottom w:val="none" w:sz="0" w:space="0" w:color="auto"/>
            <w:right w:val="none" w:sz="0" w:space="0" w:color="auto"/>
          </w:divBdr>
          <w:divsChild>
            <w:div w:id="1701122592">
              <w:marLeft w:val="0"/>
              <w:marRight w:val="0"/>
              <w:marTop w:val="0"/>
              <w:marBottom w:val="0"/>
              <w:divBdr>
                <w:top w:val="none" w:sz="0" w:space="0" w:color="auto"/>
                <w:left w:val="none" w:sz="0" w:space="0" w:color="auto"/>
                <w:bottom w:val="none" w:sz="0" w:space="0" w:color="auto"/>
                <w:right w:val="none" w:sz="0" w:space="0" w:color="auto"/>
              </w:divBdr>
            </w:div>
          </w:divsChild>
        </w:div>
        <w:div w:id="1965841093">
          <w:marLeft w:val="0"/>
          <w:marRight w:val="0"/>
          <w:marTop w:val="0"/>
          <w:marBottom w:val="0"/>
          <w:divBdr>
            <w:top w:val="none" w:sz="0" w:space="0" w:color="auto"/>
            <w:left w:val="none" w:sz="0" w:space="0" w:color="auto"/>
            <w:bottom w:val="none" w:sz="0" w:space="0" w:color="auto"/>
            <w:right w:val="none" w:sz="0" w:space="0" w:color="auto"/>
          </w:divBdr>
          <w:divsChild>
            <w:div w:id="15369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6CAD607DB1345A8CF008A1181BA7E" ma:contentTypeVersion="10" ma:contentTypeDescription="Create a new document." ma:contentTypeScope="" ma:versionID="47a0dfe84bdfad82cbda7c2a848bc6f3">
  <xsd:schema xmlns:xsd="http://www.w3.org/2001/XMLSchema" xmlns:xs="http://www.w3.org/2001/XMLSchema" xmlns:p="http://schemas.microsoft.com/office/2006/metadata/properties" xmlns:ns2="e4d96d72-dc15-47c0-a4c9-b78b73e068d2" xmlns:ns3="ae4a9af3-687b-4c54-a8ce-048b3611d82c" targetNamespace="http://schemas.microsoft.com/office/2006/metadata/properties" ma:root="true" ma:fieldsID="0091d643b5a948672937cd3a9c4ff8ea" ns2:_="" ns3:_="">
    <xsd:import namespace="e4d96d72-dc15-47c0-a4c9-b78b73e068d2"/>
    <xsd:import namespace="ae4a9af3-687b-4c54-a8ce-048b3611d8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6d72-dc15-47c0-a4c9-b78b73e06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a9af3-687b-4c54-a8ce-048b3611d8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9766B-02CC-4965-91F0-9501244A8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6d72-dc15-47c0-a4c9-b78b73e068d2"/>
    <ds:schemaRef ds:uri="ae4a9af3-687b-4c54-a8ce-048b3611d8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4CA0C4-131D-487F-BF3A-277E0154ED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939156-998A-446D-B9A3-889627221EC9}">
  <ds:schemaRefs>
    <ds:schemaRef ds:uri="http://schemas.microsoft.com/sharepoint/v3/contenttype/forms"/>
  </ds:schemaRefs>
</ds:datastoreItem>
</file>

<file path=customXml/itemProps4.xml><?xml version="1.0" encoding="utf-8"?>
<ds:datastoreItem xmlns:ds="http://schemas.openxmlformats.org/officeDocument/2006/customXml" ds:itemID="{46F90B56-70DB-4B4F-BE92-36C4D67BF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11</Pages>
  <Words>3780</Words>
  <Characters>21546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Melbourne Water</Company>
  <LinksUpToDate>false</LinksUpToDate>
  <CharactersWithSpaces>25276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Mittiga</dc:creator>
  <cp:keywords/>
  <dc:description/>
  <cp:lastModifiedBy>Gary Howell</cp:lastModifiedBy>
  <cp:revision>15</cp:revision>
  <dcterms:created xsi:type="dcterms:W3CDTF">2021-04-27T07:12:00Z</dcterms:created>
  <dcterms:modified xsi:type="dcterms:W3CDTF">2021-05-04T01:39:00Z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0x0101003DA6CAD607DB1345A8CF008A1181BA7E</vt:lpwstr>
  </property>
</Properties>
</file>