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7AAD" w14:textId="77777777" w:rsidR="001A359A" w:rsidRDefault="004E7C87" w:rsidP="001A359A">
      <w:pPr>
        <w:pStyle w:val="Heading1"/>
        <w:numPr>
          <w:ilvl w:val="0"/>
          <w:numId w:val="0"/>
        </w:numPr>
        <w:spacing w:before="0" w:after="0"/>
        <w:ind w:left="431" w:hanging="431"/>
        <w:rPr>
          <w:rFonts w:ascii="Verdana" w:hAnsi="Verdana"/>
          <w:b/>
          <w:color w:val="2F5496" w:themeColor="accent5" w:themeShade="BF"/>
          <w:sz w:val="66"/>
          <w:szCs w:val="66"/>
        </w:rPr>
      </w:pPr>
      <w:r w:rsidRPr="001A359A">
        <w:rPr>
          <w:rFonts w:ascii="Verdana" w:hAnsi="Verdana"/>
          <w:b/>
          <w:color w:val="2F5496" w:themeColor="accent5" w:themeShade="BF"/>
          <w:sz w:val="66"/>
          <w:szCs w:val="66"/>
        </w:rPr>
        <w:t>Business Case</w:t>
      </w:r>
    </w:p>
    <w:p w14:paraId="0861AB8C" w14:textId="67919296" w:rsidR="005A6436" w:rsidRPr="001A359A" w:rsidRDefault="004E7C87" w:rsidP="001A359A">
      <w:pPr>
        <w:pStyle w:val="Heading1"/>
        <w:numPr>
          <w:ilvl w:val="0"/>
          <w:numId w:val="0"/>
        </w:numPr>
        <w:spacing w:before="0" w:after="0"/>
        <w:ind w:left="431" w:hanging="431"/>
        <w:rPr>
          <w:rFonts w:ascii="Verdana" w:hAnsi="Verdana"/>
          <w:b/>
          <w:sz w:val="36"/>
          <w:szCs w:val="36"/>
        </w:rPr>
      </w:pPr>
      <w:r w:rsidRPr="001A359A">
        <w:rPr>
          <w:rFonts w:ascii="Verdana" w:hAnsi="Verdana"/>
          <w:b/>
          <w:color w:val="2F5496" w:themeColor="accent5" w:themeShade="BF"/>
          <w:sz w:val="36"/>
          <w:szCs w:val="36"/>
        </w:rPr>
        <w:t>Community involvement in waterways</w:t>
      </w:r>
      <w:r w:rsidR="001A359A" w:rsidRPr="001A359A">
        <w:rPr>
          <w:rFonts w:ascii="Verdana" w:hAnsi="Verdana"/>
          <w:b/>
          <w:noProof/>
          <w:sz w:val="64"/>
          <w:szCs w:val="64"/>
          <w:lang w:eastAsia="en-AU"/>
        </w:rPr>
        <w:drawing>
          <wp:anchor distT="0" distB="0" distL="114300" distR="114300" simplePos="0" relativeHeight="251659264" behindDoc="1" locked="1" layoutInCell="1" allowOverlap="1" wp14:anchorId="15FEE684" wp14:editId="4DABE124">
            <wp:simplePos x="0" y="0"/>
            <wp:positionH relativeFrom="page">
              <wp:align>right</wp:align>
            </wp:positionH>
            <wp:positionV relativeFrom="page">
              <wp:align>top</wp:align>
            </wp:positionV>
            <wp:extent cx="3034665" cy="2109470"/>
            <wp:effectExtent l="0" t="0" r="0" b="5080"/>
            <wp:wrapNone/>
            <wp:docPr id="53" name="MWCircles">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4665" cy="21094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103104E1" w14:textId="07A77D69" w:rsidR="004E7C87" w:rsidRDefault="004E7C87" w:rsidP="002908C2">
      <w:pPr>
        <w:spacing w:before="120" w:after="120" w:line="300" w:lineRule="atLeast"/>
        <w:rPr>
          <w:rFonts w:ascii="Verdana" w:eastAsia="Times New Roman" w:hAnsi="Verdana" w:cs="Times New Roman"/>
          <w:b/>
          <w:bCs/>
          <w:sz w:val="28"/>
          <w:szCs w:val="28"/>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52"/>
        <w:gridCol w:w="4858"/>
      </w:tblGrid>
      <w:tr w:rsidR="0013788C" w:rsidRPr="001A359A" w14:paraId="477AE8AC" w14:textId="77777777" w:rsidTr="0013788C">
        <w:trPr>
          <w:trHeight w:val="735"/>
        </w:trPr>
        <w:tc>
          <w:tcPr>
            <w:tcW w:w="4152" w:type="dxa"/>
            <w:tcBorders>
              <w:top w:val="single" w:sz="6" w:space="0" w:color="004282"/>
              <w:left w:val="single" w:sz="6" w:space="0" w:color="004282"/>
              <w:bottom w:val="dotted" w:sz="6" w:space="0" w:color="004282"/>
              <w:right w:val="dotted" w:sz="6" w:space="0" w:color="004282"/>
            </w:tcBorders>
            <w:shd w:val="clear" w:color="auto" w:fill="auto"/>
            <w:vAlign w:val="center"/>
          </w:tcPr>
          <w:p w14:paraId="19E55BA0" w14:textId="6E819607" w:rsidR="0013788C" w:rsidRPr="001A359A" w:rsidRDefault="0013788C" w:rsidP="0013788C">
            <w:pPr>
              <w:spacing w:after="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Program Intent</w:t>
            </w:r>
          </w:p>
        </w:tc>
        <w:tc>
          <w:tcPr>
            <w:tcW w:w="4858" w:type="dxa"/>
            <w:tcBorders>
              <w:top w:val="single" w:sz="6" w:space="0" w:color="004282"/>
              <w:left w:val="dotted" w:sz="6" w:space="0" w:color="004282"/>
              <w:bottom w:val="dotted" w:sz="6" w:space="0" w:color="004282"/>
              <w:right w:val="single" w:sz="6" w:space="0" w:color="004282"/>
            </w:tcBorders>
            <w:shd w:val="clear" w:color="auto" w:fill="auto"/>
            <w:vAlign w:val="center"/>
          </w:tcPr>
          <w:p w14:paraId="7A31118B" w14:textId="54C88DDD" w:rsidR="0013788C" w:rsidRPr="001A359A" w:rsidRDefault="0013788C" w:rsidP="0013788C">
            <w:pPr>
              <w:spacing w:before="120" w:after="12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Increased engagement and education about waterways.</w:t>
            </w:r>
          </w:p>
        </w:tc>
      </w:tr>
      <w:tr w:rsidR="0013788C" w:rsidRPr="001A359A" w14:paraId="4026E243" w14:textId="77777777" w:rsidTr="0013788C">
        <w:trPr>
          <w:trHeight w:val="300"/>
        </w:trPr>
        <w:tc>
          <w:tcPr>
            <w:tcW w:w="4152" w:type="dxa"/>
            <w:tcBorders>
              <w:top w:val="dotted" w:sz="6" w:space="0" w:color="004282"/>
              <w:left w:val="single" w:sz="6" w:space="0" w:color="004282"/>
              <w:bottom w:val="dotted" w:sz="6" w:space="0" w:color="004282"/>
              <w:right w:val="dotted" w:sz="6" w:space="0" w:color="004282"/>
            </w:tcBorders>
            <w:shd w:val="clear" w:color="auto" w:fill="auto"/>
            <w:vAlign w:val="center"/>
          </w:tcPr>
          <w:p w14:paraId="513CECF8" w14:textId="77777777" w:rsidR="0013788C" w:rsidRPr="001A359A" w:rsidRDefault="0013788C" w:rsidP="0013788C">
            <w:pPr>
              <w:spacing w:after="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Program Manager/Lead </w:t>
            </w:r>
          </w:p>
        </w:tc>
        <w:tc>
          <w:tcPr>
            <w:tcW w:w="4858" w:type="dxa"/>
            <w:tcBorders>
              <w:top w:val="dotted" w:sz="6" w:space="0" w:color="004282"/>
              <w:left w:val="dotted" w:sz="6" w:space="0" w:color="004282"/>
              <w:bottom w:val="dotted" w:sz="6" w:space="0" w:color="004282"/>
              <w:right w:val="single" w:sz="6" w:space="0" w:color="004282"/>
            </w:tcBorders>
            <w:shd w:val="clear" w:color="auto" w:fill="auto"/>
            <w:vAlign w:val="center"/>
          </w:tcPr>
          <w:p w14:paraId="295BC1CF" w14:textId="514B257F" w:rsidR="0013788C" w:rsidRPr="001A359A" w:rsidRDefault="0013788C" w:rsidP="0013788C">
            <w:pPr>
              <w:spacing w:before="120" w:after="12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Greg Bain, Manager - Community Engagement </w:t>
            </w:r>
          </w:p>
        </w:tc>
      </w:tr>
      <w:tr w:rsidR="0013788C" w:rsidRPr="001A359A" w14:paraId="3DAEB1EE" w14:textId="77777777" w:rsidTr="0013788C">
        <w:trPr>
          <w:trHeight w:val="300"/>
        </w:trPr>
        <w:tc>
          <w:tcPr>
            <w:tcW w:w="4152" w:type="dxa"/>
            <w:tcBorders>
              <w:top w:val="dotted" w:sz="6" w:space="0" w:color="004282"/>
              <w:left w:val="single" w:sz="6" w:space="0" w:color="004282"/>
              <w:bottom w:val="dotted" w:sz="6" w:space="0" w:color="004282"/>
              <w:right w:val="dotted" w:sz="6" w:space="0" w:color="004282"/>
            </w:tcBorders>
            <w:shd w:val="clear" w:color="auto" w:fill="auto"/>
            <w:vAlign w:val="center"/>
          </w:tcPr>
          <w:p w14:paraId="2EC309CB" w14:textId="77777777" w:rsidR="0013788C" w:rsidRPr="001A359A" w:rsidRDefault="0013788C" w:rsidP="0013788C">
            <w:pPr>
              <w:spacing w:after="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Program Owner Group/Team/Section </w:t>
            </w:r>
          </w:p>
        </w:tc>
        <w:tc>
          <w:tcPr>
            <w:tcW w:w="4858" w:type="dxa"/>
            <w:tcBorders>
              <w:top w:val="dotted" w:sz="6" w:space="0" w:color="004282"/>
              <w:left w:val="dotted" w:sz="6" w:space="0" w:color="004282"/>
              <w:bottom w:val="dotted" w:sz="6" w:space="0" w:color="004282"/>
              <w:right w:val="single" w:sz="6" w:space="0" w:color="004282"/>
            </w:tcBorders>
            <w:shd w:val="clear" w:color="auto" w:fill="auto"/>
            <w:vAlign w:val="center"/>
          </w:tcPr>
          <w:p w14:paraId="0B5B8857" w14:textId="77777777" w:rsidR="0013788C" w:rsidRPr="001A359A" w:rsidRDefault="0013788C" w:rsidP="0013788C">
            <w:pPr>
              <w:spacing w:before="120" w:after="12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Customer and Strategy </w:t>
            </w:r>
          </w:p>
          <w:p w14:paraId="518A320B" w14:textId="4B3B2CF0" w:rsidR="0013788C" w:rsidRPr="001A359A" w:rsidRDefault="0013788C" w:rsidP="0013788C">
            <w:pPr>
              <w:spacing w:before="120" w:after="120" w:line="240" w:lineRule="auto"/>
              <w:rPr>
                <w:rFonts w:ascii="Verdana" w:eastAsia="Times New Roman" w:hAnsi="Verdana" w:cs="Segoe UI"/>
                <w:sz w:val="22"/>
                <w:lang w:eastAsia="en-AU"/>
              </w:rPr>
            </w:pPr>
            <w:r w:rsidRPr="001A359A">
              <w:rPr>
                <w:rFonts w:ascii="Verdana" w:eastAsia="Times New Roman" w:hAnsi="Verdana" w:cs="Segoe UI"/>
                <w:sz w:val="22"/>
                <w:lang w:eastAsia="en-AU"/>
              </w:rPr>
              <w:t>Community Engagement </w:t>
            </w:r>
          </w:p>
        </w:tc>
      </w:tr>
    </w:tbl>
    <w:p w14:paraId="7CACB271" w14:textId="77777777" w:rsidR="00D34411" w:rsidRDefault="00D34411" w:rsidP="0013788C">
      <w:pPr>
        <w:spacing w:before="120" w:after="120" w:line="300" w:lineRule="atLeast"/>
        <w:rPr>
          <w:rFonts w:ascii="Verdana" w:eastAsia="Times New Roman" w:hAnsi="Verdana" w:cs="Times New Roman"/>
          <w:b/>
          <w:bCs/>
          <w:sz w:val="28"/>
          <w:szCs w:val="28"/>
        </w:rPr>
      </w:pPr>
    </w:p>
    <w:p w14:paraId="169C35C0" w14:textId="76999316" w:rsidR="212B9D2D" w:rsidRPr="001A359A" w:rsidRDefault="002908C2" w:rsidP="0013788C">
      <w:pPr>
        <w:spacing w:before="120" w:after="120" w:line="300" w:lineRule="atLeast"/>
        <w:rPr>
          <w:rFonts w:ascii="Verdana" w:eastAsia="Times New Roman" w:hAnsi="Verdana" w:cs="Times New Roman"/>
          <w:b/>
          <w:bCs/>
          <w:color w:val="2F5496" w:themeColor="accent5" w:themeShade="BF"/>
          <w:sz w:val="28"/>
          <w:szCs w:val="28"/>
        </w:rPr>
      </w:pPr>
      <w:r w:rsidRPr="001A359A">
        <w:rPr>
          <w:rFonts w:ascii="Verdana" w:eastAsia="Times New Roman" w:hAnsi="Verdana" w:cs="Times New Roman"/>
          <w:b/>
          <w:bCs/>
          <w:color w:val="2F5496" w:themeColor="accent5" w:themeShade="BF"/>
          <w:sz w:val="28"/>
          <w:szCs w:val="28"/>
        </w:rPr>
        <w:t>Business case summary</w:t>
      </w:r>
    </w:p>
    <w:p w14:paraId="5C71638A" w14:textId="3C9D7BBD" w:rsidR="00B334CD" w:rsidRPr="001A359A" w:rsidRDefault="00B334CD" w:rsidP="2F4D1433">
      <w:pPr>
        <w:rPr>
          <w:rFonts w:ascii="Verdana" w:hAnsi="Verdana"/>
          <w:sz w:val="24"/>
          <w:szCs w:val="24"/>
        </w:rPr>
      </w:pPr>
      <w:r w:rsidRPr="001A359A">
        <w:rPr>
          <w:rFonts w:ascii="Verdana" w:hAnsi="Verdana"/>
          <w:sz w:val="24"/>
          <w:szCs w:val="24"/>
        </w:rPr>
        <w:t>Community involvement in waterways 2021-26 (OPEX) program includes a range of initiatives that involve the community in waterways through education, volunteering opportunities, and utilising natural resources as valued open spaces, for an estimated cost of $</w:t>
      </w:r>
      <w:r w:rsidR="26142FC5" w:rsidRPr="001A359A">
        <w:rPr>
          <w:rFonts w:ascii="Verdana" w:hAnsi="Verdana"/>
          <w:sz w:val="24"/>
          <w:szCs w:val="24"/>
        </w:rPr>
        <w:t>2.7</w:t>
      </w:r>
      <w:r w:rsidRPr="001A359A">
        <w:rPr>
          <w:rFonts w:ascii="Verdana" w:hAnsi="Verdana"/>
          <w:sz w:val="24"/>
          <w:szCs w:val="24"/>
        </w:rPr>
        <w:t>M from 2021-2026. Over the 2021 Regulatory Period, an increase from base expenditure of $2M is proposed</w:t>
      </w:r>
      <w:r w:rsidR="00DA625C" w:rsidRPr="001A359A">
        <w:rPr>
          <w:rFonts w:ascii="Verdana" w:hAnsi="Verdana"/>
          <w:sz w:val="24"/>
          <w:szCs w:val="24"/>
        </w:rPr>
        <w:t xml:space="preserve"> to accommodate the program</w:t>
      </w:r>
      <w:r w:rsidRPr="001A359A">
        <w:rPr>
          <w:rFonts w:ascii="Verdana" w:hAnsi="Verdana"/>
          <w:sz w:val="24"/>
          <w:szCs w:val="24"/>
        </w:rPr>
        <w:t>.</w:t>
      </w:r>
      <w:r w:rsidR="2AD8C420" w:rsidRPr="001A359A">
        <w:rPr>
          <w:rFonts w:ascii="Verdana" w:hAnsi="Verdana"/>
          <w:sz w:val="24"/>
          <w:szCs w:val="24"/>
        </w:rPr>
        <w:t xml:space="preserve"> </w:t>
      </w:r>
    </w:p>
    <w:p w14:paraId="30D07EED" w14:textId="29C83F98" w:rsidR="00B334CD" w:rsidRPr="001A359A" w:rsidRDefault="00B334CD" w:rsidP="00B334CD">
      <w:pPr>
        <w:rPr>
          <w:rFonts w:ascii="Verdana" w:hAnsi="Verdana"/>
          <w:sz w:val="24"/>
          <w:szCs w:val="24"/>
        </w:rPr>
      </w:pPr>
      <w:r w:rsidRPr="001A359A">
        <w:rPr>
          <w:rFonts w:ascii="Verdana" w:hAnsi="Verdana"/>
          <w:sz w:val="24"/>
          <w:szCs w:val="24"/>
        </w:rPr>
        <w:t>Drivers for this program include legislative obligations, strategic commitments at S</w:t>
      </w:r>
      <w:r w:rsidR="2BEC6BB5" w:rsidRPr="001A359A">
        <w:rPr>
          <w:rFonts w:ascii="Verdana" w:hAnsi="Verdana"/>
          <w:sz w:val="24"/>
          <w:szCs w:val="24"/>
        </w:rPr>
        <w:t>t</w:t>
      </w:r>
      <w:r w:rsidRPr="001A359A">
        <w:rPr>
          <w:rFonts w:ascii="Verdana" w:hAnsi="Verdana"/>
          <w:sz w:val="24"/>
          <w:szCs w:val="24"/>
        </w:rPr>
        <w:t>ate Government and organisational level, and community driven desire for increased engagement and education about waterways</w:t>
      </w:r>
      <w:r w:rsidR="00736C14" w:rsidRPr="001A359A">
        <w:rPr>
          <w:rFonts w:ascii="Verdana" w:hAnsi="Verdana"/>
          <w:sz w:val="24"/>
          <w:szCs w:val="24"/>
        </w:rPr>
        <w:t xml:space="preserve">. </w:t>
      </w:r>
    </w:p>
    <w:p w14:paraId="7CA465AE" w14:textId="7BB08CE3" w:rsidR="27B3FA2B" w:rsidRPr="001A359A" w:rsidRDefault="27B3FA2B" w:rsidP="37C25321">
      <w:pPr>
        <w:rPr>
          <w:rFonts w:ascii="Verdana" w:eastAsia="Verdana" w:hAnsi="Verdana" w:cs="Verdana"/>
          <w:bCs/>
          <w:sz w:val="22"/>
        </w:rPr>
      </w:pPr>
      <w:r w:rsidRPr="001A359A">
        <w:rPr>
          <w:rFonts w:ascii="Verdana" w:eastAsia="Verdana" w:hAnsi="Verdana" w:cs="Verdana"/>
          <w:b/>
          <w:bCs/>
          <w:sz w:val="22"/>
        </w:rPr>
        <w:t>Table 1</w:t>
      </w:r>
      <w:r w:rsidR="2A06EFAA" w:rsidRPr="001A359A">
        <w:rPr>
          <w:rFonts w:ascii="Verdana" w:eastAsia="Verdana" w:hAnsi="Verdana" w:cs="Verdana"/>
          <w:b/>
          <w:bCs/>
          <w:sz w:val="22"/>
        </w:rPr>
        <w:t>:</w:t>
      </w:r>
      <w:r w:rsidRPr="001A359A">
        <w:rPr>
          <w:rFonts w:ascii="Verdana" w:eastAsia="Verdana" w:hAnsi="Verdana" w:cs="Verdana"/>
          <w:b/>
          <w:bCs/>
          <w:sz w:val="22"/>
        </w:rPr>
        <w:t xml:space="preserve"> </w:t>
      </w:r>
      <w:r w:rsidRPr="001A359A">
        <w:rPr>
          <w:rFonts w:ascii="Verdana" w:eastAsia="Verdana" w:hAnsi="Verdana" w:cs="Verdana"/>
          <w:bCs/>
          <w:sz w:val="22"/>
        </w:rPr>
        <w:t>Community involvement in waterways program costs and benefits</w:t>
      </w:r>
    </w:p>
    <w:tbl>
      <w:tblPr>
        <w:tblStyle w:val="TableGrid"/>
        <w:tblW w:w="9016" w:type="dxa"/>
        <w:tblLook w:val="04A0" w:firstRow="1" w:lastRow="0" w:firstColumn="1" w:lastColumn="0" w:noHBand="0" w:noVBand="1"/>
      </w:tblPr>
      <w:tblGrid>
        <w:gridCol w:w="2545"/>
        <w:gridCol w:w="3456"/>
        <w:gridCol w:w="3015"/>
      </w:tblGrid>
      <w:tr w:rsidR="00D87155" w:rsidRPr="001A359A" w14:paraId="1CA1A4B6" w14:textId="77777777" w:rsidTr="7A9D5689">
        <w:tc>
          <w:tcPr>
            <w:tcW w:w="2545" w:type="dxa"/>
          </w:tcPr>
          <w:p w14:paraId="49A21434" w14:textId="77777777" w:rsidR="00D87155" w:rsidRPr="001A359A" w:rsidRDefault="00D87155" w:rsidP="006E4701">
            <w:pPr>
              <w:rPr>
                <w:rFonts w:ascii="Verdana" w:hAnsi="Verdana"/>
                <w:b/>
                <w:sz w:val="22"/>
              </w:rPr>
            </w:pPr>
            <w:r w:rsidRPr="001A359A">
              <w:rPr>
                <w:rFonts w:ascii="Verdana" w:hAnsi="Verdana"/>
                <w:b/>
                <w:sz w:val="22"/>
              </w:rPr>
              <w:t>Program</w:t>
            </w:r>
          </w:p>
        </w:tc>
        <w:tc>
          <w:tcPr>
            <w:tcW w:w="3456" w:type="dxa"/>
          </w:tcPr>
          <w:p w14:paraId="69EDDB04" w14:textId="06204E7A" w:rsidR="00D87155" w:rsidRPr="001A359A" w:rsidRDefault="00DA625C" w:rsidP="29A95A42">
            <w:pPr>
              <w:rPr>
                <w:rFonts w:ascii="Verdana" w:hAnsi="Verdana"/>
                <w:b/>
                <w:bCs/>
                <w:sz w:val="22"/>
              </w:rPr>
            </w:pPr>
            <w:r w:rsidRPr="001A359A">
              <w:rPr>
                <w:rFonts w:ascii="Verdana" w:hAnsi="Verdana"/>
                <w:b/>
                <w:bCs/>
                <w:sz w:val="22"/>
              </w:rPr>
              <w:t>Costs</w:t>
            </w:r>
          </w:p>
        </w:tc>
        <w:tc>
          <w:tcPr>
            <w:tcW w:w="3015" w:type="dxa"/>
          </w:tcPr>
          <w:p w14:paraId="64F81745" w14:textId="77777777" w:rsidR="00D87155" w:rsidRPr="001A359A" w:rsidRDefault="00D87155" w:rsidP="006E4701">
            <w:pPr>
              <w:rPr>
                <w:rFonts w:ascii="Verdana" w:hAnsi="Verdana"/>
                <w:b/>
                <w:sz w:val="22"/>
              </w:rPr>
            </w:pPr>
            <w:r w:rsidRPr="001A359A">
              <w:rPr>
                <w:rFonts w:ascii="Verdana" w:hAnsi="Verdana"/>
                <w:b/>
                <w:sz w:val="22"/>
              </w:rPr>
              <w:t>Benefits</w:t>
            </w:r>
          </w:p>
        </w:tc>
      </w:tr>
      <w:tr w:rsidR="29A95A42" w:rsidRPr="001A359A" w14:paraId="02B14746" w14:textId="77777777" w:rsidTr="7A9D5689">
        <w:tc>
          <w:tcPr>
            <w:tcW w:w="2545" w:type="dxa"/>
          </w:tcPr>
          <w:p w14:paraId="559F4369" w14:textId="5316800D" w:rsidR="3636B899" w:rsidRPr="001A359A" w:rsidRDefault="3636B899" w:rsidP="66167E52">
            <w:pPr>
              <w:rPr>
                <w:rFonts w:ascii="Verdana" w:hAnsi="Verdana"/>
                <w:sz w:val="22"/>
              </w:rPr>
            </w:pPr>
            <w:r w:rsidRPr="001A359A">
              <w:rPr>
                <w:rFonts w:ascii="Verdana" w:hAnsi="Verdana"/>
                <w:sz w:val="22"/>
              </w:rPr>
              <w:t>Community engagement through citizen science programs and education</w:t>
            </w:r>
            <w:r w:rsidR="68449D94" w:rsidRPr="001A359A">
              <w:rPr>
                <w:rFonts w:ascii="Verdana" w:hAnsi="Verdana"/>
                <w:sz w:val="22"/>
              </w:rPr>
              <w:t xml:space="preserve">al events. </w:t>
            </w:r>
          </w:p>
          <w:p w14:paraId="55DC07F8" w14:textId="507EF367" w:rsidR="3636B899" w:rsidRPr="001A359A" w:rsidRDefault="3636B899" w:rsidP="66167E52">
            <w:pPr>
              <w:rPr>
                <w:rFonts w:ascii="Verdana" w:hAnsi="Verdana"/>
                <w:b/>
                <w:bCs/>
                <w:sz w:val="22"/>
              </w:rPr>
            </w:pPr>
            <w:r w:rsidRPr="001A359A">
              <w:rPr>
                <w:rFonts w:ascii="Verdana" w:hAnsi="Verdana"/>
                <w:b/>
                <w:bCs/>
                <w:sz w:val="22"/>
              </w:rPr>
              <w:t>$140K per year</w:t>
            </w:r>
          </w:p>
        </w:tc>
        <w:tc>
          <w:tcPr>
            <w:tcW w:w="3456" w:type="dxa"/>
          </w:tcPr>
          <w:p w14:paraId="4CD67528" w14:textId="7AD04590" w:rsidR="29A95A42" w:rsidRPr="001A359A" w:rsidRDefault="7F1C14B0" w:rsidP="66167E52">
            <w:pPr>
              <w:rPr>
                <w:rFonts w:ascii="Verdana" w:eastAsiaTheme="minorEastAsia" w:hAnsi="Verdana"/>
                <w:sz w:val="22"/>
              </w:rPr>
            </w:pPr>
            <w:r w:rsidRPr="001A359A">
              <w:rPr>
                <w:rFonts w:ascii="Verdana" w:eastAsiaTheme="minorEastAsia" w:hAnsi="Verdana"/>
                <w:sz w:val="22"/>
              </w:rPr>
              <w:t>Continue d</w:t>
            </w:r>
            <w:r w:rsidR="069F028F" w:rsidRPr="001A359A">
              <w:rPr>
                <w:rFonts w:ascii="Verdana" w:eastAsiaTheme="minorEastAsia" w:hAnsi="Verdana"/>
                <w:sz w:val="22"/>
              </w:rPr>
              <w:t>elivery of citizen science programs</w:t>
            </w:r>
            <w:r w:rsidR="339B9649" w:rsidRPr="001A359A">
              <w:rPr>
                <w:rFonts w:ascii="Verdana" w:eastAsiaTheme="minorEastAsia" w:hAnsi="Verdana"/>
                <w:sz w:val="22"/>
              </w:rPr>
              <w:t xml:space="preserve"> and community events</w:t>
            </w:r>
            <w:r w:rsidR="069F028F" w:rsidRPr="001A359A">
              <w:rPr>
                <w:rFonts w:ascii="Verdana" w:eastAsiaTheme="minorEastAsia" w:hAnsi="Verdana"/>
                <w:sz w:val="22"/>
              </w:rPr>
              <w:t xml:space="preserve"> </w:t>
            </w:r>
            <w:r w:rsidR="25620C6B" w:rsidRPr="001A359A">
              <w:rPr>
                <w:rFonts w:ascii="Verdana" w:eastAsiaTheme="minorEastAsia" w:hAnsi="Verdana"/>
                <w:sz w:val="22"/>
              </w:rPr>
              <w:t>including</w:t>
            </w:r>
            <w:r w:rsidR="0AAC0D53" w:rsidRPr="001A359A">
              <w:rPr>
                <w:rFonts w:ascii="Verdana" w:eastAsiaTheme="minorEastAsia" w:hAnsi="Verdana"/>
                <w:sz w:val="22"/>
              </w:rPr>
              <w:t>:</w:t>
            </w:r>
          </w:p>
          <w:p w14:paraId="20EC7B61" w14:textId="30C7DEF7" w:rsidR="29A95A42" w:rsidRPr="001A359A" w:rsidRDefault="21532C67" w:rsidP="66167E52">
            <w:pPr>
              <w:pStyle w:val="ListParagraph"/>
              <w:numPr>
                <w:ilvl w:val="0"/>
                <w:numId w:val="8"/>
              </w:numPr>
              <w:rPr>
                <w:rFonts w:eastAsiaTheme="minorEastAsia"/>
                <w:sz w:val="22"/>
              </w:rPr>
            </w:pPr>
            <w:r w:rsidRPr="001A359A">
              <w:rPr>
                <w:rFonts w:ascii="Verdana" w:eastAsiaTheme="minorEastAsia" w:hAnsi="Verdana"/>
                <w:sz w:val="22"/>
              </w:rPr>
              <w:t>Waterwatch, EstuaryWatch</w:t>
            </w:r>
            <w:r w:rsidR="5F27D193" w:rsidRPr="001A359A">
              <w:rPr>
                <w:rFonts w:ascii="Verdana" w:eastAsiaTheme="minorEastAsia" w:hAnsi="Verdana"/>
                <w:sz w:val="22"/>
              </w:rPr>
              <w:t xml:space="preserve"> </w:t>
            </w:r>
            <w:r w:rsidR="5F27D193" w:rsidRPr="001A359A">
              <w:rPr>
                <w:rFonts w:ascii="Verdana" w:eastAsiaTheme="minorEastAsia" w:hAnsi="Verdana"/>
                <w:b/>
                <w:bCs/>
                <w:sz w:val="22"/>
              </w:rPr>
              <w:t>($</w:t>
            </w:r>
            <w:r w:rsidR="479C996A" w:rsidRPr="001A359A">
              <w:rPr>
                <w:rFonts w:ascii="Verdana" w:eastAsiaTheme="minorEastAsia" w:hAnsi="Verdana"/>
                <w:b/>
                <w:bCs/>
                <w:sz w:val="22"/>
              </w:rPr>
              <w:t>7</w:t>
            </w:r>
            <w:r w:rsidR="4AB53933" w:rsidRPr="001A359A">
              <w:rPr>
                <w:rFonts w:ascii="Verdana" w:eastAsiaTheme="minorEastAsia" w:hAnsi="Verdana"/>
                <w:b/>
                <w:bCs/>
                <w:sz w:val="22"/>
              </w:rPr>
              <w:t>0</w:t>
            </w:r>
            <w:r w:rsidR="5F27D193" w:rsidRPr="001A359A">
              <w:rPr>
                <w:rFonts w:ascii="Verdana" w:eastAsiaTheme="minorEastAsia" w:hAnsi="Verdana"/>
                <w:b/>
                <w:bCs/>
                <w:sz w:val="22"/>
              </w:rPr>
              <w:t>K</w:t>
            </w:r>
            <w:r w:rsidR="5F27D193" w:rsidRPr="001A359A">
              <w:rPr>
                <w:rFonts w:ascii="Verdana" w:eastAsiaTheme="minorEastAsia" w:hAnsi="Verdana"/>
                <w:sz w:val="22"/>
              </w:rPr>
              <w:t>)</w:t>
            </w:r>
            <w:r w:rsidRPr="001A359A">
              <w:rPr>
                <w:rFonts w:ascii="Verdana" w:eastAsiaTheme="minorEastAsia" w:hAnsi="Verdana"/>
                <w:sz w:val="22"/>
              </w:rPr>
              <w:t xml:space="preserve">, </w:t>
            </w:r>
          </w:p>
          <w:p w14:paraId="32731DE6" w14:textId="1FE3B50A" w:rsidR="29A95A42" w:rsidRPr="001A359A" w:rsidRDefault="50141FA3" w:rsidP="66167E52">
            <w:pPr>
              <w:pStyle w:val="ListParagraph"/>
              <w:numPr>
                <w:ilvl w:val="0"/>
                <w:numId w:val="8"/>
              </w:numPr>
              <w:rPr>
                <w:sz w:val="22"/>
              </w:rPr>
            </w:pPr>
            <w:r w:rsidRPr="001A359A">
              <w:rPr>
                <w:rFonts w:ascii="Verdana" w:eastAsiaTheme="minorEastAsia" w:hAnsi="Verdana"/>
                <w:sz w:val="22"/>
              </w:rPr>
              <w:t>Fr</w:t>
            </w:r>
            <w:r w:rsidR="4F40D66C" w:rsidRPr="001A359A">
              <w:rPr>
                <w:rFonts w:ascii="Verdana" w:eastAsiaTheme="minorEastAsia" w:hAnsi="Verdana"/>
                <w:sz w:val="22"/>
              </w:rPr>
              <w:t>o</w:t>
            </w:r>
            <w:r w:rsidRPr="001A359A">
              <w:rPr>
                <w:rFonts w:ascii="Verdana" w:eastAsiaTheme="minorEastAsia" w:hAnsi="Verdana"/>
                <w:sz w:val="22"/>
              </w:rPr>
              <w:t>g Census</w:t>
            </w:r>
            <w:r w:rsidR="78D3EC75" w:rsidRPr="001A359A">
              <w:rPr>
                <w:rFonts w:ascii="Verdana" w:eastAsiaTheme="minorEastAsia" w:hAnsi="Verdana"/>
                <w:sz w:val="22"/>
              </w:rPr>
              <w:t xml:space="preserve"> </w:t>
            </w:r>
            <w:r w:rsidR="78D3EC75" w:rsidRPr="001A359A">
              <w:rPr>
                <w:rFonts w:ascii="Verdana" w:eastAsiaTheme="minorEastAsia" w:hAnsi="Verdana"/>
                <w:b/>
                <w:bCs/>
                <w:sz w:val="22"/>
              </w:rPr>
              <w:t>(</w:t>
            </w:r>
            <w:r w:rsidR="36CD74BB" w:rsidRPr="001A359A">
              <w:rPr>
                <w:rFonts w:ascii="Verdana" w:eastAsiaTheme="minorEastAsia" w:hAnsi="Verdana"/>
                <w:b/>
                <w:bCs/>
                <w:sz w:val="22"/>
              </w:rPr>
              <w:t>$</w:t>
            </w:r>
            <w:r w:rsidR="6169091C" w:rsidRPr="001A359A">
              <w:rPr>
                <w:rFonts w:ascii="Verdana" w:eastAsiaTheme="minorEastAsia" w:hAnsi="Verdana"/>
                <w:b/>
                <w:bCs/>
                <w:sz w:val="22"/>
              </w:rPr>
              <w:t>4</w:t>
            </w:r>
            <w:r w:rsidR="77AB8DC5" w:rsidRPr="001A359A">
              <w:rPr>
                <w:rFonts w:ascii="Verdana" w:eastAsiaTheme="minorEastAsia" w:hAnsi="Verdana"/>
                <w:b/>
                <w:bCs/>
                <w:sz w:val="22"/>
              </w:rPr>
              <w:t>0</w:t>
            </w:r>
            <w:r w:rsidR="36CD74BB" w:rsidRPr="001A359A">
              <w:rPr>
                <w:rFonts w:ascii="Verdana" w:eastAsiaTheme="minorEastAsia" w:hAnsi="Verdana"/>
                <w:b/>
                <w:bCs/>
                <w:sz w:val="22"/>
              </w:rPr>
              <w:t>K)</w:t>
            </w:r>
          </w:p>
          <w:p w14:paraId="4C29A29A" w14:textId="5AF04027" w:rsidR="29A95A42" w:rsidRPr="001A359A" w:rsidRDefault="052DCBA0" w:rsidP="66167E52">
            <w:pPr>
              <w:pStyle w:val="ListParagraph"/>
              <w:numPr>
                <w:ilvl w:val="0"/>
                <w:numId w:val="8"/>
              </w:numPr>
              <w:rPr>
                <w:sz w:val="22"/>
              </w:rPr>
            </w:pPr>
            <w:r w:rsidRPr="001A359A">
              <w:rPr>
                <w:rFonts w:ascii="Verdana" w:eastAsiaTheme="minorEastAsia" w:hAnsi="Verdana"/>
                <w:sz w:val="22"/>
              </w:rPr>
              <w:t>Platypus Census</w:t>
            </w:r>
            <w:r w:rsidR="508CE8B7" w:rsidRPr="001A359A">
              <w:rPr>
                <w:rFonts w:ascii="Verdana" w:eastAsiaTheme="minorEastAsia" w:hAnsi="Verdana"/>
                <w:sz w:val="22"/>
              </w:rPr>
              <w:t xml:space="preserve"> </w:t>
            </w:r>
            <w:r w:rsidR="4AF426DB" w:rsidRPr="001A359A">
              <w:rPr>
                <w:rFonts w:ascii="Verdana" w:eastAsiaTheme="minorEastAsia" w:hAnsi="Verdana"/>
                <w:b/>
                <w:bCs/>
                <w:sz w:val="22"/>
              </w:rPr>
              <w:t>($1</w:t>
            </w:r>
            <w:r w:rsidR="4037AF63" w:rsidRPr="001A359A">
              <w:rPr>
                <w:rFonts w:ascii="Verdana" w:eastAsiaTheme="minorEastAsia" w:hAnsi="Verdana"/>
                <w:b/>
                <w:bCs/>
                <w:sz w:val="22"/>
              </w:rPr>
              <w:t>2</w:t>
            </w:r>
            <w:r w:rsidR="4AF426DB" w:rsidRPr="001A359A">
              <w:rPr>
                <w:rFonts w:ascii="Verdana" w:eastAsiaTheme="minorEastAsia" w:hAnsi="Verdana"/>
                <w:b/>
                <w:bCs/>
                <w:sz w:val="22"/>
              </w:rPr>
              <w:t>K)</w:t>
            </w:r>
          </w:p>
          <w:p w14:paraId="6D29B8EA" w14:textId="2607D1F4" w:rsidR="2B2219F7" w:rsidRPr="001A359A" w:rsidRDefault="2B2219F7" w:rsidP="66167E52">
            <w:pPr>
              <w:pStyle w:val="ListParagraph"/>
              <w:numPr>
                <w:ilvl w:val="0"/>
                <w:numId w:val="8"/>
              </w:numPr>
              <w:rPr>
                <w:sz w:val="22"/>
              </w:rPr>
            </w:pPr>
            <w:r w:rsidRPr="001A359A">
              <w:rPr>
                <w:rFonts w:ascii="Verdana" w:eastAsiaTheme="minorEastAsia" w:hAnsi="Verdana"/>
                <w:sz w:val="22"/>
              </w:rPr>
              <w:t xml:space="preserve">Waterbug Census </w:t>
            </w:r>
            <w:r w:rsidRPr="001A359A">
              <w:rPr>
                <w:rFonts w:ascii="Verdana" w:eastAsiaTheme="minorEastAsia" w:hAnsi="Verdana"/>
                <w:b/>
                <w:bCs/>
                <w:sz w:val="22"/>
              </w:rPr>
              <w:t>($10K)</w:t>
            </w:r>
          </w:p>
          <w:p w14:paraId="08BAB67B" w14:textId="5C2C2451" w:rsidR="29A95A42" w:rsidRPr="001A359A" w:rsidRDefault="508CE8B7" w:rsidP="212B9D2D">
            <w:pPr>
              <w:pStyle w:val="ListParagraph"/>
              <w:numPr>
                <w:ilvl w:val="0"/>
                <w:numId w:val="8"/>
              </w:numPr>
              <w:rPr>
                <w:sz w:val="22"/>
              </w:rPr>
            </w:pPr>
            <w:r w:rsidRPr="001A359A">
              <w:rPr>
                <w:rFonts w:ascii="Verdana" w:eastAsiaTheme="minorEastAsia" w:hAnsi="Verdana"/>
                <w:sz w:val="22"/>
              </w:rPr>
              <w:t>River Detective</w:t>
            </w:r>
            <w:r w:rsidR="2E5CD05B" w:rsidRPr="001A359A">
              <w:rPr>
                <w:rFonts w:ascii="Verdana" w:eastAsiaTheme="minorEastAsia" w:hAnsi="Verdana"/>
                <w:sz w:val="22"/>
              </w:rPr>
              <w:t>s</w:t>
            </w:r>
            <w:r w:rsidRPr="001A359A">
              <w:rPr>
                <w:rFonts w:ascii="Verdana" w:eastAsiaTheme="minorEastAsia" w:hAnsi="Verdana"/>
                <w:sz w:val="22"/>
              </w:rPr>
              <w:t xml:space="preserve"> school program</w:t>
            </w:r>
            <w:r w:rsidR="400947AB" w:rsidRPr="001A359A">
              <w:rPr>
                <w:rFonts w:ascii="Verdana" w:eastAsiaTheme="minorEastAsia" w:hAnsi="Verdana"/>
                <w:sz w:val="22"/>
              </w:rPr>
              <w:t xml:space="preserve"> </w:t>
            </w:r>
            <w:r w:rsidR="400947AB" w:rsidRPr="001A359A">
              <w:rPr>
                <w:rFonts w:ascii="Verdana" w:eastAsiaTheme="minorEastAsia" w:hAnsi="Verdana"/>
                <w:b/>
                <w:bCs/>
                <w:sz w:val="22"/>
              </w:rPr>
              <w:t>($</w:t>
            </w:r>
            <w:r w:rsidR="5E0FE022" w:rsidRPr="001A359A">
              <w:rPr>
                <w:rFonts w:ascii="Verdana" w:eastAsiaTheme="minorEastAsia" w:hAnsi="Verdana"/>
                <w:b/>
                <w:bCs/>
                <w:sz w:val="22"/>
              </w:rPr>
              <w:t>8</w:t>
            </w:r>
            <w:r w:rsidR="400947AB" w:rsidRPr="001A359A">
              <w:rPr>
                <w:rFonts w:ascii="Verdana" w:eastAsiaTheme="minorEastAsia" w:hAnsi="Verdana"/>
                <w:b/>
                <w:bCs/>
                <w:sz w:val="22"/>
              </w:rPr>
              <w:t>K)</w:t>
            </w:r>
            <w:r w:rsidRPr="001A359A">
              <w:rPr>
                <w:rFonts w:ascii="Verdana" w:eastAsiaTheme="minorEastAsia" w:hAnsi="Verdana"/>
                <w:sz w:val="22"/>
              </w:rPr>
              <w:t>.</w:t>
            </w:r>
          </w:p>
        </w:tc>
        <w:tc>
          <w:tcPr>
            <w:tcW w:w="3015" w:type="dxa"/>
          </w:tcPr>
          <w:p w14:paraId="733A7431" w14:textId="7C98B0FB" w:rsidR="212B9D2D" w:rsidRPr="00F57C68" w:rsidRDefault="2B83669C" w:rsidP="212B9D2D">
            <w:pPr>
              <w:rPr>
                <w:rFonts w:ascii="Verdana" w:hAnsi="Verdana"/>
                <w:sz w:val="22"/>
              </w:rPr>
            </w:pPr>
            <w:r w:rsidRPr="001A359A">
              <w:rPr>
                <w:rFonts w:ascii="Verdana" w:hAnsi="Verdana"/>
                <w:sz w:val="22"/>
              </w:rPr>
              <w:t>Involvement of community and schools with citizen science projects, contributing data collection to inform management actions and increasing community understanding</w:t>
            </w:r>
            <w:r w:rsidR="3A2F4D39" w:rsidRPr="001A359A">
              <w:rPr>
                <w:rFonts w:ascii="Verdana" w:hAnsi="Verdana"/>
                <w:sz w:val="22"/>
              </w:rPr>
              <w:t xml:space="preserve">, </w:t>
            </w:r>
            <w:r w:rsidR="07624F48" w:rsidRPr="001A359A">
              <w:rPr>
                <w:rFonts w:ascii="Verdana" w:hAnsi="Verdana"/>
                <w:sz w:val="22"/>
              </w:rPr>
              <w:t>stewardship</w:t>
            </w:r>
            <w:r w:rsidRPr="001A359A">
              <w:rPr>
                <w:rFonts w:ascii="Verdana" w:hAnsi="Verdana"/>
                <w:sz w:val="22"/>
              </w:rPr>
              <w:t xml:space="preserve"> and value of waterways</w:t>
            </w:r>
            <w:r w:rsidR="09D74179" w:rsidRPr="001A359A">
              <w:rPr>
                <w:rFonts w:ascii="Verdana" w:hAnsi="Verdana"/>
                <w:sz w:val="22"/>
              </w:rPr>
              <w:t xml:space="preserve">. </w:t>
            </w:r>
          </w:p>
        </w:tc>
      </w:tr>
      <w:tr w:rsidR="00D87155" w:rsidRPr="001A359A" w14:paraId="7C59FEA0" w14:textId="77777777" w:rsidTr="7A9D5689">
        <w:trPr>
          <w:trHeight w:val="3870"/>
        </w:trPr>
        <w:tc>
          <w:tcPr>
            <w:tcW w:w="2545" w:type="dxa"/>
          </w:tcPr>
          <w:p w14:paraId="00388A27" w14:textId="272CD18C" w:rsidR="00D87155" w:rsidRPr="001A359A" w:rsidRDefault="00D87155" w:rsidP="29A95A42">
            <w:pPr>
              <w:rPr>
                <w:rFonts w:ascii="Verdana" w:hAnsi="Verdana"/>
                <w:b/>
                <w:bCs/>
                <w:sz w:val="22"/>
              </w:rPr>
            </w:pPr>
            <w:r w:rsidRPr="001A359A">
              <w:rPr>
                <w:rFonts w:ascii="Verdana" w:hAnsi="Verdana"/>
                <w:sz w:val="22"/>
              </w:rPr>
              <w:lastRenderedPageBreak/>
              <w:t>New community engagement and education programs and activities</w:t>
            </w:r>
            <w:r w:rsidRPr="001A359A">
              <w:rPr>
                <w:rFonts w:ascii="Verdana" w:hAnsi="Verdana"/>
                <w:b/>
                <w:bCs/>
                <w:sz w:val="22"/>
              </w:rPr>
              <w:t xml:space="preserve"> </w:t>
            </w:r>
            <w:r w:rsidRPr="001A359A">
              <w:rPr>
                <w:sz w:val="22"/>
              </w:rPr>
              <w:br/>
            </w:r>
          </w:p>
          <w:p w14:paraId="141897D8" w14:textId="77777777" w:rsidR="00D87155" w:rsidRPr="001A359A" w:rsidRDefault="00D87155" w:rsidP="66167E52">
            <w:pPr>
              <w:rPr>
                <w:rFonts w:ascii="Verdana" w:hAnsi="Verdana"/>
                <w:b/>
                <w:bCs/>
                <w:sz w:val="22"/>
              </w:rPr>
            </w:pPr>
            <w:r w:rsidRPr="001A359A">
              <w:rPr>
                <w:rFonts w:ascii="Verdana" w:hAnsi="Verdana"/>
                <w:b/>
                <w:bCs/>
                <w:sz w:val="22"/>
              </w:rPr>
              <w:t>$400K per year</w:t>
            </w:r>
          </w:p>
          <w:p w14:paraId="0E85EA40" w14:textId="77777777" w:rsidR="00D87155" w:rsidRPr="001A359A" w:rsidRDefault="00D87155" w:rsidP="006E4701">
            <w:pPr>
              <w:rPr>
                <w:rFonts w:ascii="Verdana" w:hAnsi="Verdana"/>
                <w:i/>
                <w:iCs/>
                <w:sz w:val="22"/>
              </w:rPr>
            </w:pPr>
          </w:p>
        </w:tc>
        <w:tc>
          <w:tcPr>
            <w:tcW w:w="3456" w:type="dxa"/>
          </w:tcPr>
          <w:p w14:paraId="4278649C" w14:textId="03C5B365" w:rsidR="00D87155" w:rsidRPr="001A359A" w:rsidRDefault="00D87155" w:rsidP="2F4D1433">
            <w:pPr>
              <w:rPr>
                <w:rFonts w:ascii="Verdana" w:eastAsiaTheme="minorEastAsia" w:hAnsi="Verdana"/>
                <w:b/>
                <w:bCs/>
                <w:sz w:val="22"/>
              </w:rPr>
            </w:pPr>
            <w:r w:rsidRPr="001A359A">
              <w:rPr>
                <w:rFonts w:ascii="Verdana" w:eastAsiaTheme="minorEastAsia" w:hAnsi="Verdana"/>
                <w:sz w:val="22"/>
              </w:rPr>
              <w:t xml:space="preserve">Waterway informational signage and infographics (including on-site interactive digital elements </w:t>
            </w:r>
            <w:r w:rsidR="18546B70" w:rsidRPr="001A359A">
              <w:rPr>
                <w:rFonts w:ascii="Verdana" w:eastAsiaTheme="minorEastAsia" w:hAnsi="Verdana"/>
                <w:sz w:val="22"/>
              </w:rPr>
              <w:t>e.g.,</w:t>
            </w:r>
            <w:r w:rsidRPr="001A359A">
              <w:rPr>
                <w:rFonts w:ascii="Verdana" w:eastAsiaTheme="minorEastAsia" w:hAnsi="Verdana"/>
                <w:sz w:val="22"/>
              </w:rPr>
              <w:t xml:space="preserve"> augmented reality) </w:t>
            </w:r>
            <w:r w:rsidRPr="001A359A">
              <w:rPr>
                <w:rFonts w:ascii="Verdana" w:eastAsiaTheme="minorEastAsia" w:hAnsi="Verdana"/>
                <w:b/>
                <w:bCs/>
                <w:sz w:val="22"/>
              </w:rPr>
              <w:t>$230K</w:t>
            </w:r>
          </w:p>
          <w:p w14:paraId="1FB88C06" w14:textId="77777777" w:rsidR="00D87155" w:rsidRPr="001A359A" w:rsidRDefault="00D87155" w:rsidP="2F4D1433">
            <w:pPr>
              <w:rPr>
                <w:rFonts w:ascii="Verdana" w:eastAsiaTheme="minorEastAsia" w:hAnsi="Verdana"/>
                <w:sz w:val="22"/>
              </w:rPr>
            </w:pPr>
            <w:r w:rsidRPr="001A359A">
              <w:rPr>
                <w:rFonts w:ascii="Verdana" w:eastAsiaTheme="minorEastAsia" w:hAnsi="Verdana"/>
                <w:sz w:val="22"/>
              </w:rPr>
              <w:t xml:space="preserve">Web-based interactive digital media (e.g. virtual tours) </w:t>
            </w:r>
            <w:r w:rsidRPr="001A359A">
              <w:rPr>
                <w:rFonts w:ascii="Verdana" w:eastAsiaTheme="minorEastAsia" w:hAnsi="Verdana"/>
                <w:b/>
                <w:bCs/>
                <w:sz w:val="22"/>
              </w:rPr>
              <w:t>$100K</w:t>
            </w:r>
          </w:p>
          <w:p w14:paraId="05E07596" w14:textId="77777777" w:rsidR="00D87155" w:rsidRPr="001A359A" w:rsidRDefault="00D87155" w:rsidP="2F4D1433">
            <w:pPr>
              <w:rPr>
                <w:rFonts w:ascii="Verdana" w:eastAsiaTheme="minorEastAsia" w:hAnsi="Verdana"/>
                <w:sz w:val="22"/>
              </w:rPr>
            </w:pPr>
            <w:r w:rsidRPr="001A359A">
              <w:rPr>
                <w:rFonts w:ascii="Verdana" w:eastAsiaTheme="minorEastAsia" w:hAnsi="Verdana"/>
                <w:sz w:val="22"/>
              </w:rPr>
              <w:t xml:space="preserve">Community events (e.g. waterway litter blitz) </w:t>
            </w:r>
            <w:r w:rsidRPr="001A359A">
              <w:rPr>
                <w:rFonts w:ascii="Verdana" w:eastAsiaTheme="minorEastAsia" w:hAnsi="Verdana"/>
                <w:b/>
                <w:bCs/>
                <w:sz w:val="22"/>
              </w:rPr>
              <w:t>$40K</w:t>
            </w:r>
          </w:p>
          <w:p w14:paraId="4BFF8BE4" w14:textId="354C11E3" w:rsidR="00D87155" w:rsidRPr="001A359A" w:rsidRDefault="00D87155" w:rsidP="2F4D1433">
            <w:pPr>
              <w:spacing w:line="259" w:lineRule="auto"/>
              <w:rPr>
                <w:rFonts w:ascii="Verdana" w:eastAsiaTheme="minorEastAsia" w:hAnsi="Verdana"/>
                <w:sz w:val="22"/>
              </w:rPr>
            </w:pPr>
            <w:r w:rsidRPr="001A359A">
              <w:rPr>
                <w:rFonts w:ascii="Verdana" w:eastAsiaTheme="minorEastAsia" w:hAnsi="Verdana"/>
                <w:sz w:val="22"/>
              </w:rPr>
              <w:t xml:space="preserve">Targeted social media </w:t>
            </w:r>
            <w:r w:rsidRPr="001A359A">
              <w:rPr>
                <w:rFonts w:ascii="Verdana" w:eastAsiaTheme="minorEastAsia" w:hAnsi="Verdana"/>
                <w:b/>
                <w:bCs/>
                <w:sz w:val="22"/>
              </w:rPr>
              <w:t>$30K</w:t>
            </w:r>
          </w:p>
        </w:tc>
        <w:tc>
          <w:tcPr>
            <w:tcW w:w="3015" w:type="dxa"/>
          </w:tcPr>
          <w:p w14:paraId="7CBF7069" w14:textId="5C265194" w:rsidR="212B9D2D" w:rsidRPr="001A359A" w:rsidRDefault="2F73E38B" w:rsidP="212B9D2D">
            <w:pPr>
              <w:rPr>
                <w:rFonts w:ascii="Verdana" w:hAnsi="Verdana"/>
                <w:sz w:val="22"/>
              </w:rPr>
            </w:pPr>
            <w:r w:rsidRPr="001A359A">
              <w:rPr>
                <w:rFonts w:ascii="Verdana" w:hAnsi="Verdana"/>
                <w:sz w:val="22"/>
              </w:rPr>
              <w:t xml:space="preserve">Involving the community in waterways through education, citizen science, events and interactive technologies engages the community as key contributors to their management, offsetting future maintenance and renewal costs as well as supporting increased community enjoyment of these spaces.  </w:t>
            </w:r>
          </w:p>
        </w:tc>
      </w:tr>
    </w:tbl>
    <w:p w14:paraId="238A4593" w14:textId="77777777" w:rsidR="00432A4C" w:rsidRDefault="00432A4C" w:rsidP="002908C2">
      <w:pPr>
        <w:spacing w:before="120" w:after="120" w:line="300" w:lineRule="atLeast"/>
        <w:rPr>
          <w:rFonts w:ascii="Verdana" w:eastAsia="Times New Roman" w:hAnsi="Verdana" w:cs="Times New Roman"/>
          <w:b/>
          <w:bCs/>
          <w:sz w:val="24"/>
          <w:szCs w:val="24"/>
        </w:rPr>
      </w:pPr>
    </w:p>
    <w:p w14:paraId="2A34B8B7" w14:textId="4EFE6F19" w:rsidR="212B9D2D" w:rsidRPr="001A359A" w:rsidRDefault="212B9D2D" w:rsidP="212B9D2D">
      <w:pPr>
        <w:spacing w:before="120" w:after="120" w:line="300" w:lineRule="atLeast"/>
        <w:rPr>
          <w:rFonts w:ascii="Verdana" w:eastAsia="Times New Roman" w:hAnsi="Verdana" w:cs="Times New Roman"/>
          <w:b/>
          <w:bCs/>
          <w:color w:val="2F5496" w:themeColor="accent5" w:themeShade="BF"/>
          <w:sz w:val="28"/>
          <w:szCs w:val="28"/>
        </w:rPr>
      </w:pPr>
      <w:r w:rsidRPr="001A359A">
        <w:rPr>
          <w:rFonts w:ascii="Verdana" w:eastAsia="Times New Roman" w:hAnsi="Verdana" w:cs="Times New Roman"/>
          <w:b/>
          <w:bCs/>
          <w:color w:val="2F5496" w:themeColor="accent5" w:themeShade="BF"/>
          <w:sz w:val="28"/>
          <w:szCs w:val="28"/>
        </w:rPr>
        <w:t>Program Objectives</w:t>
      </w:r>
    </w:p>
    <w:p w14:paraId="65C5D570" w14:textId="2F6E8DB2" w:rsidR="212B9D2D" w:rsidRPr="001A359A" w:rsidRDefault="212B9D2D" w:rsidP="212B9D2D">
      <w:pPr>
        <w:rPr>
          <w:rFonts w:ascii="Verdana" w:hAnsi="Verdana"/>
          <w:sz w:val="24"/>
          <w:szCs w:val="24"/>
        </w:rPr>
      </w:pPr>
      <w:r w:rsidRPr="001A359A">
        <w:rPr>
          <w:rFonts w:ascii="Verdana" w:hAnsi="Verdana"/>
          <w:sz w:val="24"/>
          <w:szCs w:val="24"/>
        </w:rPr>
        <w:t>Involving the community in waterways through education, citizen science, events and interactive technologies engages the community as key contributors to t</w:t>
      </w:r>
      <w:r w:rsidR="2B7B9DFF" w:rsidRPr="001A359A">
        <w:rPr>
          <w:rFonts w:ascii="Verdana" w:hAnsi="Verdana"/>
          <w:sz w:val="24"/>
          <w:szCs w:val="24"/>
        </w:rPr>
        <w:t xml:space="preserve">he </w:t>
      </w:r>
      <w:r w:rsidRPr="001A359A">
        <w:rPr>
          <w:rFonts w:ascii="Verdana" w:hAnsi="Verdana"/>
          <w:sz w:val="24"/>
          <w:szCs w:val="24"/>
        </w:rPr>
        <w:t>management</w:t>
      </w:r>
      <w:r w:rsidR="679172B8" w:rsidRPr="001A359A">
        <w:rPr>
          <w:rFonts w:ascii="Verdana" w:hAnsi="Verdana"/>
          <w:sz w:val="24"/>
          <w:szCs w:val="24"/>
        </w:rPr>
        <w:t xml:space="preserve"> of waterways</w:t>
      </w:r>
      <w:r w:rsidRPr="001A359A">
        <w:rPr>
          <w:rFonts w:ascii="Verdana" w:hAnsi="Verdana"/>
          <w:sz w:val="24"/>
          <w:szCs w:val="24"/>
        </w:rPr>
        <w:t xml:space="preserve">, offsetting future maintenance and </w:t>
      </w:r>
      <w:r w:rsidR="640D6AFC" w:rsidRPr="001A359A">
        <w:rPr>
          <w:rFonts w:ascii="Verdana" w:hAnsi="Verdana"/>
          <w:sz w:val="24"/>
          <w:szCs w:val="24"/>
        </w:rPr>
        <w:t xml:space="preserve">monitoring </w:t>
      </w:r>
      <w:r w:rsidRPr="001A359A">
        <w:rPr>
          <w:rFonts w:ascii="Verdana" w:hAnsi="Verdana"/>
          <w:sz w:val="24"/>
          <w:szCs w:val="24"/>
        </w:rPr>
        <w:t xml:space="preserve">costs as well as supporting increased community enjoyment of these spaces. </w:t>
      </w:r>
    </w:p>
    <w:p w14:paraId="0294F030" w14:textId="05BE2A2E" w:rsidR="212B9D2D" w:rsidRDefault="212B9D2D" w:rsidP="212B9D2D">
      <w:pPr>
        <w:rPr>
          <w:rFonts w:ascii="Verdana" w:hAnsi="Verdana"/>
          <w:szCs w:val="18"/>
        </w:rPr>
      </w:pPr>
    </w:p>
    <w:p w14:paraId="0A9BDF37" w14:textId="77777777" w:rsidR="002908C2" w:rsidRPr="001A359A" w:rsidRDefault="002908C2" w:rsidP="002908C2">
      <w:pPr>
        <w:spacing w:before="120" w:after="120" w:line="300" w:lineRule="atLeast"/>
        <w:rPr>
          <w:rFonts w:ascii="Verdana" w:eastAsia="Times New Roman" w:hAnsi="Verdana" w:cs="Times New Roman"/>
          <w:b/>
          <w:bCs/>
          <w:color w:val="2F5496" w:themeColor="accent5" w:themeShade="BF"/>
          <w:sz w:val="28"/>
          <w:szCs w:val="28"/>
        </w:rPr>
      </w:pPr>
      <w:r w:rsidRPr="001A359A">
        <w:rPr>
          <w:rFonts w:ascii="Verdana" w:eastAsia="Times New Roman" w:hAnsi="Verdana" w:cs="Times New Roman"/>
          <w:b/>
          <w:bCs/>
          <w:color w:val="2F5496" w:themeColor="accent5" w:themeShade="BF"/>
          <w:sz w:val="28"/>
          <w:szCs w:val="28"/>
        </w:rPr>
        <w:t>Program Drivers</w:t>
      </w:r>
      <w:r w:rsidR="00432A4C" w:rsidRPr="001A359A">
        <w:rPr>
          <w:rFonts w:ascii="Verdana" w:eastAsia="Times New Roman" w:hAnsi="Verdana" w:cs="Times New Roman"/>
          <w:b/>
          <w:bCs/>
          <w:color w:val="2F5496" w:themeColor="accent5" w:themeShade="BF"/>
          <w:sz w:val="28"/>
          <w:szCs w:val="28"/>
        </w:rPr>
        <w:t xml:space="preserve"> </w:t>
      </w:r>
    </w:p>
    <w:p w14:paraId="18CEE70C" w14:textId="5D3BBCE3" w:rsidR="00D87155" w:rsidRPr="001A359A" w:rsidRDefault="00D87155" w:rsidP="347BE6D7">
      <w:pPr>
        <w:spacing w:before="120" w:after="120" w:line="300" w:lineRule="atLeast"/>
        <w:rPr>
          <w:rFonts w:ascii="Verdana" w:eastAsia="Times New Roman" w:hAnsi="Verdana" w:cs="Times New Roman"/>
          <w:sz w:val="24"/>
          <w:szCs w:val="24"/>
        </w:rPr>
      </w:pPr>
      <w:r w:rsidRPr="001A359A">
        <w:rPr>
          <w:rFonts w:ascii="Verdana" w:eastAsia="Times New Roman" w:hAnsi="Verdana" w:cs="Times New Roman"/>
          <w:sz w:val="24"/>
          <w:szCs w:val="24"/>
        </w:rPr>
        <w:t>This program has been developed as an uplift from previous programs in response to the changing strategic and legislative context</w:t>
      </w:r>
      <w:r w:rsidR="00706858" w:rsidRPr="001A359A">
        <w:rPr>
          <w:rFonts w:ascii="Verdana" w:eastAsia="Times New Roman" w:hAnsi="Verdana" w:cs="Times New Roman"/>
          <w:sz w:val="24"/>
          <w:szCs w:val="24"/>
        </w:rPr>
        <w:t xml:space="preserve">. </w:t>
      </w:r>
      <w:r w:rsidR="005D3949" w:rsidRPr="001A359A">
        <w:rPr>
          <w:rFonts w:ascii="Verdana" w:eastAsia="Times New Roman" w:hAnsi="Verdana" w:cs="Times New Roman"/>
          <w:sz w:val="24"/>
          <w:szCs w:val="24"/>
        </w:rPr>
        <w:t xml:space="preserve">The program </w:t>
      </w:r>
      <w:r w:rsidR="007C73D1" w:rsidRPr="001A359A">
        <w:rPr>
          <w:rFonts w:ascii="Verdana" w:eastAsia="Times New Roman" w:hAnsi="Verdana" w:cs="Times New Roman"/>
          <w:sz w:val="24"/>
          <w:szCs w:val="24"/>
        </w:rPr>
        <w:t>also reflects</w:t>
      </w:r>
      <w:r w:rsidR="00A60C80" w:rsidRPr="001A359A">
        <w:rPr>
          <w:rFonts w:ascii="Verdana" w:eastAsia="Times New Roman" w:hAnsi="Verdana" w:cs="Times New Roman"/>
          <w:sz w:val="24"/>
          <w:szCs w:val="24"/>
        </w:rPr>
        <w:t xml:space="preserve"> </w:t>
      </w:r>
      <w:r w:rsidR="00AA4C78" w:rsidRPr="001A359A">
        <w:rPr>
          <w:rFonts w:ascii="Verdana" w:eastAsia="Times New Roman" w:hAnsi="Verdana" w:cs="Times New Roman"/>
          <w:sz w:val="24"/>
          <w:szCs w:val="24"/>
        </w:rPr>
        <w:t>a</w:t>
      </w:r>
      <w:r w:rsidRPr="001A359A">
        <w:rPr>
          <w:rFonts w:ascii="Verdana" w:eastAsia="Times New Roman" w:hAnsi="Verdana" w:cs="Times New Roman"/>
          <w:sz w:val="24"/>
          <w:szCs w:val="24"/>
        </w:rPr>
        <w:t xml:space="preserve">dditional demands on public open space </w:t>
      </w:r>
      <w:r w:rsidR="00436D45" w:rsidRPr="001A359A">
        <w:rPr>
          <w:rFonts w:ascii="Verdana" w:eastAsia="Times New Roman" w:hAnsi="Verdana" w:cs="Times New Roman"/>
          <w:sz w:val="24"/>
          <w:szCs w:val="24"/>
        </w:rPr>
        <w:t>resulting from urbanisation</w:t>
      </w:r>
      <w:r w:rsidRPr="001A359A">
        <w:rPr>
          <w:rFonts w:ascii="Verdana" w:eastAsia="Times New Roman" w:hAnsi="Verdana" w:cs="Times New Roman"/>
          <w:sz w:val="24"/>
          <w:szCs w:val="24"/>
        </w:rPr>
        <w:t xml:space="preserve">, </w:t>
      </w:r>
      <w:r w:rsidR="00436D45" w:rsidRPr="001A359A">
        <w:rPr>
          <w:rFonts w:ascii="Verdana" w:eastAsia="Times New Roman" w:hAnsi="Verdana" w:cs="Times New Roman"/>
          <w:sz w:val="24"/>
          <w:szCs w:val="24"/>
        </w:rPr>
        <w:t xml:space="preserve">increased </w:t>
      </w:r>
      <w:r w:rsidRPr="001A359A">
        <w:rPr>
          <w:rFonts w:ascii="Verdana" w:eastAsia="Times New Roman" w:hAnsi="Verdana" w:cs="Times New Roman"/>
          <w:sz w:val="24"/>
          <w:szCs w:val="24"/>
        </w:rPr>
        <w:t xml:space="preserve">community expectations and desire for Melbourne Water to </w:t>
      </w:r>
      <w:r w:rsidR="00BA66D7" w:rsidRPr="001A359A">
        <w:rPr>
          <w:rFonts w:ascii="Verdana" w:eastAsia="Times New Roman" w:hAnsi="Verdana" w:cs="Times New Roman"/>
          <w:sz w:val="24"/>
          <w:szCs w:val="24"/>
        </w:rPr>
        <w:t xml:space="preserve">improve </w:t>
      </w:r>
      <w:r w:rsidRPr="001A359A">
        <w:rPr>
          <w:rFonts w:ascii="Verdana" w:eastAsia="Times New Roman" w:hAnsi="Verdana" w:cs="Times New Roman"/>
          <w:sz w:val="24"/>
          <w:szCs w:val="24"/>
        </w:rPr>
        <w:t>our community engagement and education programs, a</w:t>
      </w:r>
      <w:r w:rsidR="3E32F7A6" w:rsidRPr="001A359A">
        <w:rPr>
          <w:rFonts w:ascii="Verdana" w:eastAsia="Times New Roman" w:hAnsi="Verdana" w:cs="Times New Roman"/>
          <w:sz w:val="24"/>
          <w:szCs w:val="24"/>
        </w:rPr>
        <w:t>s well as</w:t>
      </w:r>
      <w:r w:rsidRPr="001A359A">
        <w:rPr>
          <w:rFonts w:ascii="Verdana" w:eastAsia="Times New Roman" w:hAnsi="Verdana" w:cs="Times New Roman"/>
          <w:sz w:val="24"/>
          <w:szCs w:val="24"/>
        </w:rPr>
        <w:t xml:space="preserve"> </w:t>
      </w:r>
      <w:r w:rsidR="00BA66D7" w:rsidRPr="001A359A">
        <w:rPr>
          <w:rFonts w:ascii="Verdana" w:eastAsia="Times New Roman" w:hAnsi="Verdana" w:cs="Times New Roman"/>
          <w:sz w:val="24"/>
          <w:szCs w:val="24"/>
        </w:rPr>
        <w:t xml:space="preserve">a </w:t>
      </w:r>
      <w:r w:rsidRPr="001A359A">
        <w:rPr>
          <w:rFonts w:ascii="Verdana" w:eastAsia="Times New Roman" w:hAnsi="Verdana" w:cs="Times New Roman"/>
          <w:sz w:val="24"/>
          <w:szCs w:val="24"/>
        </w:rPr>
        <w:t xml:space="preserve">new </w:t>
      </w:r>
      <w:r w:rsidR="00BA66D7" w:rsidRPr="001A359A">
        <w:rPr>
          <w:rFonts w:ascii="Verdana" w:eastAsia="Times New Roman" w:hAnsi="Verdana" w:cs="Times New Roman"/>
          <w:sz w:val="24"/>
          <w:szCs w:val="24"/>
        </w:rPr>
        <w:t xml:space="preserve">State Government </w:t>
      </w:r>
      <w:r w:rsidRPr="001A359A">
        <w:rPr>
          <w:rFonts w:ascii="Verdana" w:eastAsia="Times New Roman" w:hAnsi="Verdana" w:cs="Times New Roman"/>
          <w:sz w:val="24"/>
          <w:szCs w:val="24"/>
        </w:rPr>
        <w:t>emphasis on co-delivering regional strategies that requires increased participation and support from partner organisations and the broader community.</w:t>
      </w:r>
    </w:p>
    <w:p w14:paraId="1940E168" w14:textId="77777777" w:rsidR="004E7C87" w:rsidRPr="00D87155" w:rsidRDefault="004E7C87" w:rsidP="002908C2">
      <w:pPr>
        <w:spacing w:before="120" w:after="120" w:line="300" w:lineRule="atLeast"/>
        <w:rPr>
          <w:rFonts w:ascii="Verdana" w:eastAsia="Times New Roman" w:hAnsi="Verdana" w:cs="Times New Roman"/>
          <w:bCs/>
          <w:sz w:val="20"/>
          <w:szCs w:val="20"/>
        </w:rPr>
      </w:pPr>
    </w:p>
    <w:p w14:paraId="54827553" w14:textId="2E796FFA" w:rsidR="002908C2" w:rsidRPr="001A359A" w:rsidRDefault="002908C2" w:rsidP="002908C2">
      <w:pPr>
        <w:spacing w:before="120" w:after="120" w:line="300" w:lineRule="atLeast"/>
        <w:rPr>
          <w:rFonts w:ascii="Verdana" w:eastAsia="Times New Roman" w:hAnsi="Verdana" w:cs="Times New Roman"/>
          <w:b/>
          <w:bCs/>
          <w:color w:val="2F5496" w:themeColor="accent5" w:themeShade="BF"/>
          <w:sz w:val="24"/>
          <w:szCs w:val="24"/>
        </w:rPr>
      </w:pPr>
      <w:r w:rsidRPr="001A359A">
        <w:rPr>
          <w:rFonts w:ascii="Verdana" w:eastAsia="Times New Roman" w:hAnsi="Verdana" w:cs="Times New Roman"/>
          <w:b/>
          <w:bCs/>
          <w:color w:val="2F5496" w:themeColor="accent5" w:themeShade="BF"/>
          <w:sz w:val="24"/>
          <w:szCs w:val="24"/>
        </w:rPr>
        <w:t>Obligations</w:t>
      </w:r>
    </w:p>
    <w:p w14:paraId="71107855" w14:textId="392EE354" w:rsidR="007C73D1" w:rsidRPr="001A359A" w:rsidRDefault="007C73D1" w:rsidP="37C25321">
      <w:pPr>
        <w:spacing w:before="120" w:after="120" w:line="300" w:lineRule="atLeast"/>
        <w:rPr>
          <w:rFonts w:ascii="Verdana" w:eastAsia="Times New Roman" w:hAnsi="Verdana" w:cs="Times New Roman"/>
          <w:sz w:val="24"/>
          <w:szCs w:val="24"/>
        </w:rPr>
      </w:pPr>
      <w:r w:rsidRPr="001A359A">
        <w:rPr>
          <w:rFonts w:ascii="Verdana" w:eastAsia="Times New Roman" w:hAnsi="Verdana" w:cs="Times New Roman"/>
          <w:sz w:val="24"/>
          <w:szCs w:val="24"/>
        </w:rPr>
        <w:t xml:space="preserve">There are a number of clear </w:t>
      </w:r>
      <w:r w:rsidR="009D08E8" w:rsidRPr="001A359A">
        <w:rPr>
          <w:rFonts w:ascii="Verdana" w:eastAsia="Times New Roman" w:hAnsi="Verdana" w:cs="Times New Roman"/>
          <w:sz w:val="24"/>
          <w:szCs w:val="24"/>
        </w:rPr>
        <w:t xml:space="preserve">customer engagement and educational </w:t>
      </w:r>
      <w:r w:rsidRPr="001A359A">
        <w:rPr>
          <w:rFonts w:ascii="Verdana" w:eastAsia="Times New Roman" w:hAnsi="Verdana" w:cs="Times New Roman"/>
          <w:sz w:val="24"/>
          <w:szCs w:val="24"/>
        </w:rPr>
        <w:t xml:space="preserve">legislative obligations </w:t>
      </w:r>
      <w:r w:rsidR="009D08E8" w:rsidRPr="001A359A">
        <w:rPr>
          <w:rFonts w:ascii="Verdana" w:eastAsia="Times New Roman" w:hAnsi="Verdana" w:cs="Times New Roman"/>
          <w:sz w:val="24"/>
          <w:szCs w:val="24"/>
        </w:rPr>
        <w:t>that M</w:t>
      </w:r>
      <w:r w:rsidRPr="001A359A">
        <w:rPr>
          <w:rFonts w:ascii="Verdana" w:eastAsia="Times New Roman" w:hAnsi="Verdana" w:cs="Times New Roman"/>
          <w:sz w:val="24"/>
          <w:szCs w:val="24"/>
        </w:rPr>
        <w:t xml:space="preserve">elbourne Water </w:t>
      </w:r>
      <w:r w:rsidR="009D08E8" w:rsidRPr="001A359A">
        <w:rPr>
          <w:rFonts w:ascii="Verdana" w:eastAsia="Times New Roman" w:hAnsi="Verdana" w:cs="Times New Roman"/>
          <w:sz w:val="24"/>
          <w:szCs w:val="24"/>
        </w:rPr>
        <w:t xml:space="preserve">must comply with. </w:t>
      </w:r>
      <w:r w:rsidR="00F72FF8" w:rsidRPr="001A359A">
        <w:rPr>
          <w:rFonts w:ascii="Verdana" w:eastAsia="Times New Roman" w:hAnsi="Verdana" w:cs="Times New Roman"/>
          <w:sz w:val="24"/>
          <w:szCs w:val="24"/>
        </w:rPr>
        <w:t>These are outlined in the Water Act (1989) and the Water Industry Act (1994).</w:t>
      </w:r>
    </w:p>
    <w:p w14:paraId="7B19F23E" w14:textId="5810808D" w:rsidR="37C25321" w:rsidRDefault="37C25321" w:rsidP="37C25321">
      <w:pPr>
        <w:spacing w:before="120" w:after="120" w:line="300" w:lineRule="atLeast"/>
        <w:rPr>
          <w:rFonts w:ascii="Verdana" w:eastAsia="Times New Roman" w:hAnsi="Verdana" w:cs="Times New Roman"/>
          <w:szCs w:val="18"/>
        </w:rPr>
      </w:pPr>
    </w:p>
    <w:p w14:paraId="2BDBD34F" w14:textId="781744CB" w:rsidR="00D87155" w:rsidRPr="001A359A" w:rsidRDefault="00D87155" w:rsidP="00D87155">
      <w:pPr>
        <w:spacing w:after="0" w:line="240" w:lineRule="auto"/>
        <w:rPr>
          <w:rFonts w:ascii="Verdana" w:eastAsiaTheme="minorEastAsia" w:hAnsi="Verdana"/>
          <w:i/>
          <w:color w:val="2F5496" w:themeColor="accent5" w:themeShade="BF"/>
          <w:sz w:val="24"/>
          <w:szCs w:val="24"/>
        </w:rPr>
      </w:pPr>
      <w:r w:rsidRPr="001A359A">
        <w:rPr>
          <w:rFonts w:ascii="Verdana" w:eastAsiaTheme="minorEastAsia" w:hAnsi="Verdana"/>
          <w:i/>
          <w:color w:val="2F5496" w:themeColor="accent5" w:themeShade="BF"/>
          <w:sz w:val="24"/>
          <w:szCs w:val="24"/>
        </w:rPr>
        <w:t>Water Act 1989</w:t>
      </w:r>
    </w:p>
    <w:p w14:paraId="2FB7100C" w14:textId="77777777" w:rsidR="00736C14" w:rsidRPr="0093440E" w:rsidRDefault="00736C14" w:rsidP="00D87155">
      <w:pPr>
        <w:spacing w:after="0" w:line="240" w:lineRule="auto"/>
        <w:rPr>
          <w:rFonts w:ascii="Verdana" w:eastAsiaTheme="minorEastAsia" w:hAnsi="Verdana"/>
          <w:b/>
          <w:sz w:val="20"/>
          <w:szCs w:val="20"/>
        </w:rPr>
      </w:pPr>
    </w:p>
    <w:p w14:paraId="2B465597" w14:textId="77777777" w:rsidR="00D87155" w:rsidRPr="001A359A" w:rsidRDefault="00D87155" w:rsidP="00D87155">
      <w:pPr>
        <w:spacing w:after="0" w:line="240" w:lineRule="auto"/>
        <w:rPr>
          <w:rFonts w:ascii="Verdana" w:eastAsiaTheme="minorEastAsia" w:hAnsi="Verdana"/>
          <w:b/>
          <w:bCs/>
          <w:sz w:val="24"/>
          <w:szCs w:val="24"/>
        </w:rPr>
      </w:pPr>
      <w:r w:rsidRPr="001A359A">
        <w:rPr>
          <w:rFonts w:ascii="Verdana" w:eastAsiaTheme="minorEastAsia" w:hAnsi="Verdana"/>
          <w:b/>
          <w:bCs/>
          <w:sz w:val="24"/>
          <w:szCs w:val="24"/>
        </w:rPr>
        <w:t>S92:</w:t>
      </w:r>
      <w:r w:rsidRPr="001A359A">
        <w:rPr>
          <w:rFonts w:ascii="Verdana" w:eastAsiaTheme="minorEastAsia" w:hAnsi="Verdana"/>
          <w:sz w:val="24"/>
          <w:szCs w:val="24"/>
        </w:rPr>
        <w:t xml:space="preserve">  </w:t>
      </w:r>
      <w:r w:rsidRPr="001A359A">
        <w:rPr>
          <w:rFonts w:ascii="Verdana" w:eastAsiaTheme="minorEastAsia" w:hAnsi="Verdana"/>
          <w:b/>
          <w:bCs/>
          <w:sz w:val="24"/>
          <w:szCs w:val="24"/>
        </w:rPr>
        <w:t>Functions, powers and duties of water corporations</w:t>
      </w:r>
    </w:p>
    <w:p w14:paraId="444E5E2B" w14:textId="77777777" w:rsidR="00D87155" w:rsidRPr="001A359A" w:rsidRDefault="00D87155" w:rsidP="001A359A">
      <w:pPr>
        <w:spacing w:after="0" w:line="240" w:lineRule="auto"/>
        <w:ind w:left="709" w:hanging="567"/>
        <w:rPr>
          <w:rFonts w:ascii="Verdana" w:eastAsiaTheme="minorEastAsia" w:hAnsi="Verdana"/>
          <w:sz w:val="24"/>
          <w:szCs w:val="24"/>
        </w:rPr>
      </w:pPr>
      <w:r w:rsidRPr="001A359A">
        <w:rPr>
          <w:rFonts w:ascii="Verdana" w:hAnsi="Verdana"/>
          <w:sz w:val="24"/>
          <w:szCs w:val="24"/>
        </w:rPr>
        <w:lastRenderedPageBreak/>
        <w:t>(2) In addition to any other functions conferred on a water corporation by or under this or any other Act, a water corporation has the functions of—</w:t>
      </w:r>
      <w:r w:rsidRPr="001A359A">
        <w:rPr>
          <w:rFonts w:ascii="Verdana" w:eastAsiaTheme="minorEastAsia" w:hAnsi="Verdana"/>
          <w:sz w:val="24"/>
          <w:szCs w:val="24"/>
        </w:rPr>
        <w:t xml:space="preserve"> </w:t>
      </w:r>
    </w:p>
    <w:p w14:paraId="0D7F6912" w14:textId="77777777" w:rsidR="00D87155" w:rsidRPr="001A359A" w:rsidRDefault="00D87155" w:rsidP="001A359A">
      <w:pPr>
        <w:spacing w:after="0" w:line="240" w:lineRule="auto"/>
        <w:ind w:left="1276" w:hanging="567"/>
        <w:rPr>
          <w:rFonts w:ascii="Verdana" w:eastAsia="Verdana" w:hAnsi="Verdana" w:cs="Verdana"/>
          <w:sz w:val="24"/>
          <w:szCs w:val="24"/>
        </w:rPr>
      </w:pPr>
      <w:r w:rsidRPr="001A359A">
        <w:rPr>
          <w:rFonts w:ascii="Verdana" w:eastAsiaTheme="minorEastAsia" w:hAnsi="Verdana"/>
          <w:sz w:val="24"/>
          <w:szCs w:val="24"/>
        </w:rPr>
        <w:t xml:space="preserve">(b) </w:t>
      </w:r>
      <w:r w:rsidRPr="001A359A">
        <w:rPr>
          <w:rFonts w:ascii="Verdana" w:eastAsia="Verdana" w:hAnsi="Verdana" w:cs="Verdana"/>
          <w:sz w:val="24"/>
          <w:szCs w:val="24"/>
        </w:rPr>
        <w:t>educating the community about its functions.</w:t>
      </w:r>
    </w:p>
    <w:p w14:paraId="6BEE9C05" w14:textId="77777777" w:rsidR="00D87155" w:rsidRPr="001A359A" w:rsidRDefault="00D87155" w:rsidP="001A359A">
      <w:pPr>
        <w:spacing w:after="0" w:line="240" w:lineRule="auto"/>
        <w:ind w:left="709" w:hanging="567"/>
        <w:rPr>
          <w:rFonts w:ascii="Verdana" w:eastAsia="Verdana" w:hAnsi="Verdana" w:cs="Verdana"/>
          <w:sz w:val="24"/>
          <w:szCs w:val="24"/>
        </w:rPr>
      </w:pPr>
      <w:r w:rsidRPr="001A359A">
        <w:rPr>
          <w:rFonts w:ascii="Verdana" w:eastAsia="Verdana" w:hAnsi="Verdana" w:cs="Verdana"/>
          <w:sz w:val="24"/>
          <w:szCs w:val="24"/>
        </w:rPr>
        <w:t xml:space="preserve">(2A) In performing functions conferred on it by or under this Act, a water corporation must consider opportunities to provide for the following, consistently with its objectives and the requirements conferred on it by or under this Act or any other Act— </w:t>
      </w:r>
    </w:p>
    <w:p w14:paraId="3BE46CC5" w14:textId="4EEE2BF0" w:rsidR="00D87155" w:rsidRPr="001A359A" w:rsidRDefault="00D87155" w:rsidP="001A359A">
      <w:pPr>
        <w:spacing w:after="0" w:line="240" w:lineRule="auto"/>
        <w:ind w:left="1276" w:hanging="567"/>
        <w:rPr>
          <w:rFonts w:ascii="Verdana" w:eastAsia="Verdana" w:hAnsi="Verdana" w:cs="Verdana"/>
          <w:sz w:val="24"/>
          <w:szCs w:val="24"/>
        </w:rPr>
      </w:pPr>
      <w:r w:rsidRPr="001A359A">
        <w:rPr>
          <w:rFonts w:ascii="Verdana" w:eastAsia="Verdana" w:hAnsi="Verdana" w:cs="Verdana"/>
          <w:sz w:val="24"/>
          <w:szCs w:val="24"/>
        </w:rPr>
        <w:t xml:space="preserve">(a) Aboriginal cultural values and uses of </w:t>
      </w:r>
      <w:r w:rsidR="1FBE9E18" w:rsidRPr="001A359A">
        <w:rPr>
          <w:rFonts w:ascii="Verdana" w:eastAsia="Verdana" w:hAnsi="Verdana" w:cs="Verdana"/>
          <w:sz w:val="24"/>
          <w:szCs w:val="24"/>
        </w:rPr>
        <w:t>waterways.</w:t>
      </w:r>
      <w:r w:rsidRPr="001A359A">
        <w:rPr>
          <w:rFonts w:ascii="Verdana" w:eastAsia="Verdana" w:hAnsi="Verdana" w:cs="Verdana"/>
          <w:sz w:val="24"/>
          <w:szCs w:val="24"/>
        </w:rPr>
        <w:t xml:space="preserve"> </w:t>
      </w:r>
    </w:p>
    <w:p w14:paraId="452D8C45" w14:textId="2DD6E6D2" w:rsidR="00D87155" w:rsidRPr="001A359A" w:rsidRDefault="00D87155" w:rsidP="001A359A">
      <w:pPr>
        <w:spacing w:after="0" w:line="240" w:lineRule="auto"/>
        <w:ind w:left="1134" w:hanging="425"/>
        <w:rPr>
          <w:rFonts w:ascii="Verdana" w:eastAsia="Verdana" w:hAnsi="Verdana" w:cs="Verdana"/>
          <w:sz w:val="24"/>
          <w:szCs w:val="24"/>
        </w:rPr>
      </w:pPr>
      <w:r w:rsidRPr="001A359A">
        <w:rPr>
          <w:rFonts w:ascii="Verdana" w:eastAsia="Verdana" w:hAnsi="Verdana" w:cs="Verdana"/>
          <w:sz w:val="24"/>
          <w:szCs w:val="24"/>
        </w:rPr>
        <w:t>(b) the social and recreational uses and values of waterways.</w:t>
      </w:r>
    </w:p>
    <w:p w14:paraId="2861D7E3" w14:textId="77777777" w:rsidR="00736C14" w:rsidRPr="001A359A" w:rsidRDefault="00736C14" w:rsidP="00D87155">
      <w:pPr>
        <w:spacing w:after="0" w:line="240" w:lineRule="auto"/>
        <w:ind w:firstLine="720"/>
        <w:rPr>
          <w:rFonts w:ascii="Verdana" w:eastAsia="Verdana" w:hAnsi="Verdana" w:cs="Verdana"/>
          <w:sz w:val="24"/>
          <w:szCs w:val="24"/>
        </w:rPr>
      </w:pPr>
    </w:p>
    <w:p w14:paraId="7F6B1093" w14:textId="77777777" w:rsidR="00D87155" w:rsidRPr="001A359A" w:rsidRDefault="00D87155" w:rsidP="00D87155">
      <w:pPr>
        <w:spacing w:after="0" w:line="240" w:lineRule="auto"/>
        <w:rPr>
          <w:rFonts w:ascii="Verdana" w:eastAsiaTheme="minorEastAsia" w:hAnsi="Verdana"/>
          <w:b/>
          <w:bCs/>
          <w:sz w:val="24"/>
          <w:szCs w:val="24"/>
        </w:rPr>
      </w:pPr>
      <w:r w:rsidRPr="001A359A">
        <w:rPr>
          <w:rFonts w:ascii="Verdana" w:eastAsiaTheme="minorEastAsia" w:hAnsi="Verdana"/>
          <w:b/>
          <w:bCs/>
          <w:sz w:val="24"/>
          <w:szCs w:val="24"/>
        </w:rPr>
        <w:t>S93: Sustainable management principles for water corporations</w:t>
      </w:r>
    </w:p>
    <w:p w14:paraId="4967CB9E" w14:textId="77777777" w:rsidR="00D87155" w:rsidRPr="001A359A" w:rsidRDefault="00D87155" w:rsidP="001A359A">
      <w:pPr>
        <w:spacing w:after="0" w:line="240" w:lineRule="auto"/>
        <w:ind w:left="142"/>
        <w:rPr>
          <w:rFonts w:ascii="Verdana" w:hAnsi="Verdana"/>
          <w:sz w:val="24"/>
          <w:szCs w:val="24"/>
        </w:rPr>
      </w:pPr>
      <w:r w:rsidRPr="001A359A">
        <w:rPr>
          <w:rFonts w:ascii="Verdana" w:hAnsi="Verdana"/>
          <w:sz w:val="24"/>
          <w:szCs w:val="24"/>
        </w:rPr>
        <w:t>Each water corporation, in performing its functions, exercising its powers and carrying out its duties must have regard to the following principles—</w:t>
      </w:r>
    </w:p>
    <w:p w14:paraId="2DFB3BC0" w14:textId="388A690D" w:rsidR="00D87155" w:rsidRPr="001A359A" w:rsidRDefault="00D87155" w:rsidP="001A359A">
      <w:pPr>
        <w:spacing w:after="0" w:line="240" w:lineRule="auto"/>
        <w:ind w:left="993" w:hanging="426"/>
        <w:rPr>
          <w:rFonts w:ascii="Verdana" w:hAnsi="Verdana"/>
          <w:sz w:val="24"/>
          <w:szCs w:val="24"/>
        </w:rPr>
      </w:pPr>
      <w:r w:rsidRPr="001A359A">
        <w:rPr>
          <w:rFonts w:ascii="Verdana" w:hAnsi="Verdana"/>
          <w:sz w:val="24"/>
          <w:szCs w:val="24"/>
        </w:rPr>
        <w:t xml:space="preserve">(a) the need to ensure that water resources are conserved and properly managed for sustainable use and for the benefit of present and future generations; </w:t>
      </w:r>
    </w:p>
    <w:p w14:paraId="1A2FF5F1" w14:textId="2DDBC947" w:rsidR="00D87155" w:rsidRPr="001A359A" w:rsidRDefault="00D87155" w:rsidP="001A359A">
      <w:pPr>
        <w:spacing w:after="0" w:line="240" w:lineRule="auto"/>
        <w:ind w:left="993" w:hanging="426"/>
        <w:rPr>
          <w:rFonts w:ascii="Verdana" w:hAnsi="Verdana"/>
          <w:sz w:val="24"/>
          <w:szCs w:val="24"/>
        </w:rPr>
      </w:pPr>
      <w:r w:rsidRPr="001A359A">
        <w:rPr>
          <w:rFonts w:ascii="Verdana" w:hAnsi="Verdana"/>
          <w:sz w:val="24"/>
          <w:szCs w:val="24"/>
        </w:rPr>
        <w:t>(b) the need to encourage and facilitate community involvement in the making and implementation of arrangements relating to the use, conservation and management of water resources</w:t>
      </w:r>
      <w:r w:rsidR="00F22BF1">
        <w:rPr>
          <w:rFonts w:ascii="Verdana" w:hAnsi="Verdana"/>
          <w:sz w:val="24"/>
          <w:szCs w:val="24"/>
        </w:rPr>
        <w:t>; and</w:t>
      </w:r>
    </w:p>
    <w:p w14:paraId="3CFAD313" w14:textId="77777777" w:rsidR="00D87155" w:rsidRPr="001A359A" w:rsidRDefault="00D87155" w:rsidP="001A359A">
      <w:pPr>
        <w:spacing w:after="0" w:line="240" w:lineRule="auto"/>
        <w:ind w:left="993" w:hanging="426"/>
        <w:rPr>
          <w:rFonts w:ascii="Verdana" w:eastAsia="Verdana" w:hAnsi="Verdana" w:cs="Verdana"/>
          <w:sz w:val="24"/>
          <w:szCs w:val="24"/>
        </w:rPr>
      </w:pPr>
      <w:r w:rsidRPr="001A359A">
        <w:rPr>
          <w:rFonts w:ascii="Verdana" w:eastAsia="Verdana" w:hAnsi="Verdana" w:cs="Verdana"/>
          <w:sz w:val="24"/>
          <w:szCs w:val="24"/>
        </w:rPr>
        <w:t>(d) the need for the conservation of biological diversity and ecological integrity to be a fundamental consideration</w:t>
      </w:r>
    </w:p>
    <w:p w14:paraId="7D806667" w14:textId="77777777" w:rsidR="00D87155" w:rsidRPr="0093440E" w:rsidRDefault="00D87155" w:rsidP="00D87155">
      <w:pPr>
        <w:spacing w:after="0" w:line="240" w:lineRule="auto"/>
        <w:rPr>
          <w:rFonts w:ascii="Verdana" w:eastAsiaTheme="minorEastAsia" w:hAnsi="Verdana"/>
          <w:sz w:val="20"/>
          <w:szCs w:val="20"/>
        </w:rPr>
      </w:pPr>
    </w:p>
    <w:p w14:paraId="41E569D7" w14:textId="77777777" w:rsidR="00D87155" w:rsidRPr="001A359A" w:rsidRDefault="00D87155" w:rsidP="00D87155">
      <w:pPr>
        <w:spacing w:after="0" w:line="240" w:lineRule="auto"/>
        <w:rPr>
          <w:rFonts w:ascii="Verdana" w:eastAsiaTheme="minorEastAsia" w:hAnsi="Verdana"/>
          <w:i/>
          <w:color w:val="2F5496" w:themeColor="accent5" w:themeShade="BF"/>
          <w:sz w:val="24"/>
          <w:szCs w:val="24"/>
        </w:rPr>
      </w:pPr>
      <w:r w:rsidRPr="001A359A">
        <w:rPr>
          <w:rFonts w:ascii="Verdana" w:eastAsiaTheme="minorEastAsia" w:hAnsi="Verdana"/>
          <w:i/>
          <w:color w:val="2F5496" w:themeColor="accent5" w:themeShade="BF"/>
          <w:sz w:val="24"/>
          <w:szCs w:val="24"/>
        </w:rPr>
        <w:t>Water Industry Act 1994: Statement of Obligations</w:t>
      </w:r>
    </w:p>
    <w:p w14:paraId="535B8437" w14:textId="77777777" w:rsidR="00736C14" w:rsidRDefault="00736C14" w:rsidP="00D87155">
      <w:pPr>
        <w:spacing w:after="0" w:line="240" w:lineRule="auto"/>
        <w:rPr>
          <w:rFonts w:ascii="Verdana" w:eastAsiaTheme="minorEastAsia" w:hAnsi="Verdana"/>
          <w:b/>
          <w:bCs/>
          <w:sz w:val="20"/>
          <w:szCs w:val="20"/>
        </w:rPr>
      </w:pPr>
    </w:p>
    <w:p w14:paraId="191A30A7" w14:textId="5FF84AD4" w:rsidR="00D87155" w:rsidRPr="001A359A" w:rsidRDefault="00D87155" w:rsidP="00D87155">
      <w:pPr>
        <w:spacing w:after="0" w:line="240" w:lineRule="auto"/>
        <w:rPr>
          <w:rFonts w:ascii="Verdana" w:eastAsiaTheme="minorEastAsia" w:hAnsi="Verdana"/>
          <w:b/>
          <w:bCs/>
          <w:sz w:val="24"/>
          <w:szCs w:val="24"/>
        </w:rPr>
      </w:pPr>
      <w:r w:rsidRPr="001A359A">
        <w:rPr>
          <w:rFonts w:ascii="Verdana" w:eastAsiaTheme="minorEastAsia" w:hAnsi="Verdana"/>
          <w:b/>
          <w:bCs/>
          <w:sz w:val="24"/>
          <w:szCs w:val="24"/>
        </w:rPr>
        <w:t>Part 4 Customer and Community Engagement</w:t>
      </w:r>
    </w:p>
    <w:p w14:paraId="234E6A3C" w14:textId="77777777" w:rsidR="00736C14" w:rsidRPr="001A359A" w:rsidRDefault="00736C14" w:rsidP="00D87155">
      <w:pPr>
        <w:spacing w:after="0" w:line="240" w:lineRule="auto"/>
        <w:ind w:firstLine="720"/>
        <w:rPr>
          <w:rFonts w:ascii="Verdana" w:eastAsiaTheme="minorEastAsia" w:hAnsi="Verdana"/>
          <w:b/>
          <w:bCs/>
          <w:sz w:val="24"/>
          <w:szCs w:val="24"/>
        </w:rPr>
      </w:pPr>
    </w:p>
    <w:p w14:paraId="1CC93E74" w14:textId="2CB127BE" w:rsidR="00D87155" w:rsidRPr="001A359A" w:rsidRDefault="00D87155" w:rsidP="001A359A">
      <w:pPr>
        <w:spacing w:after="0" w:line="240" w:lineRule="auto"/>
        <w:rPr>
          <w:rFonts w:ascii="Verdana" w:eastAsiaTheme="minorEastAsia" w:hAnsi="Verdana"/>
          <w:b/>
          <w:bCs/>
          <w:sz w:val="24"/>
          <w:szCs w:val="24"/>
        </w:rPr>
      </w:pPr>
      <w:r w:rsidRPr="001A359A">
        <w:rPr>
          <w:rFonts w:ascii="Verdana" w:eastAsiaTheme="minorEastAsia" w:hAnsi="Verdana"/>
          <w:b/>
          <w:bCs/>
          <w:sz w:val="24"/>
          <w:szCs w:val="24"/>
        </w:rPr>
        <w:t>4-1: Customer Engagement</w:t>
      </w:r>
    </w:p>
    <w:p w14:paraId="6F6D9C10" w14:textId="218D3775" w:rsidR="00D87155" w:rsidRPr="001A359A" w:rsidRDefault="00D87155" w:rsidP="001A359A">
      <w:pPr>
        <w:pStyle w:val="ListBullet"/>
        <w:rPr>
          <w:rFonts w:ascii="Verdana" w:hAnsi="Verdana"/>
          <w:sz w:val="24"/>
          <w:szCs w:val="24"/>
        </w:rPr>
      </w:pPr>
      <w:r w:rsidRPr="001A359A">
        <w:rPr>
          <w:rFonts w:ascii="Verdana" w:hAnsi="Verdana"/>
          <w:sz w:val="24"/>
          <w:szCs w:val="24"/>
        </w:rPr>
        <w:t>The Corporation must develop and make available to the public:</w:t>
      </w:r>
    </w:p>
    <w:p w14:paraId="5B090D4B" w14:textId="77777777" w:rsidR="00D87155" w:rsidRPr="001A359A" w:rsidRDefault="00D87155" w:rsidP="001A359A">
      <w:pPr>
        <w:pStyle w:val="ListBullet"/>
        <w:numPr>
          <w:ilvl w:val="0"/>
          <w:numId w:val="0"/>
        </w:numPr>
        <w:ind w:left="360"/>
        <w:rPr>
          <w:rFonts w:ascii="Verdana" w:hAnsi="Verdana"/>
          <w:sz w:val="24"/>
          <w:szCs w:val="24"/>
        </w:rPr>
      </w:pPr>
      <w:r w:rsidRPr="001A359A">
        <w:rPr>
          <w:rFonts w:ascii="Verdana" w:hAnsi="Verdana"/>
          <w:sz w:val="24"/>
          <w:szCs w:val="24"/>
        </w:rPr>
        <w:t xml:space="preserve">(b) open and transparent processes under which the Corporation will engage customers and the community in its planning processes to ensure that the services it provides reflect the needs and expectations of customers. This includes having regard to any guidelines issued by the Minister for that purpose. </w:t>
      </w:r>
    </w:p>
    <w:p w14:paraId="78F36B53" w14:textId="77777777" w:rsidR="00736C14" w:rsidRPr="001A359A" w:rsidRDefault="00736C14" w:rsidP="00D87155">
      <w:pPr>
        <w:spacing w:after="0" w:line="240" w:lineRule="auto"/>
        <w:ind w:firstLine="720"/>
        <w:rPr>
          <w:rFonts w:ascii="Verdana" w:eastAsiaTheme="minorEastAsia" w:hAnsi="Verdana"/>
          <w:b/>
          <w:bCs/>
          <w:sz w:val="24"/>
          <w:szCs w:val="24"/>
        </w:rPr>
      </w:pPr>
    </w:p>
    <w:p w14:paraId="054FDD47" w14:textId="07704428" w:rsidR="00D87155" w:rsidRPr="001A359A" w:rsidRDefault="00D87155" w:rsidP="001A359A">
      <w:pPr>
        <w:spacing w:after="0" w:line="240" w:lineRule="auto"/>
        <w:rPr>
          <w:rFonts w:ascii="Verdana" w:eastAsiaTheme="minorEastAsia" w:hAnsi="Verdana"/>
          <w:b/>
          <w:bCs/>
          <w:sz w:val="24"/>
          <w:szCs w:val="24"/>
        </w:rPr>
      </w:pPr>
      <w:r w:rsidRPr="001A359A">
        <w:rPr>
          <w:rFonts w:ascii="Verdana" w:eastAsiaTheme="minorEastAsia" w:hAnsi="Verdana"/>
          <w:b/>
          <w:bCs/>
          <w:sz w:val="24"/>
          <w:szCs w:val="24"/>
        </w:rPr>
        <w:t>4-3: Information for Schools</w:t>
      </w:r>
    </w:p>
    <w:p w14:paraId="63E896E7" w14:textId="74E16FA4" w:rsidR="00D87155" w:rsidRPr="001A359A" w:rsidRDefault="00D87155" w:rsidP="001A359A">
      <w:pPr>
        <w:pStyle w:val="ListBullet"/>
        <w:numPr>
          <w:ilvl w:val="0"/>
          <w:numId w:val="39"/>
        </w:numPr>
        <w:spacing w:after="0"/>
      </w:pPr>
      <w:r w:rsidRPr="001A359A">
        <w:rPr>
          <w:rFonts w:ascii="Verdana" w:hAnsi="Verdana"/>
          <w:sz w:val="24"/>
          <w:szCs w:val="24"/>
        </w:rPr>
        <w:t>The Corporation must make available to schools in the area educational material about sustainable water resource management including information on:</w:t>
      </w:r>
    </w:p>
    <w:p w14:paraId="6CF1F8E7" w14:textId="77777777" w:rsidR="00D87155" w:rsidRPr="001A359A" w:rsidRDefault="00D87155" w:rsidP="001A359A">
      <w:pPr>
        <w:spacing w:after="0" w:line="240" w:lineRule="auto"/>
        <w:ind w:left="993" w:hanging="426"/>
        <w:rPr>
          <w:rFonts w:ascii="Verdana" w:eastAsiaTheme="minorEastAsia" w:hAnsi="Verdana"/>
          <w:sz w:val="24"/>
          <w:szCs w:val="24"/>
        </w:rPr>
      </w:pPr>
      <w:r w:rsidRPr="001A359A">
        <w:rPr>
          <w:rFonts w:ascii="Verdana" w:eastAsiaTheme="minorEastAsia" w:hAnsi="Verdana"/>
          <w:sz w:val="24"/>
          <w:szCs w:val="24"/>
        </w:rPr>
        <w:t>(a) water supply;</w:t>
      </w:r>
    </w:p>
    <w:p w14:paraId="19E69FB8" w14:textId="77777777" w:rsidR="00D87155" w:rsidRPr="001A359A" w:rsidRDefault="00D87155" w:rsidP="001A359A">
      <w:pPr>
        <w:spacing w:after="0" w:line="240" w:lineRule="auto"/>
        <w:ind w:left="993" w:hanging="426"/>
        <w:rPr>
          <w:rFonts w:ascii="Verdana" w:eastAsiaTheme="minorEastAsia" w:hAnsi="Verdana"/>
          <w:sz w:val="24"/>
          <w:szCs w:val="24"/>
        </w:rPr>
      </w:pPr>
      <w:r w:rsidRPr="001A359A">
        <w:rPr>
          <w:rFonts w:ascii="Verdana" w:eastAsiaTheme="minorEastAsia" w:hAnsi="Verdana"/>
          <w:sz w:val="24"/>
          <w:szCs w:val="24"/>
        </w:rPr>
        <w:t>(b) sewage and recycled water;</w:t>
      </w:r>
    </w:p>
    <w:p w14:paraId="3F8A1B9A" w14:textId="77777777" w:rsidR="00D87155" w:rsidRPr="001A359A" w:rsidRDefault="00D87155" w:rsidP="001A359A">
      <w:pPr>
        <w:spacing w:after="0" w:line="240" w:lineRule="auto"/>
        <w:ind w:left="993" w:hanging="426"/>
        <w:rPr>
          <w:rFonts w:ascii="Verdana" w:eastAsiaTheme="minorEastAsia" w:hAnsi="Verdana"/>
          <w:sz w:val="24"/>
          <w:szCs w:val="24"/>
        </w:rPr>
      </w:pPr>
      <w:r w:rsidRPr="001A359A">
        <w:rPr>
          <w:rFonts w:ascii="Verdana" w:eastAsiaTheme="minorEastAsia" w:hAnsi="Verdana"/>
          <w:sz w:val="24"/>
          <w:szCs w:val="24"/>
        </w:rPr>
        <w:t>(c) water conservation and the efficient and responsible use of water; and</w:t>
      </w:r>
    </w:p>
    <w:p w14:paraId="3051C0E8" w14:textId="77777777" w:rsidR="00D87155" w:rsidRPr="001A359A" w:rsidRDefault="00D87155" w:rsidP="001A359A">
      <w:pPr>
        <w:spacing w:after="0" w:line="240" w:lineRule="auto"/>
        <w:ind w:left="993" w:hanging="426"/>
        <w:rPr>
          <w:rFonts w:ascii="Verdana" w:eastAsiaTheme="minorEastAsia" w:hAnsi="Verdana"/>
          <w:sz w:val="24"/>
          <w:szCs w:val="24"/>
        </w:rPr>
      </w:pPr>
      <w:r w:rsidRPr="001A359A">
        <w:rPr>
          <w:rFonts w:ascii="Verdana" w:eastAsiaTheme="minorEastAsia" w:hAnsi="Verdana"/>
          <w:sz w:val="24"/>
          <w:szCs w:val="24"/>
        </w:rPr>
        <w:t>(d) whole of water cycle management.</w:t>
      </w:r>
    </w:p>
    <w:p w14:paraId="4B625594" w14:textId="77777777" w:rsidR="00D87155" w:rsidRPr="001A359A" w:rsidRDefault="00D87155" w:rsidP="001A359A">
      <w:pPr>
        <w:spacing w:after="0" w:line="240" w:lineRule="auto"/>
        <w:ind w:left="993" w:hanging="426"/>
        <w:rPr>
          <w:rFonts w:ascii="Verdana" w:eastAsiaTheme="minorEastAsia" w:hAnsi="Verdana"/>
          <w:sz w:val="24"/>
          <w:szCs w:val="24"/>
        </w:rPr>
      </w:pPr>
      <w:r w:rsidRPr="001A359A">
        <w:rPr>
          <w:rFonts w:ascii="Verdana" w:eastAsiaTheme="minorEastAsia" w:hAnsi="Verdana"/>
          <w:sz w:val="24"/>
          <w:szCs w:val="24"/>
        </w:rPr>
        <w:t>(applicable urban only)</w:t>
      </w:r>
    </w:p>
    <w:p w14:paraId="1679EBAE" w14:textId="67615389" w:rsidR="00D87155" w:rsidRPr="001A359A" w:rsidRDefault="00D87155" w:rsidP="001A359A">
      <w:pPr>
        <w:pStyle w:val="ListParagraph"/>
        <w:numPr>
          <w:ilvl w:val="0"/>
          <w:numId w:val="41"/>
        </w:numPr>
        <w:spacing w:after="0" w:line="240" w:lineRule="auto"/>
        <w:rPr>
          <w:rFonts w:ascii="Verdana" w:eastAsiaTheme="minorEastAsia" w:hAnsi="Verdana"/>
          <w:sz w:val="24"/>
          <w:szCs w:val="24"/>
        </w:rPr>
      </w:pPr>
      <w:r w:rsidRPr="001A359A">
        <w:rPr>
          <w:rFonts w:ascii="Verdana" w:hAnsi="Verdana"/>
          <w:sz w:val="24"/>
          <w:szCs w:val="24"/>
        </w:rPr>
        <w:lastRenderedPageBreak/>
        <w:t>The Corporation</w:t>
      </w:r>
      <w:r w:rsidRPr="001A359A">
        <w:rPr>
          <w:rFonts w:ascii="Verdana" w:eastAsiaTheme="minorEastAsia" w:hAnsi="Verdana"/>
          <w:sz w:val="24"/>
          <w:szCs w:val="24"/>
        </w:rPr>
        <w:t xml:space="preserve"> must make available to schools in the area educational material about sustainable water resource management including information on:</w:t>
      </w:r>
    </w:p>
    <w:p w14:paraId="5E532EAD" w14:textId="77777777" w:rsidR="00D87155" w:rsidRPr="001A359A" w:rsidRDefault="00D87155" w:rsidP="001A359A">
      <w:pPr>
        <w:spacing w:after="0" w:line="240" w:lineRule="auto"/>
        <w:ind w:left="1134" w:hanging="414"/>
        <w:rPr>
          <w:rFonts w:ascii="Verdana" w:eastAsiaTheme="minorEastAsia" w:hAnsi="Verdana"/>
          <w:sz w:val="24"/>
          <w:szCs w:val="24"/>
        </w:rPr>
      </w:pPr>
      <w:r w:rsidRPr="001A359A">
        <w:rPr>
          <w:rFonts w:ascii="Verdana" w:eastAsiaTheme="minorEastAsia" w:hAnsi="Verdana"/>
          <w:sz w:val="24"/>
          <w:szCs w:val="24"/>
        </w:rPr>
        <w:t>(a) bulk sewage;</w:t>
      </w:r>
    </w:p>
    <w:p w14:paraId="38329317" w14:textId="77777777" w:rsidR="00D87155" w:rsidRPr="001A359A" w:rsidRDefault="00D87155" w:rsidP="001A359A">
      <w:pPr>
        <w:spacing w:after="0" w:line="240" w:lineRule="auto"/>
        <w:ind w:left="1134" w:hanging="414"/>
        <w:rPr>
          <w:rFonts w:ascii="Verdana" w:eastAsiaTheme="minorEastAsia" w:hAnsi="Verdana"/>
          <w:sz w:val="24"/>
          <w:szCs w:val="24"/>
        </w:rPr>
      </w:pPr>
      <w:r w:rsidRPr="001A359A">
        <w:rPr>
          <w:rFonts w:ascii="Verdana" w:eastAsiaTheme="minorEastAsia" w:hAnsi="Verdana"/>
          <w:sz w:val="24"/>
          <w:szCs w:val="24"/>
        </w:rPr>
        <w:t>(b) headworks; and</w:t>
      </w:r>
    </w:p>
    <w:p w14:paraId="7F14105E" w14:textId="331FC5D3" w:rsidR="00D87155" w:rsidRPr="001A359A" w:rsidRDefault="00D87155" w:rsidP="001A359A">
      <w:pPr>
        <w:spacing w:after="0" w:line="240" w:lineRule="auto"/>
        <w:ind w:left="1134" w:hanging="414"/>
        <w:rPr>
          <w:rFonts w:ascii="Verdana" w:eastAsiaTheme="minorEastAsia" w:hAnsi="Verdana"/>
          <w:sz w:val="24"/>
          <w:szCs w:val="24"/>
        </w:rPr>
      </w:pPr>
      <w:r w:rsidRPr="001A359A">
        <w:rPr>
          <w:rFonts w:ascii="Verdana" w:eastAsiaTheme="minorEastAsia" w:hAnsi="Verdana"/>
          <w:sz w:val="24"/>
          <w:szCs w:val="24"/>
        </w:rPr>
        <w:t>(c) waterway management, flood management</w:t>
      </w:r>
      <w:r w:rsidR="001A359A">
        <w:rPr>
          <w:rFonts w:ascii="Verdana" w:eastAsiaTheme="minorEastAsia" w:hAnsi="Verdana"/>
          <w:sz w:val="24"/>
          <w:szCs w:val="24"/>
        </w:rPr>
        <w:t xml:space="preserve">, drainage. </w:t>
      </w:r>
      <w:r w:rsidRPr="001A359A">
        <w:rPr>
          <w:rFonts w:ascii="Verdana" w:eastAsiaTheme="minorEastAsia" w:hAnsi="Verdana"/>
          <w:sz w:val="24"/>
          <w:szCs w:val="24"/>
        </w:rPr>
        <w:t>(applicable Melbourne Water only)</w:t>
      </w:r>
    </w:p>
    <w:p w14:paraId="47A45E0C" w14:textId="77777777" w:rsidR="004E7C87" w:rsidRPr="0093440E" w:rsidRDefault="004E7C87" w:rsidP="004E7C87">
      <w:pPr>
        <w:spacing w:after="0" w:line="240" w:lineRule="auto"/>
        <w:rPr>
          <w:rFonts w:ascii="Verdana" w:eastAsiaTheme="minorEastAsia" w:hAnsi="Verdana"/>
          <w:sz w:val="20"/>
          <w:szCs w:val="20"/>
        </w:rPr>
      </w:pPr>
    </w:p>
    <w:p w14:paraId="3FC4D7AA" w14:textId="5142C805" w:rsidR="002908C2" w:rsidRPr="001A359A" w:rsidRDefault="002908C2" w:rsidP="37C25321">
      <w:pPr>
        <w:spacing w:before="120" w:after="120" w:line="300" w:lineRule="atLeast"/>
        <w:rPr>
          <w:rFonts w:ascii="Verdana" w:eastAsia="Times New Roman" w:hAnsi="Verdana" w:cs="Times New Roman"/>
          <w:b/>
          <w:bCs/>
          <w:color w:val="2F5496" w:themeColor="accent5" w:themeShade="BF"/>
          <w:sz w:val="24"/>
          <w:szCs w:val="24"/>
        </w:rPr>
      </w:pPr>
      <w:r w:rsidRPr="001A359A">
        <w:rPr>
          <w:rFonts w:ascii="Verdana" w:eastAsia="Times New Roman" w:hAnsi="Verdana" w:cs="Times New Roman"/>
          <w:b/>
          <w:bCs/>
          <w:color w:val="2F5496" w:themeColor="accent5" w:themeShade="BF"/>
          <w:sz w:val="24"/>
          <w:szCs w:val="24"/>
        </w:rPr>
        <w:t>Strategic Drivers</w:t>
      </w:r>
    </w:p>
    <w:p w14:paraId="412FBFDF" w14:textId="64BEEDE0" w:rsidR="00D87155" w:rsidRPr="001A359A" w:rsidRDefault="00EF7AF5" w:rsidP="37C25321">
      <w:pPr>
        <w:spacing w:before="120" w:after="120" w:line="300" w:lineRule="atLeast"/>
        <w:rPr>
          <w:rFonts w:ascii="Verdana" w:hAnsi="Verdana"/>
          <w:sz w:val="24"/>
          <w:szCs w:val="24"/>
        </w:rPr>
      </w:pPr>
      <w:r w:rsidRPr="001A359A">
        <w:rPr>
          <w:rFonts w:ascii="Verdana" w:eastAsia="Times New Roman" w:hAnsi="Verdana" w:cs="Times New Roman"/>
          <w:sz w:val="24"/>
          <w:szCs w:val="24"/>
        </w:rPr>
        <w:t>These obligations are articulated and actioned through Melbourne Water’s Healthy Waterways Strategy</w:t>
      </w:r>
      <w:r w:rsidR="00661831" w:rsidRPr="001A359A">
        <w:rPr>
          <w:rFonts w:ascii="Verdana" w:eastAsia="Times New Roman" w:hAnsi="Verdana" w:cs="Times New Roman"/>
          <w:sz w:val="24"/>
          <w:szCs w:val="24"/>
        </w:rPr>
        <w:t xml:space="preserve"> (HWS)</w:t>
      </w:r>
      <w:r w:rsidRPr="001A359A">
        <w:rPr>
          <w:rFonts w:ascii="Verdana" w:eastAsia="Times New Roman" w:hAnsi="Verdana" w:cs="Times New Roman"/>
          <w:sz w:val="24"/>
          <w:szCs w:val="24"/>
        </w:rPr>
        <w:t xml:space="preserve">. The strategy has been developed through </w:t>
      </w:r>
      <w:r w:rsidR="00347A52" w:rsidRPr="001A359A">
        <w:rPr>
          <w:rFonts w:ascii="Verdana" w:eastAsia="Times New Roman" w:hAnsi="Verdana" w:cs="Times New Roman"/>
          <w:sz w:val="24"/>
          <w:szCs w:val="24"/>
        </w:rPr>
        <w:t xml:space="preserve">engagement with the broader community </w:t>
      </w:r>
      <w:r w:rsidR="00A60C80" w:rsidRPr="001A359A">
        <w:rPr>
          <w:rFonts w:ascii="Verdana" w:eastAsia="Times New Roman" w:hAnsi="Verdana" w:cs="Times New Roman"/>
          <w:sz w:val="24"/>
          <w:szCs w:val="24"/>
        </w:rPr>
        <w:t xml:space="preserve">(see figure 1) </w:t>
      </w:r>
      <w:r w:rsidR="00347A52" w:rsidRPr="001A359A">
        <w:rPr>
          <w:rFonts w:ascii="Verdana" w:eastAsia="Times New Roman" w:hAnsi="Verdana" w:cs="Times New Roman"/>
          <w:sz w:val="24"/>
          <w:szCs w:val="24"/>
        </w:rPr>
        <w:t xml:space="preserve">and </w:t>
      </w:r>
      <w:r w:rsidR="00661831" w:rsidRPr="001A359A">
        <w:rPr>
          <w:rFonts w:ascii="Verdana" w:eastAsia="Times New Roman" w:hAnsi="Verdana" w:cs="Times New Roman"/>
          <w:sz w:val="24"/>
          <w:szCs w:val="24"/>
        </w:rPr>
        <w:t xml:space="preserve">includes </w:t>
      </w:r>
      <w:r w:rsidR="681C1A2D" w:rsidRPr="001A359A">
        <w:rPr>
          <w:rFonts w:ascii="Verdana" w:eastAsia="Times New Roman" w:hAnsi="Verdana" w:cs="Times New Roman"/>
          <w:sz w:val="24"/>
          <w:szCs w:val="24"/>
        </w:rPr>
        <w:t>a commitment</w:t>
      </w:r>
      <w:r w:rsidR="00D87155" w:rsidRPr="001A359A">
        <w:rPr>
          <w:rFonts w:ascii="Verdana" w:hAnsi="Verdana"/>
          <w:sz w:val="24"/>
          <w:szCs w:val="24"/>
        </w:rPr>
        <w:t xml:space="preserve"> to increase levels of community participation and involvement in waterways. This commitment is articulated in 4 Regional Performance Objectives and 66 sub-catchment Performance Objectives.</w:t>
      </w:r>
      <w:r w:rsidR="00661831" w:rsidRPr="001A359A">
        <w:rPr>
          <w:rFonts w:ascii="Verdana" w:hAnsi="Verdana"/>
          <w:sz w:val="24"/>
          <w:szCs w:val="24"/>
        </w:rPr>
        <w:t xml:space="preserve"> Th</w:t>
      </w:r>
      <w:r w:rsidR="4753A977" w:rsidRPr="001A359A">
        <w:rPr>
          <w:rFonts w:ascii="Verdana" w:hAnsi="Verdana"/>
          <w:sz w:val="24"/>
          <w:szCs w:val="24"/>
        </w:rPr>
        <w:t xml:space="preserve">is commits </w:t>
      </w:r>
      <w:r w:rsidR="00DA2281" w:rsidRPr="001A359A">
        <w:rPr>
          <w:rFonts w:ascii="Verdana" w:hAnsi="Verdana"/>
          <w:sz w:val="24"/>
          <w:szCs w:val="24"/>
        </w:rPr>
        <w:t xml:space="preserve">Melbourne Water </w:t>
      </w:r>
      <w:r w:rsidR="00D87155" w:rsidRPr="001A359A">
        <w:rPr>
          <w:rFonts w:ascii="Verdana" w:hAnsi="Verdana"/>
          <w:sz w:val="24"/>
          <w:szCs w:val="24"/>
        </w:rPr>
        <w:t>to creat</w:t>
      </w:r>
      <w:r w:rsidR="369A126D" w:rsidRPr="001A359A">
        <w:rPr>
          <w:rFonts w:ascii="Verdana" w:hAnsi="Verdana"/>
          <w:sz w:val="24"/>
          <w:szCs w:val="24"/>
        </w:rPr>
        <w:t>ing</w:t>
      </w:r>
      <w:r w:rsidR="00D87155" w:rsidRPr="001A359A">
        <w:rPr>
          <w:rFonts w:ascii="Verdana" w:hAnsi="Verdana"/>
          <w:sz w:val="24"/>
          <w:szCs w:val="24"/>
        </w:rPr>
        <w:t xml:space="preserve"> a more engaged and knowledgeable community and stakeholders. </w:t>
      </w:r>
    </w:p>
    <w:p w14:paraId="5FE09FAF" w14:textId="7F43298B" w:rsidR="00D87155" w:rsidRPr="001A359A" w:rsidRDefault="009701E1" w:rsidP="37C25321">
      <w:pPr>
        <w:pStyle w:val="ListBullet"/>
        <w:numPr>
          <w:ilvl w:val="0"/>
          <w:numId w:val="0"/>
        </w:numPr>
        <w:tabs>
          <w:tab w:val="num" w:pos="1897"/>
        </w:tabs>
        <w:rPr>
          <w:rFonts w:ascii="Verdana" w:hAnsi="Verdana"/>
          <w:sz w:val="24"/>
          <w:szCs w:val="24"/>
        </w:rPr>
      </w:pPr>
      <w:r w:rsidRPr="001A359A">
        <w:rPr>
          <w:rFonts w:ascii="Verdana" w:hAnsi="Verdana"/>
          <w:sz w:val="24"/>
          <w:szCs w:val="24"/>
        </w:rPr>
        <w:t xml:space="preserve">The </w:t>
      </w:r>
      <w:r w:rsidR="00D87155" w:rsidRPr="001A359A">
        <w:rPr>
          <w:rFonts w:ascii="Verdana" w:hAnsi="Verdana"/>
          <w:sz w:val="24"/>
          <w:szCs w:val="24"/>
        </w:rPr>
        <w:t xml:space="preserve">2018 Healthy Waterways Strategy is the first to include specific performance objectives relating to social values of waterways, including community connection and involvement (see </w:t>
      </w:r>
      <w:r w:rsidR="004A7FD0" w:rsidRPr="001A359A">
        <w:rPr>
          <w:rFonts w:ascii="Verdana" w:hAnsi="Verdana"/>
          <w:sz w:val="24"/>
          <w:szCs w:val="24"/>
        </w:rPr>
        <w:t xml:space="preserve">HWS </w:t>
      </w:r>
      <w:r w:rsidR="00D87155" w:rsidRPr="001A359A">
        <w:rPr>
          <w:rFonts w:ascii="Verdana" w:hAnsi="Verdana"/>
          <w:sz w:val="24"/>
          <w:szCs w:val="24"/>
        </w:rPr>
        <w:t xml:space="preserve">pp. 40; 54). </w:t>
      </w:r>
    </w:p>
    <w:p w14:paraId="475AD5F7" w14:textId="77777777" w:rsidR="00D87155" w:rsidRPr="001A359A" w:rsidRDefault="00D87155" w:rsidP="37C25321">
      <w:pPr>
        <w:pStyle w:val="ListBullet"/>
        <w:numPr>
          <w:ilvl w:val="0"/>
          <w:numId w:val="0"/>
        </w:numPr>
        <w:ind w:left="360" w:hanging="360"/>
        <w:rPr>
          <w:rFonts w:ascii="Verdana" w:eastAsia="Times New Roman" w:hAnsi="Verdana" w:cs="Times New Roman"/>
          <w:sz w:val="24"/>
          <w:szCs w:val="24"/>
        </w:rPr>
      </w:pPr>
    </w:p>
    <w:p w14:paraId="383D0C07" w14:textId="0032DDEC" w:rsidR="00D87155" w:rsidRPr="001A359A" w:rsidRDefault="1ACB329D" w:rsidP="37C25321">
      <w:pPr>
        <w:pStyle w:val="ListBullet"/>
        <w:numPr>
          <w:ilvl w:val="0"/>
          <w:numId w:val="0"/>
        </w:numPr>
        <w:rPr>
          <w:rFonts w:ascii="Verdana" w:hAnsi="Verdana"/>
          <w:bCs/>
          <w:sz w:val="22"/>
        </w:rPr>
      </w:pPr>
      <w:r>
        <w:rPr>
          <w:noProof/>
          <w:color w:val="2B579A"/>
          <w:shd w:val="clear" w:color="auto" w:fill="E6E6E6"/>
          <w:lang w:eastAsia="en-AU"/>
        </w:rPr>
        <w:drawing>
          <wp:inline distT="0" distB="0" distL="0" distR="0" wp14:anchorId="5ACD7A9D" wp14:editId="61A18644">
            <wp:extent cx="6377144" cy="3771900"/>
            <wp:effectExtent l="0" t="0" r="5080" b="0"/>
            <wp:docPr id="19" name="Picture 19" descr="The process of developing the Healthy Waterways Strategy was shaped by the threats and opportunities of population growth and rapid urbanisation, climate change, appreciation of cultural values, changing social values, desire to collaborate more closely, co-design to align and leverage efforts and a changing regulatory and policy environment. &#10;&#10;The Strategy collaboratively designed and determined: a vision, goals, waterway values, key values, waterway conditions, targets, performance objectives, an implementation framework and five tailored catchment programs for the Werribee, Maribyrnong, Yarra, Dandenong and Westernport catchments. These components and the Strategy were developed from Collaborative Design (co-design) using waterway labs, catchment collaboration workshops, volunteer groups, pop-up listening stations, stakeholder meetings, cups of tea and a project leadership team. Co-design was shaped by lessons from the past, scientific data, expertise and modelling, and stakeholders collective knowledge.&#10;&#10;The process was informed by lessons from the Healthy Waterways Strategy 2013, Stormwater Strategy 2013 and state and federal policies. Scientific data, expertise and modelling consisted of a science panel, Habitat Suitability Modelling (HSM), conceptual models, a literature and data review, expert opinions (specialists), statistical analyses, Aquatic Value Identification and Risk Assessment (AVIRA) and the community perceptions of waterways survey. Stakeholders’ collective knowledge was gathered from community members, policy makers, Traditional Owners, on-ground practitioners, land managers, regulators, waterway managers, infrastructure authorities, service providers, planners and desig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2">
                      <a:extLst>
                        <a:ext uri="{28A0092B-C50C-407E-A947-70E740481C1C}">
                          <a14:useLocalDpi xmlns:a14="http://schemas.microsoft.com/office/drawing/2010/main" val="0"/>
                        </a:ext>
                      </a:extLst>
                    </a:blip>
                    <a:stretch>
                      <a:fillRect/>
                    </a:stretch>
                  </pic:blipFill>
                  <pic:spPr>
                    <a:xfrm>
                      <a:off x="0" y="0"/>
                      <a:ext cx="6377144" cy="3771900"/>
                    </a:xfrm>
                    <a:prstGeom prst="rect">
                      <a:avLst/>
                    </a:prstGeom>
                  </pic:spPr>
                </pic:pic>
              </a:graphicData>
            </a:graphic>
          </wp:inline>
        </w:drawing>
      </w:r>
      <w:r w:rsidR="7E674C7E" w:rsidRPr="001A359A">
        <w:rPr>
          <w:rFonts w:ascii="Verdana" w:hAnsi="Verdana"/>
          <w:b/>
          <w:bCs/>
          <w:sz w:val="22"/>
        </w:rPr>
        <w:t>Figure 1:</w:t>
      </w:r>
      <w:r w:rsidR="7E674C7E" w:rsidRPr="7A9D5689">
        <w:rPr>
          <w:rFonts w:ascii="Verdana" w:hAnsi="Verdana"/>
          <w:b/>
          <w:bCs/>
          <w:sz w:val="20"/>
          <w:szCs w:val="20"/>
        </w:rPr>
        <w:t xml:space="preserve"> </w:t>
      </w:r>
      <w:r w:rsidR="7E674C7E" w:rsidRPr="001A359A">
        <w:rPr>
          <w:rFonts w:ascii="Verdana" w:hAnsi="Verdana"/>
          <w:bCs/>
          <w:sz w:val="22"/>
        </w:rPr>
        <w:t>Showing the range of stakeholders inputting into HWS performance objectives (including those relating to community involvement)</w:t>
      </w:r>
    </w:p>
    <w:p w14:paraId="7D3D6DAB" w14:textId="328F9BBE" w:rsidR="0B26FF4E" w:rsidRDefault="0B26FF4E" w:rsidP="0B26FF4E">
      <w:pPr>
        <w:spacing w:before="120" w:after="120" w:line="300" w:lineRule="atLeast"/>
        <w:rPr>
          <w:rFonts w:ascii="Verdana" w:hAnsi="Verdana"/>
          <w:sz w:val="20"/>
          <w:szCs w:val="20"/>
        </w:rPr>
      </w:pPr>
    </w:p>
    <w:p w14:paraId="6287F7C9" w14:textId="328F9BBE" w:rsidR="004A7FD0" w:rsidRPr="001A359A" w:rsidRDefault="004A7FD0" w:rsidP="0B26FF4E">
      <w:pPr>
        <w:spacing w:before="120" w:after="120" w:line="300" w:lineRule="atLeast"/>
        <w:rPr>
          <w:rFonts w:ascii="Verdana" w:eastAsia="Times New Roman" w:hAnsi="Verdana" w:cs="Times New Roman"/>
          <w:sz w:val="24"/>
          <w:szCs w:val="24"/>
        </w:rPr>
      </w:pPr>
      <w:r w:rsidRPr="001A359A">
        <w:rPr>
          <w:rFonts w:ascii="Verdana" w:eastAsia="Times New Roman" w:hAnsi="Verdana" w:cs="Times New Roman"/>
          <w:sz w:val="24"/>
          <w:szCs w:val="24"/>
        </w:rPr>
        <w:lastRenderedPageBreak/>
        <w:t>Other strategic</w:t>
      </w:r>
      <w:r w:rsidR="00BF72D3" w:rsidRPr="001A359A">
        <w:rPr>
          <w:rFonts w:ascii="Verdana" w:eastAsia="Times New Roman" w:hAnsi="Verdana" w:cs="Times New Roman"/>
          <w:sz w:val="24"/>
          <w:szCs w:val="24"/>
        </w:rPr>
        <w:t xml:space="preserve"> government</w:t>
      </w:r>
      <w:r w:rsidRPr="001A359A">
        <w:rPr>
          <w:rFonts w:ascii="Verdana" w:eastAsia="Times New Roman" w:hAnsi="Verdana" w:cs="Times New Roman"/>
          <w:sz w:val="24"/>
          <w:szCs w:val="24"/>
        </w:rPr>
        <w:t xml:space="preserve"> </w:t>
      </w:r>
      <w:r w:rsidR="00EA05D9" w:rsidRPr="001A359A">
        <w:rPr>
          <w:rFonts w:ascii="Verdana" w:eastAsia="Times New Roman" w:hAnsi="Verdana" w:cs="Times New Roman"/>
          <w:sz w:val="24"/>
          <w:szCs w:val="24"/>
        </w:rPr>
        <w:t xml:space="preserve">policy </w:t>
      </w:r>
      <w:r w:rsidRPr="001A359A">
        <w:rPr>
          <w:rFonts w:ascii="Verdana" w:eastAsia="Times New Roman" w:hAnsi="Verdana" w:cs="Times New Roman"/>
          <w:sz w:val="24"/>
          <w:szCs w:val="24"/>
        </w:rPr>
        <w:t xml:space="preserve">drivers for the program are outlined in table </w:t>
      </w:r>
      <w:r w:rsidR="78053557" w:rsidRPr="001A359A">
        <w:rPr>
          <w:rFonts w:ascii="Verdana" w:eastAsia="Times New Roman" w:hAnsi="Verdana" w:cs="Times New Roman"/>
          <w:sz w:val="24"/>
          <w:szCs w:val="24"/>
        </w:rPr>
        <w:t>2</w:t>
      </w:r>
      <w:r w:rsidRPr="001A359A">
        <w:rPr>
          <w:rFonts w:ascii="Verdana" w:eastAsia="Times New Roman" w:hAnsi="Verdana" w:cs="Times New Roman"/>
          <w:sz w:val="24"/>
          <w:szCs w:val="24"/>
        </w:rPr>
        <w:t>.</w:t>
      </w:r>
    </w:p>
    <w:p w14:paraId="5F91726B" w14:textId="483DDAF7" w:rsidR="0B26FF4E" w:rsidRPr="001A359A" w:rsidRDefault="0B26FF4E" w:rsidP="0B26FF4E">
      <w:pPr>
        <w:rPr>
          <w:rFonts w:ascii="Verdana" w:hAnsi="Verdana"/>
          <w:b/>
          <w:bCs/>
          <w:sz w:val="24"/>
          <w:szCs w:val="24"/>
        </w:rPr>
      </w:pPr>
    </w:p>
    <w:p w14:paraId="4D7DF09D" w14:textId="6476FD9E" w:rsidR="004A7FD0" w:rsidRPr="001A359A" w:rsidRDefault="004A7FD0" w:rsidP="37C25321">
      <w:pPr>
        <w:rPr>
          <w:rFonts w:ascii="Verdana" w:hAnsi="Verdana"/>
          <w:b/>
          <w:bCs/>
          <w:sz w:val="24"/>
          <w:szCs w:val="24"/>
        </w:rPr>
      </w:pPr>
      <w:r w:rsidRPr="001A359A">
        <w:rPr>
          <w:rFonts w:ascii="Verdana" w:hAnsi="Verdana"/>
          <w:b/>
          <w:bCs/>
          <w:sz w:val="24"/>
          <w:szCs w:val="24"/>
        </w:rPr>
        <w:t xml:space="preserve">Table </w:t>
      </w:r>
      <w:r w:rsidR="4FEA73E0" w:rsidRPr="001A359A">
        <w:rPr>
          <w:rFonts w:ascii="Verdana" w:hAnsi="Verdana"/>
          <w:b/>
          <w:bCs/>
          <w:sz w:val="24"/>
          <w:szCs w:val="24"/>
        </w:rPr>
        <w:t>2</w:t>
      </w:r>
      <w:r w:rsidR="00BF72D3" w:rsidRPr="001A359A">
        <w:rPr>
          <w:rFonts w:ascii="Verdana" w:hAnsi="Verdana"/>
          <w:b/>
          <w:bCs/>
          <w:sz w:val="24"/>
          <w:szCs w:val="24"/>
        </w:rPr>
        <w:t xml:space="preserve">: </w:t>
      </w:r>
      <w:r w:rsidR="00BF72D3" w:rsidRPr="001A359A">
        <w:rPr>
          <w:rFonts w:ascii="Verdana" w:hAnsi="Verdana"/>
          <w:bCs/>
          <w:sz w:val="24"/>
          <w:szCs w:val="24"/>
        </w:rPr>
        <w:t>Strategic government policy drivers</w:t>
      </w:r>
    </w:p>
    <w:tbl>
      <w:tblPr>
        <w:tblStyle w:val="TableGrid"/>
        <w:tblW w:w="9016" w:type="dxa"/>
        <w:tblLook w:val="04A0" w:firstRow="1" w:lastRow="0" w:firstColumn="1" w:lastColumn="0" w:noHBand="0" w:noVBand="1"/>
      </w:tblPr>
      <w:tblGrid>
        <w:gridCol w:w="2545"/>
        <w:gridCol w:w="6471"/>
      </w:tblGrid>
      <w:tr w:rsidR="00EA05D9" w:rsidRPr="001A359A" w14:paraId="61FB04A8" w14:textId="77777777" w:rsidTr="0B26FF4E">
        <w:tc>
          <w:tcPr>
            <w:tcW w:w="2545" w:type="dxa"/>
          </w:tcPr>
          <w:p w14:paraId="73849884" w14:textId="01E1A631" w:rsidR="00EA05D9" w:rsidRPr="001A359A" w:rsidRDefault="00BF72D3" w:rsidP="37C25321">
            <w:pPr>
              <w:rPr>
                <w:rFonts w:ascii="Verdana" w:hAnsi="Verdana"/>
                <w:b/>
                <w:bCs/>
                <w:sz w:val="22"/>
              </w:rPr>
            </w:pPr>
            <w:r w:rsidRPr="001A359A">
              <w:rPr>
                <w:rFonts w:ascii="Verdana" w:hAnsi="Verdana"/>
                <w:b/>
                <w:bCs/>
                <w:sz w:val="22"/>
              </w:rPr>
              <w:t>Policy</w:t>
            </w:r>
          </w:p>
        </w:tc>
        <w:tc>
          <w:tcPr>
            <w:tcW w:w="6471" w:type="dxa"/>
          </w:tcPr>
          <w:p w14:paraId="4F0DDD99" w14:textId="64981F26" w:rsidR="00EA05D9" w:rsidRPr="001A359A" w:rsidRDefault="00BF72D3" w:rsidP="37C25321">
            <w:pPr>
              <w:rPr>
                <w:rFonts w:ascii="Verdana" w:hAnsi="Verdana"/>
                <w:b/>
                <w:bCs/>
                <w:sz w:val="22"/>
              </w:rPr>
            </w:pPr>
            <w:r w:rsidRPr="001A359A">
              <w:rPr>
                <w:rFonts w:ascii="Verdana" w:hAnsi="Verdana"/>
                <w:b/>
                <w:bCs/>
                <w:sz w:val="22"/>
              </w:rPr>
              <w:t>Direction</w:t>
            </w:r>
          </w:p>
        </w:tc>
      </w:tr>
      <w:tr w:rsidR="00EA05D9" w:rsidRPr="001A359A" w14:paraId="5E435259" w14:textId="77777777" w:rsidTr="0B26FF4E">
        <w:tc>
          <w:tcPr>
            <w:tcW w:w="2545" w:type="dxa"/>
          </w:tcPr>
          <w:p w14:paraId="781FBDDF" w14:textId="4421952D" w:rsidR="00EA05D9" w:rsidRPr="001A359A" w:rsidRDefault="00BF72D3" w:rsidP="37C25321">
            <w:pPr>
              <w:pStyle w:val="ListBullet"/>
              <w:numPr>
                <w:ilvl w:val="0"/>
                <w:numId w:val="0"/>
              </w:numPr>
              <w:rPr>
                <w:rFonts w:ascii="Verdana" w:hAnsi="Verdana"/>
                <w:b/>
                <w:bCs/>
                <w:sz w:val="22"/>
              </w:rPr>
            </w:pPr>
            <w:r w:rsidRPr="001A359A">
              <w:rPr>
                <w:rFonts w:ascii="Verdana" w:hAnsi="Verdana"/>
                <w:b/>
                <w:bCs/>
                <w:sz w:val="22"/>
              </w:rPr>
              <w:t xml:space="preserve">Water for Victoria </w:t>
            </w:r>
            <w:r w:rsidRPr="001A359A">
              <w:rPr>
                <w:rFonts w:ascii="Verdana" w:hAnsi="Verdana"/>
                <w:sz w:val="22"/>
              </w:rPr>
              <w:t>(administered by DELWP)</w:t>
            </w:r>
          </w:p>
        </w:tc>
        <w:tc>
          <w:tcPr>
            <w:tcW w:w="6471" w:type="dxa"/>
          </w:tcPr>
          <w:p w14:paraId="7D31542B" w14:textId="77777777" w:rsidR="00BF72D3" w:rsidRPr="001A359A" w:rsidRDefault="00BF72D3" w:rsidP="37C25321">
            <w:pPr>
              <w:pStyle w:val="ListBullet"/>
              <w:tabs>
                <w:tab w:val="num" w:pos="1577"/>
              </w:tabs>
              <w:spacing w:before="60" w:after="60"/>
              <w:ind w:left="397" w:hanging="357"/>
              <w:contextualSpacing w:val="0"/>
              <w:rPr>
                <w:rFonts w:ascii="Verdana" w:hAnsi="Verdana"/>
                <w:sz w:val="22"/>
              </w:rPr>
            </w:pPr>
            <w:r w:rsidRPr="001A359A">
              <w:rPr>
                <w:rFonts w:ascii="Verdana" w:hAnsi="Verdana"/>
                <w:sz w:val="22"/>
              </w:rPr>
              <w:t>Action 3.8: Support community partnerships and citizen science</w:t>
            </w:r>
          </w:p>
          <w:p w14:paraId="3BDB11B6" w14:textId="01C83E27" w:rsidR="00EA05D9" w:rsidRPr="001A359A" w:rsidRDefault="00BF72D3" w:rsidP="0B26FF4E">
            <w:pPr>
              <w:pStyle w:val="ListBullet"/>
              <w:tabs>
                <w:tab w:val="num" w:pos="1577"/>
              </w:tabs>
              <w:spacing w:before="60" w:after="60"/>
              <w:ind w:left="397" w:hanging="357"/>
              <w:contextualSpacing w:val="0"/>
              <w:rPr>
                <w:sz w:val="22"/>
              </w:rPr>
            </w:pPr>
            <w:r w:rsidRPr="001A359A">
              <w:rPr>
                <w:rFonts w:ascii="Verdana" w:hAnsi="Verdana"/>
                <w:sz w:val="22"/>
              </w:rPr>
              <w:t>Action 10.1: Improve engagement with customers and the broader community</w:t>
            </w:r>
            <w:r w:rsidR="195F1070" w:rsidRPr="001A359A">
              <w:rPr>
                <w:rFonts w:ascii="Verdana" w:hAnsi="Verdana"/>
                <w:sz w:val="22"/>
              </w:rPr>
              <w:t>.</w:t>
            </w:r>
          </w:p>
        </w:tc>
      </w:tr>
      <w:tr w:rsidR="00BF72D3" w:rsidRPr="001A359A" w14:paraId="7D72EF71" w14:textId="77777777" w:rsidTr="0B26FF4E">
        <w:tc>
          <w:tcPr>
            <w:tcW w:w="2545" w:type="dxa"/>
          </w:tcPr>
          <w:p w14:paraId="1D496E90" w14:textId="77777777" w:rsidR="00BF72D3" w:rsidRPr="001A359A" w:rsidRDefault="00BF72D3" w:rsidP="37C25321">
            <w:pPr>
              <w:pStyle w:val="ListBullet"/>
              <w:numPr>
                <w:ilvl w:val="0"/>
                <w:numId w:val="0"/>
              </w:numPr>
              <w:rPr>
                <w:rFonts w:ascii="Verdana" w:hAnsi="Verdana"/>
                <w:b/>
                <w:bCs/>
                <w:sz w:val="22"/>
              </w:rPr>
            </w:pPr>
            <w:r w:rsidRPr="001A359A">
              <w:rPr>
                <w:rFonts w:ascii="Verdana" w:hAnsi="Verdana"/>
                <w:b/>
                <w:bCs/>
                <w:sz w:val="22"/>
              </w:rPr>
              <w:t>Victorian Waterway Health Strategy</w:t>
            </w:r>
          </w:p>
          <w:p w14:paraId="12014B48" w14:textId="2626843F" w:rsidR="00BF72D3" w:rsidRPr="001A359A" w:rsidRDefault="00D3796A" w:rsidP="37C25321">
            <w:pPr>
              <w:pStyle w:val="ListBullet"/>
              <w:numPr>
                <w:ilvl w:val="0"/>
                <w:numId w:val="0"/>
              </w:numPr>
              <w:rPr>
                <w:rFonts w:ascii="Verdana" w:hAnsi="Verdana"/>
                <w:b/>
                <w:bCs/>
                <w:sz w:val="22"/>
              </w:rPr>
            </w:pPr>
            <w:r w:rsidRPr="001A359A">
              <w:rPr>
                <w:rFonts w:ascii="Verdana" w:hAnsi="Verdana"/>
                <w:sz w:val="22"/>
              </w:rPr>
              <w:t>(administered by DELWP)</w:t>
            </w:r>
          </w:p>
        </w:tc>
        <w:tc>
          <w:tcPr>
            <w:tcW w:w="6471" w:type="dxa"/>
          </w:tcPr>
          <w:p w14:paraId="32A2A37E" w14:textId="1454CE68" w:rsidR="00BF72D3" w:rsidRPr="001A359A" w:rsidRDefault="00BF72D3" w:rsidP="37C25321">
            <w:pPr>
              <w:pStyle w:val="ListBullet"/>
              <w:tabs>
                <w:tab w:val="num" w:pos="1577"/>
              </w:tabs>
              <w:spacing w:before="60" w:after="60"/>
              <w:ind w:left="397" w:hanging="357"/>
              <w:contextualSpacing w:val="0"/>
              <w:rPr>
                <w:rFonts w:ascii="Verdana" w:hAnsi="Verdana"/>
                <w:sz w:val="22"/>
              </w:rPr>
            </w:pPr>
            <w:r w:rsidRPr="001A359A">
              <w:rPr>
                <w:rFonts w:ascii="Verdana" w:hAnsi="Verdana"/>
                <w:sz w:val="22"/>
              </w:rPr>
              <w:t>The Victorian Government will continue to support community participation in planning, implementation and monitoring activities for waterway management programs</w:t>
            </w:r>
          </w:p>
          <w:p w14:paraId="56B1C8D8" w14:textId="4F2D500D" w:rsidR="00BF72D3" w:rsidRPr="001A359A" w:rsidRDefault="00BF72D3" w:rsidP="37C25321">
            <w:pPr>
              <w:pStyle w:val="ListBullet"/>
              <w:tabs>
                <w:tab w:val="num" w:pos="1577"/>
              </w:tabs>
              <w:spacing w:before="60" w:after="60"/>
              <w:ind w:left="397" w:hanging="357"/>
              <w:contextualSpacing w:val="0"/>
              <w:rPr>
                <w:rFonts w:eastAsiaTheme="minorEastAsia"/>
                <w:sz w:val="22"/>
              </w:rPr>
            </w:pPr>
            <w:r w:rsidRPr="001A359A">
              <w:rPr>
                <w:rFonts w:ascii="Verdana" w:hAnsi="Verdana"/>
                <w:sz w:val="22"/>
              </w:rPr>
              <w:t xml:space="preserve">The Victorian Government will continue to promote local action by supporting the work of individuals, community groups and other volunteer groups to maintain or improve the environmental condition of waterways. </w:t>
            </w:r>
          </w:p>
        </w:tc>
      </w:tr>
      <w:tr w:rsidR="00BF72D3" w:rsidRPr="001A359A" w14:paraId="47CC18BF" w14:textId="77777777" w:rsidTr="0B26FF4E">
        <w:tc>
          <w:tcPr>
            <w:tcW w:w="2545" w:type="dxa"/>
          </w:tcPr>
          <w:p w14:paraId="02F9F1E9" w14:textId="0AECCF85" w:rsidR="00BF72D3" w:rsidRPr="001A359A" w:rsidRDefault="00BF72D3" w:rsidP="0B26FF4E">
            <w:pPr>
              <w:pStyle w:val="ListBullet"/>
              <w:numPr>
                <w:ilvl w:val="0"/>
                <w:numId w:val="0"/>
              </w:numPr>
              <w:rPr>
                <w:rFonts w:ascii="Verdana" w:hAnsi="Verdana"/>
                <w:sz w:val="22"/>
              </w:rPr>
            </w:pPr>
            <w:r w:rsidRPr="001A359A">
              <w:rPr>
                <w:rFonts w:ascii="Verdana" w:hAnsi="Verdana"/>
                <w:b/>
                <w:bCs/>
                <w:sz w:val="22"/>
              </w:rPr>
              <w:t>Victorians Volunteering for Nature</w:t>
            </w:r>
            <w:r w:rsidR="00D3796A" w:rsidRPr="001A359A">
              <w:rPr>
                <w:rFonts w:ascii="Verdana" w:hAnsi="Verdana"/>
                <w:b/>
                <w:bCs/>
                <w:sz w:val="22"/>
              </w:rPr>
              <w:t xml:space="preserve"> </w:t>
            </w:r>
            <w:r w:rsidR="1C8B3F15" w:rsidRPr="001A359A">
              <w:rPr>
                <w:rFonts w:ascii="Verdana" w:hAnsi="Verdana"/>
                <w:sz w:val="22"/>
              </w:rPr>
              <w:t xml:space="preserve">(Environmental Volunteering Plan,  </w:t>
            </w:r>
          </w:p>
          <w:p w14:paraId="2E09FF60" w14:textId="2416E9DB" w:rsidR="00BF72D3" w:rsidRPr="001A359A" w:rsidRDefault="00D3796A" w:rsidP="0B26FF4E">
            <w:pPr>
              <w:pStyle w:val="ListBullet"/>
              <w:numPr>
                <w:ilvl w:val="0"/>
                <w:numId w:val="0"/>
              </w:numPr>
              <w:rPr>
                <w:rFonts w:ascii="Verdana" w:hAnsi="Verdana"/>
                <w:sz w:val="22"/>
              </w:rPr>
            </w:pPr>
            <w:r w:rsidRPr="001A359A">
              <w:rPr>
                <w:rFonts w:ascii="Verdana" w:hAnsi="Verdana"/>
                <w:sz w:val="22"/>
              </w:rPr>
              <w:t xml:space="preserve">administered by </w:t>
            </w:r>
            <w:r w:rsidR="3B2AB482" w:rsidRPr="001A359A">
              <w:rPr>
                <w:rFonts w:ascii="Verdana" w:hAnsi="Verdana"/>
                <w:sz w:val="22"/>
              </w:rPr>
              <w:t>DELWP</w:t>
            </w:r>
            <w:r w:rsidR="6033E7C7" w:rsidRPr="001A359A">
              <w:rPr>
                <w:rFonts w:ascii="Verdana" w:hAnsi="Verdana"/>
                <w:sz w:val="22"/>
              </w:rPr>
              <w:t>)</w:t>
            </w:r>
          </w:p>
        </w:tc>
        <w:tc>
          <w:tcPr>
            <w:tcW w:w="6471" w:type="dxa"/>
          </w:tcPr>
          <w:p w14:paraId="743E8E92" w14:textId="154513D3" w:rsidR="00BF72D3" w:rsidRPr="001A359A" w:rsidRDefault="37C530E4" w:rsidP="0B26FF4E">
            <w:pPr>
              <w:pStyle w:val="ListBullet"/>
              <w:numPr>
                <w:ilvl w:val="0"/>
                <w:numId w:val="3"/>
              </w:numPr>
              <w:tabs>
                <w:tab w:val="num" w:pos="1577"/>
              </w:tabs>
              <w:spacing w:before="60" w:after="60"/>
              <w:contextualSpacing w:val="0"/>
              <w:rPr>
                <w:rFonts w:eastAsiaTheme="minorEastAsia"/>
                <w:sz w:val="22"/>
              </w:rPr>
            </w:pPr>
            <w:r w:rsidRPr="001A359A">
              <w:rPr>
                <w:rFonts w:ascii="Verdana" w:hAnsi="Verdana"/>
                <w:sz w:val="22"/>
              </w:rPr>
              <w:t>S</w:t>
            </w:r>
            <w:r w:rsidR="00BF72D3" w:rsidRPr="001A359A">
              <w:rPr>
                <w:rFonts w:ascii="Verdana" w:hAnsi="Verdana"/>
                <w:sz w:val="22"/>
              </w:rPr>
              <w:t xml:space="preserve">upport delivery of the Plan and its focus areas of Sustain, Expand, Value and Understand. </w:t>
            </w:r>
          </w:p>
          <w:p w14:paraId="3D88B40F" w14:textId="4A949D29" w:rsidR="00BF72D3" w:rsidRPr="001A359A" w:rsidRDefault="00BF72D3" w:rsidP="0B26FF4E">
            <w:pPr>
              <w:pStyle w:val="ListBullet"/>
              <w:numPr>
                <w:ilvl w:val="0"/>
                <w:numId w:val="3"/>
              </w:numPr>
              <w:tabs>
                <w:tab w:val="num" w:pos="1577"/>
              </w:tabs>
              <w:spacing w:before="60" w:after="60"/>
              <w:contextualSpacing w:val="0"/>
              <w:rPr>
                <w:rFonts w:eastAsiaTheme="minorEastAsia"/>
                <w:sz w:val="22"/>
              </w:rPr>
            </w:pPr>
            <w:r w:rsidRPr="001A359A">
              <w:rPr>
                <w:rFonts w:ascii="Verdana" w:hAnsi="Verdana"/>
                <w:sz w:val="22"/>
              </w:rPr>
              <w:t>Specific actions that our program delivers upon include;</w:t>
            </w:r>
          </w:p>
          <w:p w14:paraId="4070672F" w14:textId="77777777" w:rsidR="00BF72D3" w:rsidRPr="001A359A" w:rsidRDefault="00BF72D3" w:rsidP="37C25321">
            <w:pPr>
              <w:pStyle w:val="ListBullet"/>
              <w:numPr>
                <w:ilvl w:val="1"/>
                <w:numId w:val="20"/>
              </w:numPr>
              <w:tabs>
                <w:tab w:val="num" w:pos="1577"/>
              </w:tabs>
              <w:spacing w:before="60" w:after="60"/>
              <w:ind w:left="1032" w:hanging="357"/>
              <w:contextualSpacing w:val="0"/>
              <w:rPr>
                <w:rFonts w:ascii="Verdana" w:hAnsi="Verdana"/>
                <w:sz w:val="22"/>
              </w:rPr>
            </w:pPr>
            <w:r w:rsidRPr="001A359A">
              <w:rPr>
                <w:rFonts w:ascii="Verdana" w:hAnsi="Verdana"/>
                <w:sz w:val="22"/>
              </w:rPr>
              <w:t>Offer a suite of ecological, technical and practical seminars, events, workshops and training activities</w:t>
            </w:r>
          </w:p>
          <w:p w14:paraId="333357B5" w14:textId="77777777" w:rsidR="00BF72D3" w:rsidRPr="001A359A" w:rsidRDefault="00BF72D3" w:rsidP="37C25321">
            <w:pPr>
              <w:pStyle w:val="ListBullet"/>
              <w:numPr>
                <w:ilvl w:val="1"/>
                <w:numId w:val="20"/>
              </w:numPr>
              <w:tabs>
                <w:tab w:val="num" w:pos="1577"/>
              </w:tabs>
              <w:spacing w:before="60" w:after="60"/>
              <w:ind w:left="1032" w:hanging="357"/>
              <w:contextualSpacing w:val="0"/>
              <w:rPr>
                <w:rFonts w:ascii="Verdana" w:hAnsi="Verdana"/>
                <w:sz w:val="22"/>
              </w:rPr>
            </w:pPr>
            <w:r w:rsidRPr="001A359A">
              <w:rPr>
                <w:rFonts w:ascii="Verdana" w:hAnsi="Verdana"/>
                <w:sz w:val="22"/>
              </w:rPr>
              <w:t>Develop and extend citizen science projects to connect scientists with volunteers</w:t>
            </w:r>
          </w:p>
          <w:p w14:paraId="5096E495" w14:textId="3156C049" w:rsidR="00BF72D3" w:rsidRPr="001A359A" w:rsidRDefault="00BF72D3" w:rsidP="37C25321">
            <w:pPr>
              <w:pStyle w:val="ListBullet"/>
              <w:numPr>
                <w:ilvl w:val="1"/>
                <w:numId w:val="20"/>
              </w:numPr>
              <w:tabs>
                <w:tab w:val="num" w:pos="1577"/>
              </w:tabs>
              <w:spacing w:before="60" w:after="60"/>
              <w:ind w:left="1032" w:hanging="357"/>
              <w:contextualSpacing w:val="0"/>
              <w:rPr>
                <w:rFonts w:ascii="Verdana" w:hAnsi="Verdana"/>
                <w:sz w:val="22"/>
              </w:rPr>
            </w:pPr>
            <w:r w:rsidRPr="001A359A">
              <w:rPr>
                <w:rFonts w:ascii="Verdana" w:hAnsi="Verdana"/>
                <w:sz w:val="22"/>
              </w:rPr>
              <w:t xml:space="preserve">Continue to review, adapt and encourage modern technologies to improve the volunteer experience to make it more accessible and easier to </w:t>
            </w:r>
            <w:r w:rsidR="6A2F5489" w:rsidRPr="001A359A">
              <w:rPr>
                <w:rFonts w:ascii="Verdana" w:hAnsi="Verdana"/>
                <w:sz w:val="22"/>
              </w:rPr>
              <w:t>participate.</w:t>
            </w:r>
          </w:p>
        </w:tc>
      </w:tr>
      <w:tr w:rsidR="00BF72D3" w:rsidRPr="001A359A" w14:paraId="59C40629" w14:textId="77777777" w:rsidTr="0B26FF4E">
        <w:tc>
          <w:tcPr>
            <w:tcW w:w="2545" w:type="dxa"/>
          </w:tcPr>
          <w:p w14:paraId="25F7311D" w14:textId="3B9F86E6" w:rsidR="00BF72D3" w:rsidRPr="001A359A" w:rsidRDefault="00BF72D3" w:rsidP="37C25321">
            <w:pPr>
              <w:pStyle w:val="ListBullet"/>
              <w:numPr>
                <w:ilvl w:val="0"/>
                <w:numId w:val="0"/>
              </w:numPr>
              <w:rPr>
                <w:rFonts w:ascii="Verdana" w:hAnsi="Verdana"/>
                <w:sz w:val="22"/>
              </w:rPr>
            </w:pPr>
            <w:r w:rsidRPr="001A359A">
              <w:rPr>
                <w:rFonts w:ascii="Verdana" w:hAnsi="Verdana"/>
                <w:b/>
                <w:bCs/>
                <w:sz w:val="22"/>
              </w:rPr>
              <w:t>Victoria’s Biodiversity Plan 2037</w:t>
            </w:r>
            <w:r w:rsidR="00D3796A" w:rsidRPr="001A359A">
              <w:rPr>
                <w:rFonts w:ascii="Verdana" w:hAnsi="Verdana"/>
                <w:b/>
                <w:bCs/>
                <w:sz w:val="22"/>
              </w:rPr>
              <w:t xml:space="preserve"> </w:t>
            </w:r>
            <w:r w:rsidR="00D3796A" w:rsidRPr="001A359A">
              <w:rPr>
                <w:rFonts w:ascii="Verdana" w:hAnsi="Verdana"/>
                <w:sz w:val="22"/>
              </w:rPr>
              <w:t xml:space="preserve">(administered by </w:t>
            </w:r>
            <w:r w:rsidR="7D8D2427" w:rsidRPr="001A359A">
              <w:rPr>
                <w:rFonts w:ascii="Verdana" w:hAnsi="Verdana"/>
                <w:sz w:val="22"/>
              </w:rPr>
              <w:t>DELWP)</w:t>
            </w:r>
          </w:p>
        </w:tc>
        <w:tc>
          <w:tcPr>
            <w:tcW w:w="6471" w:type="dxa"/>
          </w:tcPr>
          <w:p w14:paraId="3A932337"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All Victorians connecting with nature; 5 million Victorians acting to protect the natural environment by 2037:</w:t>
            </w:r>
          </w:p>
          <w:p w14:paraId="39BAC142"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Raise the awareness of all Victorians about the importance of the state’s natural environment</w:t>
            </w:r>
          </w:p>
          <w:p w14:paraId="4C94D75E"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Increase opportunities for all Victorians to have daily connections with nature</w:t>
            </w:r>
          </w:p>
          <w:p w14:paraId="05171B8D"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Increase opportunities for all Victorians to act to protect biodiversity</w:t>
            </w:r>
          </w:p>
          <w:p w14:paraId="19614E93" w14:textId="354137FB" w:rsidR="42DE5E3A" w:rsidRPr="001A359A" w:rsidRDefault="42DE5E3A" w:rsidP="37C25321">
            <w:pPr>
              <w:pStyle w:val="ListBullet"/>
              <w:tabs>
                <w:tab w:val="num" w:pos="1577"/>
              </w:tabs>
              <w:spacing w:before="60" w:after="60" w:line="259" w:lineRule="auto"/>
              <w:ind w:left="400" w:hanging="357"/>
              <w:rPr>
                <w:rFonts w:eastAsiaTheme="minorEastAsia"/>
                <w:sz w:val="22"/>
              </w:rPr>
            </w:pPr>
            <w:r w:rsidRPr="001A359A">
              <w:rPr>
                <w:rFonts w:ascii="Verdana" w:hAnsi="Verdana"/>
                <w:sz w:val="22"/>
              </w:rPr>
              <w:t>No vulnerable or near-threatened species will have become endangered.</w:t>
            </w:r>
          </w:p>
          <w:p w14:paraId="1723F6E9" w14:textId="32B7BDCF" w:rsidR="00BF72D3" w:rsidRPr="001A359A" w:rsidRDefault="0066526F" w:rsidP="0B26FF4E">
            <w:pPr>
              <w:pStyle w:val="ListBullet"/>
              <w:tabs>
                <w:tab w:val="num" w:pos="1577"/>
              </w:tabs>
              <w:spacing w:before="60" w:after="60"/>
              <w:ind w:left="400" w:hanging="357"/>
              <w:contextualSpacing w:val="0"/>
              <w:rPr>
                <w:rFonts w:eastAsiaTheme="minorEastAsia"/>
                <w:sz w:val="22"/>
              </w:rPr>
            </w:pPr>
            <w:r w:rsidRPr="001A359A">
              <w:rPr>
                <w:rFonts w:ascii="Verdana" w:hAnsi="Verdana"/>
                <w:sz w:val="22"/>
              </w:rPr>
              <w:t xml:space="preserve">Help to create more liveable and climate-adapted </w:t>
            </w:r>
            <w:r w:rsidR="40E92D43" w:rsidRPr="001A359A">
              <w:rPr>
                <w:rFonts w:ascii="Verdana" w:hAnsi="Verdana"/>
                <w:sz w:val="22"/>
              </w:rPr>
              <w:t>communities.</w:t>
            </w:r>
          </w:p>
        </w:tc>
      </w:tr>
      <w:tr w:rsidR="0066526F" w:rsidRPr="001A359A" w14:paraId="243C027A" w14:textId="77777777" w:rsidTr="0B26FF4E">
        <w:tc>
          <w:tcPr>
            <w:tcW w:w="2545" w:type="dxa"/>
          </w:tcPr>
          <w:p w14:paraId="6992045E" w14:textId="28F59BEE" w:rsidR="0066526F" w:rsidRPr="001A359A" w:rsidRDefault="0066526F" w:rsidP="37C25321">
            <w:pPr>
              <w:pStyle w:val="ListBullet"/>
              <w:numPr>
                <w:ilvl w:val="0"/>
                <w:numId w:val="0"/>
              </w:numPr>
              <w:rPr>
                <w:rFonts w:ascii="Verdana" w:hAnsi="Verdana"/>
                <w:b/>
                <w:bCs/>
                <w:sz w:val="22"/>
              </w:rPr>
            </w:pPr>
            <w:r w:rsidRPr="001A359A">
              <w:rPr>
                <w:rFonts w:ascii="Verdana" w:eastAsiaTheme="minorEastAsia" w:hAnsi="Verdana"/>
                <w:b/>
                <w:bCs/>
                <w:sz w:val="22"/>
              </w:rPr>
              <w:lastRenderedPageBreak/>
              <w:t>Other relevant policies</w:t>
            </w:r>
          </w:p>
        </w:tc>
        <w:tc>
          <w:tcPr>
            <w:tcW w:w="6471" w:type="dxa"/>
          </w:tcPr>
          <w:p w14:paraId="263D0A98"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Victorian Flood Management Strategy</w:t>
            </w:r>
          </w:p>
          <w:p w14:paraId="0ECC4095"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Yarra Strategic Plan</w:t>
            </w:r>
          </w:p>
          <w:p w14:paraId="4CD652E2"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 xml:space="preserve">Waterways of the West (draft) </w:t>
            </w:r>
          </w:p>
          <w:p w14:paraId="55367384"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Port Phillip Bay Environmental Management Plan</w:t>
            </w:r>
          </w:p>
          <w:p w14:paraId="24FA7528" w14:textId="77777777" w:rsidR="0066526F" w:rsidRPr="001A359A" w:rsidRDefault="0066526F" w:rsidP="37C25321">
            <w:pPr>
              <w:pStyle w:val="ListBullet"/>
              <w:tabs>
                <w:tab w:val="num" w:pos="1577"/>
              </w:tabs>
              <w:spacing w:before="60" w:after="60"/>
              <w:ind w:left="400" w:hanging="357"/>
              <w:contextualSpacing w:val="0"/>
              <w:rPr>
                <w:rFonts w:ascii="Verdana" w:hAnsi="Verdana"/>
                <w:sz w:val="22"/>
              </w:rPr>
            </w:pPr>
            <w:r w:rsidRPr="001A359A">
              <w:rPr>
                <w:rFonts w:ascii="Verdana" w:hAnsi="Verdana"/>
                <w:sz w:val="22"/>
              </w:rPr>
              <w:t>United Nations Sustainable Development Goals</w:t>
            </w:r>
          </w:p>
          <w:p w14:paraId="21BE7FDD" w14:textId="2EF4F36A" w:rsidR="0066526F" w:rsidRPr="001A359A" w:rsidRDefault="0066526F" w:rsidP="0B26FF4E">
            <w:pPr>
              <w:pStyle w:val="ListBullet"/>
              <w:tabs>
                <w:tab w:val="num" w:pos="1577"/>
              </w:tabs>
              <w:spacing w:before="60" w:after="60"/>
              <w:ind w:left="400" w:hanging="357"/>
              <w:contextualSpacing w:val="0"/>
              <w:rPr>
                <w:rFonts w:eastAsiaTheme="minorEastAsia"/>
                <w:sz w:val="22"/>
              </w:rPr>
            </w:pPr>
            <w:r w:rsidRPr="001A359A">
              <w:rPr>
                <w:rFonts w:ascii="Verdana" w:hAnsi="Verdana"/>
                <w:sz w:val="22"/>
              </w:rPr>
              <w:t>The Plan for Water</w:t>
            </w:r>
            <w:r w:rsidR="30B53E0E" w:rsidRPr="001A359A">
              <w:rPr>
                <w:rFonts w:ascii="Verdana" w:hAnsi="Verdana"/>
                <w:sz w:val="22"/>
              </w:rPr>
              <w:t>W</w:t>
            </w:r>
            <w:r w:rsidRPr="001A359A">
              <w:rPr>
                <w:rFonts w:ascii="Verdana" w:hAnsi="Verdana"/>
                <w:sz w:val="22"/>
              </w:rPr>
              <w:t>atch Victoria</w:t>
            </w:r>
            <w:r w:rsidR="0DC7D91B" w:rsidRPr="001A359A">
              <w:rPr>
                <w:rFonts w:ascii="Verdana" w:hAnsi="Verdana"/>
                <w:sz w:val="22"/>
              </w:rPr>
              <w:t>.</w:t>
            </w:r>
          </w:p>
        </w:tc>
      </w:tr>
    </w:tbl>
    <w:p w14:paraId="436AEF89" w14:textId="73598D34" w:rsidR="2F4D1433" w:rsidRDefault="2F4D1433" w:rsidP="2F4D1433">
      <w:pPr>
        <w:spacing w:after="0" w:line="240" w:lineRule="auto"/>
        <w:rPr>
          <w:rFonts w:ascii="Verdana" w:eastAsiaTheme="minorEastAsia" w:hAnsi="Verdana"/>
          <w:szCs w:val="18"/>
        </w:rPr>
      </w:pPr>
    </w:p>
    <w:p w14:paraId="3A9B39A1" w14:textId="29953615" w:rsidR="002908C2" w:rsidRPr="001A359A" w:rsidRDefault="002908C2" w:rsidP="212B9D2D">
      <w:pPr>
        <w:spacing w:before="120" w:after="120" w:line="300" w:lineRule="atLeast"/>
        <w:rPr>
          <w:rFonts w:ascii="Verdana" w:eastAsia="Times New Roman" w:hAnsi="Verdana" w:cs="Times New Roman"/>
          <w:b/>
          <w:bCs/>
          <w:color w:val="2F5496" w:themeColor="accent5" w:themeShade="BF"/>
          <w:sz w:val="24"/>
          <w:szCs w:val="24"/>
        </w:rPr>
      </w:pPr>
      <w:r w:rsidRPr="001A359A">
        <w:rPr>
          <w:rFonts w:ascii="Verdana" w:eastAsia="Times New Roman" w:hAnsi="Verdana" w:cs="Times New Roman"/>
          <w:b/>
          <w:bCs/>
          <w:color w:val="2F5496" w:themeColor="accent5" w:themeShade="BF"/>
          <w:sz w:val="24"/>
          <w:szCs w:val="24"/>
        </w:rPr>
        <w:t>Customer Priority</w:t>
      </w:r>
    </w:p>
    <w:p w14:paraId="2C78BDB8" w14:textId="77777777" w:rsidR="001A359A" w:rsidRDefault="001A359A" w:rsidP="001A359A">
      <w:pPr>
        <w:spacing w:after="0"/>
        <w:rPr>
          <w:rFonts w:ascii="Verdana" w:eastAsiaTheme="minorEastAsia" w:hAnsi="Verdana"/>
          <w:i/>
          <w:color w:val="2F5496" w:themeColor="accent5" w:themeShade="BF"/>
          <w:sz w:val="24"/>
          <w:szCs w:val="24"/>
        </w:rPr>
      </w:pPr>
    </w:p>
    <w:p w14:paraId="357A2D3F" w14:textId="23988024" w:rsidR="005A6436" w:rsidRPr="001A359A" w:rsidRDefault="63F93A55" w:rsidP="001A359A">
      <w:pPr>
        <w:spacing w:after="0"/>
        <w:rPr>
          <w:rFonts w:ascii="Verdana" w:eastAsiaTheme="minorEastAsia" w:hAnsi="Verdana"/>
          <w:i/>
          <w:color w:val="2F5496" w:themeColor="accent5" w:themeShade="BF"/>
          <w:sz w:val="24"/>
          <w:szCs w:val="24"/>
        </w:rPr>
      </w:pPr>
      <w:r w:rsidRPr="001A359A">
        <w:rPr>
          <w:rFonts w:ascii="Verdana" w:eastAsiaTheme="minorEastAsia" w:hAnsi="Verdana"/>
          <w:i/>
          <w:color w:val="2F5496" w:themeColor="accent5" w:themeShade="BF"/>
          <w:sz w:val="24"/>
          <w:szCs w:val="24"/>
        </w:rPr>
        <w:t>Waterways and Drainage Investment Plan research</w:t>
      </w:r>
      <w:r w:rsidR="36AA1A89" w:rsidRPr="001A359A">
        <w:rPr>
          <w:rFonts w:ascii="Verdana" w:eastAsiaTheme="minorEastAsia" w:hAnsi="Verdana"/>
          <w:i/>
          <w:color w:val="2F5496" w:themeColor="accent5" w:themeShade="BF"/>
          <w:sz w:val="24"/>
          <w:szCs w:val="24"/>
        </w:rPr>
        <w:t xml:space="preserve"> and engagement</w:t>
      </w:r>
    </w:p>
    <w:p w14:paraId="61879ADF" w14:textId="77777777" w:rsidR="001A359A" w:rsidRDefault="001A359A" w:rsidP="001A359A">
      <w:pPr>
        <w:spacing w:after="0"/>
        <w:rPr>
          <w:rFonts w:ascii="Verdana" w:eastAsiaTheme="minorEastAsia" w:hAnsi="Verdana"/>
          <w:sz w:val="24"/>
          <w:szCs w:val="24"/>
        </w:rPr>
      </w:pPr>
    </w:p>
    <w:p w14:paraId="38481206" w14:textId="1DAF1A10" w:rsidR="005A6436" w:rsidRPr="001A359A" w:rsidRDefault="08B90723" w:rsidP="001A359A">
      <w:pPr>
        <w:spacing w:after="0"/>
        <w:rPr>
          <w:rFonts w:ascii="Verdana" w:eastAsiaTheme="minorEastAsia" w:hAnsi="Verdana"/>
          <w:sz w:val="24"/>
          <w:szCs w:val="24"/>
        </w:rPr>
      </w:pPr>
      <w:r w:rsidRPr="001A359A">
        <w:rPr>
          <w:rFonts w:ascii="Verdana" w:eastAsiaTheme="minorEastAsia" w:hAnsi="Verdana"/>
          <w:sz w:val="24"/>
          <w:szCs w:val="24"/>
        </w:rPr>
        <w:t xml:space="preserve">Qualitative research as part of the Waterways and Drainage Investment Plan engagement process explored community perceptions, expectations, values and preferences in relation to the Waterways and Drainage Charge. Through 8 x 2-hour </w:t>
      </w:r>
      <w:r w:rsidRPr="001A359A">
        <w:rPr>
          <w:rFonts w:ascii="Verdana" w:eastAsiaTheme="minorEastAsia" w:hAnsi="Verdana"/>
          <w:b/>
          <w:bCs/>
          <w:sz w:val="24"/>
          <w:szCs w:val="24"/>
        </w:rPr>
        <w:t>focus groups</w:t>
      </w:r>
      <w:r w:rsidRPr="001A359A">
        <w:rPr>
          <w:rFonts w:ascii="Verdana" w:eastAsiaTheme="minorEastAsia" w:hAnsi="Verdana"/>
          <w:sz w:val="24"/>
          <w:szCs w:val="24"/>
        </w:rPr>
        <w:t xml:space="preserve"> conducted by Newgate Research</w:t>
      </w:r>
      <w:r w:rsidR="6159D50E" w:rsidRPr="001A359A">
        <w:rPr>
          <w:rFonts w:ascii="Verdana" w:eastAsiaTheme="minorEastAsia" w:hAnsi="Verdana"/>
          <w:sz w:val="24"/>
          <w:szCs w:val="24"/>
        </w:rPr>
        <w:t xml:space="preserve">, customers noted: </w:t>
      </w:r>
    </w:p>
    <w:p w14:paraId="0C53590C" w14:textId="49FF839F" w:rsidR="005A6436" w:rsidRPr="001A359A" w:rsidRDefault="6159D50E" w:rsidP="212B9D2D">
      <w:pPr>
        <w:pStyle w:val="ListBullet"/>
        <w:numPr>
          <w:ilvl w:val="0"/>
          <w:numId w:val="24"/>
        </w:numPr>
        <w:rPr>
          <w:rFonts w:ascii="Verdana" w:hAnsi="Verdana"/>
          <w:sz w:val="24"/>
          <w:szCs w:val="24"/>
        </w:rPr>
      </w:pPr>
      <w:r w:rsidRPr="001A359A">
        <w:rPr>
          <w:rFonts w:ascii="Verdana" w:hAnsi="Verdana"/>
          <w:sz w:val="24"/>
          <w:szCs w:val="24"/>
        </w:rPr>
        <w:t>The p</w:t>
      </w:r>
      <w:r w:rsidR="08B90723" w:rsidRPr="001A359A">
        <w:rPr>
          <w:rFonts w:ascii="Verdana" w:hAnsi="Verdana"/>
          <w:sz w:val="24"/>
          <w:szCs w:val="24"/>
        </w:rPr>
        <w:t>roposal to increase support for education programs and community awareness campaigns about the value of healthy waterways was considered by all focus groups to be very important and likely to have flow-on benefits to Melbourne Water in the long-term.</w:t>
      </w:r>
    </w:p>
    <w:p w14:paraId="56B12646" w14:textId="33E26E53" w:rsidR="005A6436" w:rsidRPr="001A359A" w:rsidRDefault="08B90723" w:rsidP="212B9D2D">
      <w:pPr>
        <w:pStyle w:val="ListBullet"/>
        <w:numPr>
          <w:ilvl w:val="0"/>
          <w:numId w:val="24"/>
        </w:numPr>
        <w:rPr>
          <w:rFonts w:ascii="Verdana" w:hAnsi="Verdana"/>
          <w:sz w:val="24"/>
          <w:szCs w:val="24"/>
        </w:rPr>
      </w:pPr>
      <w:r w:rsidRPr="001A359A">
        <w:rPr>
          <w:rFonts w:ascii="Verdana" w:hAnsi="Verdana"/>
          <w:sz w:val="24"/>
          <w:szCs w:val="24"/>
        </w:rPr>
        <w:t>Some focus group participants spontaneously discussed the value in Melbourne Water focussing on prevention over cure, thus seeing the importance in research and planning to inform action, and further supporting increased community understanding of the impacts of their own behaviours on waterway health.</w:t>
      </w:r>
      <w:r w:rsidRPr="001A359A">
        <w:rPr>
          <w:rFonts w:ascii="Verdana" w:eastAsiaTheme="minorEastAsia" w:hAnsi="Verdana"/>
          <w:sz w:val="24"/>
          <w:szCs w:val="24"/>
        </w:rPr>
        <w:t xml:space="preserve"> </w:t>
      </w:r>
    </w:p>
    <w:p w14:paraId="5EF735B8" w14:textId="2DA9DB78" w:rsidR="005A6436" w:rsidRPr="001A359A" w:rsidRDefault="005A6436" w:rsidP="212B9D2D">
      <w:pPr>
        <w:pStyle w:val="ListBullet"/>
        <w:numPr>
          <w:ilvl w:val="0"/>
          <w:numId w:val="0"/>
        </w:numPr>
        <w:rPr>
          <w:rFonts w:ascii="Verdana" w:eastAsiaTheme="minorEastAsia" w:hAnsi="Verdana"/>
          <w:sz w:val="24"/>
          <w:szCs w:val="24"/>
        </w:rPr>
      </w:pPr>
    </w:p>
    <w:p w14:paraId="4DAAADC5" w14:textId="399A14FF" w:rsidR="005A6436" w:rsidRPr="001A359A" w:rsidRDefault="67C06B72" w:rsidP="212B9D2D">
      <w:pPr>
        <w:pStyle w:val="ListBullet"/>
        <w:numPr>
          <w:ilvl w:val="0"/>
          <w:numId w:val="0"/>
        </w:numPr>
        <w:rPr>
          <w:rFonts w:ascii="Verdana" w:eastAsiaTheme="minorEastAsia" w:hAnsi="Verdana"/>
          <w:sz w:val="24"/>
          <w:szCs w:val="24"/>
        </w:rPr>
      </w:pPr>
      <w:r w:rsidRPr="001A359A">
        <w:rPr>
          <w:rFonts w:ascii="Verdana" w:eastAsiaTheme="minorEastAsia" w:hAnsi="Verdana"/>
          <w:i/>
          <w:iCs/>
          <w:sz w:val="24"/>
          <w:szCs w:val="24"/>
        </w:rPr>
        <w:t>Note: These focus groups included both metro and rural customers and were as far as possible representative of the demographics of Melbourne Water’s customer base.</w:t>
      </w:r>
      <w:r w:rsidRPr="001A359A">
        <w:rPr>
          <w:rFonts w:ascii="Verdana" w:eastAsiaTheme="minorEastAsia" w:hAnsi="Verdana"/>
          <w:sz w:val="24"/>
          <w:szCs w:val="24"/>
        </w:rPr>
        <w:t xml:space="preserve"> </w:t>
      </w:r>
    </w:p>
    <w:p w14:paraId="1344AA30" w14:textId="3DD2F130" w:rsidR="005A6436" w:rsidRPr="001A359A" w:rsidRDefault="005A6436" w:rsidP="212B9D2D">
      <w:pPr>
        <w:pStyle w:val="ListBullet"/>
        <w:numPr>
          <w:ilvl w:val="0"/>
          <w:numId w:val="0"/>
        </w:numPr>
        <w:rPr>
          <w:rFonts w:ascii="Verdana" w:eastAsiaTheme="minorEastAsia" w:hAnsi="Verdana"/>
          <w:sz w:val="24"/>
          <w:szCs w:val="24"/>
        </w:rPr>
      </w:pPr>
    </w:p>
    <w:p w14:paraId="040E6F9C" w14:textId="6F770470" w:rsidR="005A6436" w:rsidRPr="001A359A" w:rsidRDefault="179AFA7F" w:rsidP="212B9D2D">
      <w:pPr>
        <w:pStyle w:val="ListBullet"/>
        <w:numPr>
          <w:ilvl w:val="0"/>
          <w:numId w:val="0"/>
        </w:numPr>
        <w:rPr>
          <w:rFonts w:ascii="Verdana" w:eastAsiaTheme="minorEastAsia" w:hAnsi="Verdana"/>
          <w:sz w:val="24"/>
          <w:szCs w:val="24"/>
        </w:rPr>
      </w:pPr>
      <w:r w:rsidRPr="001A359A">
        <w:rPr>
          <w:rFonts w:ascii="Verdana" w:eastAsiaTheme="minorEastAsia" w:hAnsi="Verdana"/>
          <w:sz w:val="24"/>
          <w:szCs w:val="24"/>
        </w:rPr>
        <w:t>Support for increased investment in community involvement programs was also a key</w:t>
      </w:r>
      <w:r w:rsidR="41C84DE2" w:rsidRPr="001A359A">
        <w:rPr>
          <w:rFonts w:ascii="Verdana" w:eastAsiaTheme="minorEastAsia" w:hAnsi="Verdana"/>
          <w:sz w:val="24"/>
          <w:szCs w:val="24"/>
        </w:rPr>
        <w:t xml:space="preserve"> recommendation </w:t>
      </w:r>
      <w:r w:rsidRPr="001A359A">
        <w:rPr>
          <w:rFonts w:ascii="Verdana" w:eastAsiaTheme="minorEastAsia" w:hAnsi="Verdana"/>
          <w:sz w:val="24"/>
          <w:szCs w:val="24"/>
        </w:rPr>
        <w:t xml:space="preserve">of the Waterways and Drainage </w:t>
      </w:r>
      <w:r w:rsidRPr="001A359A">
        <w:rPr>
          <w:rFonts w:ascii="Verdana" w:eastAsiaTheme="minorEastAsia" w:hAnsi="Verdana"/>
          <w:b/>
          <w:bCs/>
          <w:sz w:val="24"/>
          <w:szCs w:val="24"/>
        </w:rPr>
        <w:t>Customer Council</w:t>
      </w:r>
      <w:r w:rsidR="0A9088C6" w:rsidRPr="001A359A">
        <w:rPr>
          <w:rFonts w:ascii="Verdana" w:eastAsiaTheme="minorEastAsia" w:hAnsi="Verdana"/>
          <w:sz w:val="24"/>
          <w:szCs w:val="24"/>
        </w:rPr>
        <w:t xml:space="preserve"> – a group of customers and partners (such as councils) convened over 18 months and deeply interrogating proposed expenditure and investment programs. </w:t>
      </w:r>
    </w:p>
    <w:p w14:paraId="5BF0714F" w14:textId="46262D03" w:rsidR="005A6436" w:rsidRPr="001A359A" w:rsidRDefault="64295F5A" w:rsidP="212B9D2D">
      <w:pPr>
        <w:rPr>
          <w:rFonts w:ascii="Verdana" w:eastAsiaTheme="minorEastAsia" w:hAnsi="Verdana"/>
          <w:sz w:val="24"/>
          <w:szCs w:val="24"/>
        </w:rPr>
      </w:pPr>
      <w:r w:rsidRPr="001A359A">
        <w:rPr>
          <w:rFonts w:ascii="Verdana" w:eastAsiaTheme="minorEastAsia" w:hAnsi="Verdana"/>
          <w:sz w:val="24"/>
          <w:szCs w:val="24"/>
        </w:rPr>
        <w:t>Outcomes of the</w:t>
      </w:r>
      <w:r w:rsidR="67C06B72" w:rsidRPr="001A359A">
        <w:rPr>
          <w:rFonts w:ascii="Verdana" w:eastAsiaTheme="minorEastAsia" w:hAnsi="Verdana"/>
          <w:sz w:val="24"/>
          <w:szCs w:val="24"/>
        </w:rPr>
        <w:t xml:space="preserve"> quantitative</w:t>
      </w:r>
      <w:r w:rsidR="00F8396D">
        <w:rPr>
          <w:rFonts w:ascii="Verdana" w:eastAsiaTheme="minorEastAsia" w:hAnsi="Verdana"/>
          <w:sz w:val="24"/>
          <w:szCs w:val="24"/>
        </w:rPr>
        <w:t xml:space="preserve"> </w:t>
      </w:r>
      <w:r w:rsidR="00F8396D" w:rsidRPr="00F8396D">
        <w:rPr>
          <w:rFonts w:ascii="Verdana" w:eastAsiaTheme="minorEastAsia" w:hAnsi="Verdana"/>
          <w:b/>
          <w:sz w:val="24"/>
          <w:szCs w:val="24"/>
        </w:rPr>
        <w:t>customer preference and</w:t>
      </w:r>
      <w:r w:rsidR="67C06B72" w:rsidRPr="001A359A">
        <w:rPr>
          <w:rFonts w:ascii="Verdana" w:eastAsiaTheme="minorEastAsia" w:hAnsi="Verdana"/>
          <w:sz w:val="24"/>
          <w:szCs w:val="24"/>
        </w:rPr>
        <w:t xml:space="preserve"> </w:t>
      </w:r>
      <w:r w:rsidR="67C06B72" w:rsidRPr="001A359A">
        <w:rPr>
          <w:rFonts w:ascii="Verdana" w:eastAsiaTheme="minorEastAsia" w:hAnsi="Verdana"/>
          <w:b/>
          <w:bCs/>
          <w:sz w:val="24"/>
          <w:szCs w:val="24"/>
        </w:rPr>
        <w:t>willingness-to-pay</w:t>
      </w:r>
      <w:r w:rsidR="67C06B72" w:rsidRPr="001A359A">
        <w:rPr>
          <w:rFonts w:ascii="Verdana" w:eastAsiaTheme="minorEastAsia" w:hAnsi="Verdana"/>
          <w:sz w:val="24"/>
          <w:szCs w:val="24"/>
        </w:rPr>
        <w:t xml:space="preserve"> research </w:t>
      </w:r>
      <w:r w:rsidR="7AA92E44" w:rsidRPr="001A359A">
        <w:rPr>
          <w:rFonts w:ascii="Verdana" w:eastAsiaTheme="minorEastAsia" w:hAnsi="Verdana"/>
          <w:sz w:val="24"/>
          <w:szCs w:val="24"/>
        </w:rPr>
        <w:t>as part of</w:t>
      </w:r>
      <w:r w:rsidR="67C06B72" w:rsidRPr="001A359A">
        <w:rPr>
          <w:rFonts w:ascii="Verdana" w:eastAsiaTheme="minorEastAsia" w:hAnsi="Verdana"/>
          <w:sz w:val="24"/>
          <w:szCs w:val="24"/>
        </w:rPr>
        <w:t xml:space="preserve"> the </w:t>
      </w:r>
      <w:r w:rsidR="11C1391D" w:rsidRPr="001A359A">
        <w:rPr>
          <w:rFonts w:ascii="Verdana" w:eastAsiaTheme="minorEastAsia" w:hAnsi="Verdana"/>
          <w:sz w:val="24"/>
          <w:szCs w:val="24"/>
        </w:rPr>
        <w:t>Waterways and Drainage Investment Plan engagement process</w:t>
      </w:r>
      <w:r w:rsidR="659171DC" w:rsidRPr="001A359A">
        <w:rPr>
          <w:rFonts w:ascii="Verdana" w:eastAsiaTheme="minorEastAsia" w:hAnsi="Verdana"/>
          <w:sz w:val="24"/>
          <w:szCs w:val="24"/>
        </w:rPr>
        <w:t xml:space="preserve"> confirmed the qualitative information that the broader customer base supports increased investment in community involvement programs. </w:t>
      </w:r>
      <w:r w:rsidR="217AA94C" w:rsidRPr="001A359A">
        <w:rPr>
          <w:rFonts w:ascii="Verdana" w:eastAsiaTheme="minorEastAsia" w:hAnsi="Verdana"/>
          <w:sz w:val="24"/>
          <w:szCs w:val="24"/>
        </w:rPr>
        <w:t xml:space="preserve">All three cohorts of metro customers, rural </w:t>
      </w:r>
      <w:r w:rsidR="217AA94C" w:rsidRPr="001A359A">
        <w:rPr>
          <w:rFonts w:ascii="Verdana" w:eastAsiaTheme="minorEastAsia" w:hAnsi="Verdana"/>
          <w:sz w:val="24"/>
          <w:szCs w:val="24"/>
        </w:rPr>
        <w:lastRenderedPageBreak/>
        <w:t>customers and business customers indicated a willingness to pay for a higher level of investment in these programs</w:t>
      </w:r>
      <w:r w:rsidR="2D33A6F6" w:rsidRPr="001A359A">
        <w:rPr>
          <w:rFonts w:ascii="Verdana" w:eastAsiaTheme="minorEastAsia" w:hAnsi="Verdana"/>
          <w:sz w:val="24"/>
          <w:szCs w:val="24"/>
        </w:rPr>
        <w:t>.</w:t>
      </w:r>
    </w:p>
    <w:p w14:paraId="18144157" w14:textId="672BC8DF" w:rsidR="005A6436" w:rsidRPr="00781FBD" w:rsidRDefault="2D33A6F6" w:rsidP="212B9D2D">
      <w:pPr>
        <w:rPr>
          <w:rFonts w:ascii="Verdana" w:eastAsiaTheme="minorEastAsia" w:hAnsi="Verdana"/>
          <w:i/>
          <w:color w:val="2F5496" w:themeColor="accent5" w:themeShade="BF"/>
          <w:sz w:val="24"/>
          <w:szCs w:val="24"/>
        </w:rPr>
      </w:pPr>
      <w:r w:rsidRPr="00781FBD">
        <w:rPr>
          <w:rFonts w:ascii="Verdana" w:eastAsiaTheme="minorEastAsia" w:hAnsi="Verdana"/>
          <w:i/>
          <w:color w:val="2F5496" w:themeColor="accent5" w:themeShade="BF"/>
          <w:sz w:val="24"/>
          <w:szCs w:val="24"/>
        </w:rPr>
        <w:t>Healthy Waterways Strategy engagement</w:t>
      </w:r>
    </w:p>
    <w:p w14:paraId="6FFEA5CF" w14:textId="790DB92F" w:rsidR="005A6436" w:rsidRPr="001A359A" w:rsidRDefault="67C06B72" w:rsidP="212B9D2D">
      <w:pPr>
        <w:rPr>
          <w:rFonts w:ascii="Verdana" w:eastAsiaTheme="minorEastAsia" w:hAnsi="Verdana"/>
          <w:sz w:val="24"/>
          <w:szCs w:val="24"/>
        </w:rPr>
      </w:pPr>
      <w:r w:rsidRPr="001A359A">
        <w:rPr>
          <w:rFonts w:ascii="Verdana" w:eastAsiaTheme="minorEastAsia" w:hAnsi="Verdana"/>
          <w:sz w:val="24"/>
          <w:szCs w:val="24"/>
        </w:rPr>
        <w:t>Supporting these research findings, t</w:t>
      </w:r>
      <w:r w:rsidR="005A6436" w:rsidRPr="001A359A">
        <w:rPr>
          <w:rFonts w:ascii="Verdana" w:eastAsiaTheme="minorEastAsia" w:hAnsi="Verdana"/>
          <w:sz w:val="24"/>
          <w:szCs w:val="24"/>
        </w:rPr>
        <w:t>he 2018 Healthy Waterways Strategy</w:t>
      </w:r>
      <w:r w:rsidR="005A6436" w:rsidRPr="001A359A">
        <w:rPr>
          <w:rFonts w:ascii="Verdana" w:eastAsiaTheme="minorEastAsia" w:hAnsi="Verdana"/>
          <w:b/>
          <w:bCs/>
          <w:sz w:val="24"/>
          <w:szCs w:val="24"/>
        </w:rPr>
        <w:t xml:space="preserve"> </w:t>
      </w:r>
      <w:r w:rsidR="005A6436" w:rsidRPr="001A359A">
        <w:rPr>
          <w:rFonts w:ascii="Verdana" w:eastAsiaTheme="minorEastAsia" w:hAnsi="Verdana"/>
          <w:sz w:val="24"/>
          <w:szCs w:val="24"/>
        </w:rPr>
        <w:t xml:space="preserve">was co-designed with key stakeholders and the broader community, including 630 individual participants representing 220 organisations and the broader public. The Strategy was developed through an engagement process that ran over two </w:t>
      </w:r>
      <w:r w:rsidR="21290BB6" w:rsidRPr="001A359A">
        <w:rPr>
          <w:rFonts w:ascii="Verdana" w:eastAsiaTheme="minorEastAsia" w:hAnsi="Verdana"/>
          <w:sz w:val="24"/>
          <w:szCs w:val="24"/>
        </w:rPr>
        <w:t>years and</w:t>
      </w:r>
      <w:r w:rsidR="005A6436" w:rsidRPr="001A359A">
        <w:rPr>
          <w:rFonts w:ascii="Verdana" w:eastAsiaTheme="minorEastAsia" w:hAnsi="Verdana"/>
          <w:sz w:val="24"/>
          <w:szCs w:val="24"/>
        </w:rPr>
        <w:t xml:space="preserve"> includes a commitment to increase levels of community participation and involvement in waterways. This commitment is articulated in 4 Regional Performance Objectives and 66 sub-catchment Performance Objectives. </w:t>
      </w:r>
    </w:p>
    <w:p w14:paraId="172BEB9D" w14:textId="77777777" w:rsidR="005A6436" w:rsidRPr="00781FBD" w:rsidRDefault="005A6436" w:rsidP="005A6436">
      <w:pPr>
        <w:rPr>
          <w:rFonts w:ascii="Verdana" w:eastAsiaTheme="minorEastAsia" w:hAnsi="Verdana"/>
          <w:sz w:val="24"/>
          <w:szCs w:val="24"/>
        </w:rPr>
      </w:pPr>
      <w:r w:rsidRPr="00781FBD">
        <w:rPr>
          <w:rFonts w:ascii="Verdana" w:eastAsiaTheme="minorEastAsia" w:hAnsi="Verdana"/>
          <w:sz w:val="24"/>
          <w:szCs w:val="24"/>
        </w:rPr>
        <w:t>Examples of sub-catchment Performance Objectives co-created by community members and sector partners include:</w:t>
      </w:r>
    </w:p>
    <w:p w14:paraId="0AFAB1CB" w14:textId="77777777" w:rsidR="005A6436" w:rsidRPr="00781FBD" w:rsidRDefault="005A6436" w:rsidP="005A6436">
      <w:pPr>
        <w:pStyle w:val="ListBullet"/>
        <w:numPr>
          <w:ilvl w:val="0"/>
          <w:numId w:val="25"/>
        </w:numPr>
        <w:rPr>
          <w:rFonts w:ascii="Verdana" w:hAnsi="Verdana"/>
          <w:sz w:val="24"/>
          <w:szCs w:val="24"/>
        </w:rPr>
      </w:pPr>
      <w:r w:rsidRPr="00781FBD">
        <w:rPr>
          <w:rFonts w:ascii="Verdana" w:hAnsi="Verdana"/>
          <w:sz w:val="24"/>
          <w:szCs w:val="24"/>
        </w:rPr>
        <w:t xml:space="preserve">Increase participation rates from low to high; support community groups / connect with growth area communities and </w:t>
      </w:r>
      <w:r w:rsidRPr="00781FBD">
        <w:rPr>
          <w:rFonts w:ascii="Verdana" w:hAnsi="Verdana"/>
          <w:b/>
          <w:bCs/>
          <w:sz w:val="24"/>
          <w:szCs w:val="24"/>
        </w:rPr>
        <w:t>build capacity of business/industry through waterway health education</w:t>
      </w:r>
      <w:r w:rsidRPr="00781FBD">
        <w:rPr>
          <w:rFonts w:ascii="Verdana" w:hAnsi="Verdana"/>
          <w:sz w:val="24"/>
          <w:szCs w:val="24"/>
        </w:rPr>
        <w:t>;</w:t>
      </w:r>
    </w:p>
    <w:p w14:paraId="4E835E5C" w14:textId="1A4B1A29" w:rsidR="005A6436" w:rsidRPr="00781FBD" w:rsidRDefault="005A6436" w:rsidP="005A6436">
      <w:pPr>
        <w:pStyle w:val="ListBullet"/>
        <w:numPr>
          <w:ilvl w:val="0"/>
          <w:numId w:val="25"/>
        </w:numPr>
        <w:rPr>
          <w:rFonts w:ascii="Verdana" w:hAnsi="Verdana"/>
          <w:sz w:val="24"/>
          <w:szCs w:val="24"/>
        </w:rPr>
      </w:pPr>
      <w:r w:rsidRPr="00781FBD">
        <w:rPr>
          <w:rFonts w:ascii="Verdana" w:hAnsi="Verdana"/>
          <w:sz w:val="24"/>
          <w:szCs w:val="24"/>
        </w:rPr>
        <w:t xml:space="preserve">Increase participation rates from low to high; support community groups and build capacity of </w:t>
      </w:r>
      <w:r w:rsidR="41BAC7A7" w:rsidRPr="00781FBD">
        <w:rPr>
          <w:rFonts w:ascii="Verdana" w:hAnsi="Verdana"/>
          <w:sz w:val="24"/>
          <w:szCs w:val="24"/>
        </w:rPr>
        <w:t>landowners</w:t>
      </w:r>
      <w:r w:rsidRPr="00781FBD">
        <w:rPr>
          <w:rFonts w:ascii="Verdana" w:hAnsi="Verdana"/>
          <w:sz w:val="24"/>
          <w:szCs w:val="24"/>
        </w:rPr>
        <w:t xml:space="preserve"> through rural programs. </w:t>
      </w:r>
      <w:r w:rsidRPr="00781FBD">
        <w:rPr>
          <w:rFonts w:ascii="Verdana" w:hAnsi="Verdana"/>
          <w:b/>
          <w:bCs/>
          <w:sz w:val="24"/>
          <w:szCs w:val="24"/>
        </w:rPr>
        <w:t>Increase participation in citizen science though promotion of high value species in the region</w:t>
      </w:r>
      <w:r w:rsidRPr="00781FBD">
        <w:rPr>
          <w:rFonts w:ascii="Verdana" w:hAnsi="Verdana"/>
          <w:sz w:val="24"/>
          <w:szCs w:val="24"/>
        </w:rPr>
        <w:t xml:space="preserve"> (e.g. southern brown bandicoot).</w:t>
      </w:r>
    </w:p>
    <w:p w14:paraId="4658A815" w14:textId="5BC2A272" w:rsidR="005A6436" w:rsidRPr="00781FBD" w:rsidRDefault="005A6436" w:rsidP="212B9D2D">
      <w:pPr>
        <w:rPr>
          <w:rFonts w:ascii="Verdana" w:eastAsiaTheme="minorEastAsia" w:hAnsi="Verdana"/>
          <w:sz w:val="24"/>
          <w:szCs w:val="24"/>
        </w:rPr>
      </w:pPr>
      <w:r w:rsidRPr="00781FBD">
        <w:rPr>
          <w:rFonts w:ascii="Verdana" w:eastAsiaTheme="minorEastAsia" w:hAnsi="Verdana"/>
          <w:sz w:val="24"/>
          <w:szCs w:val="24"/>
        </w:rPr>
        <w:t xml:space="preserve">Both these examples reflect a </w:t>
      </w:r>
      <w:r w:rsidR="69DCAF24" w:rsidRPr="00781FBD">
        <w:rPr>
          <w:rFonts w:ascii="Verdana" w:eastAsiaTheme="minorEastAsia" w:hAnsi="Verdana"/>
          <w:sz w:val="24"/>
          <w:szCs w:val="24"/>
        </w:rPr>
        <w:t xml:space="preserve">desire </w:t>
      </w:r>
      <w:r w:rsidR="1102F040" w:rsidRPr="00781FBD">
        <w:rPr>
          <w:rFonts w:ascii="Verdana" w:eastAsiaTheme="minorEastAsia" w:hAnsi="Verdana"/>
          <w:sz w:val="24"/>
          <w:szCs w:val="24"/>
        </w:rPr>
        <w:t xml:space="preserve">and expectation </w:t>
      </w:r>
      <w:r w:rsidR="69DCAF24" w:rsidRPr="00781FBD">
        <w:rPr>
          <w:rFonts w:ascii="Verdana" w:eastAsiaTheme="minorEastAsia" w:hAnsi="Verdana"/>
          <w:sz w:val="24"/>
          <w:szCs w:val="24"/>
        </w:rPr>
        <w:t xml:space="preserve">from engaged community </w:t>
      </w:r>
      <w:r w:rsidR="1201DC52" w:rsidRPr="00781FBD">
        <w:rPr>
          <w:rFonts w:ascii="Verdana" w:eastAsiaTheme="minorEastAsia" w:hAnsi="Verdana"/>
          <w:sz w:val="24"/>
          <w:szCs w:val="24"/>
        </w:rPr>
        <w:t xml:space="preserve">that agencies </w:t>
      </w:r>
      <w:r w:rsidR="69DCAF24" w:rsidRPr="00781FBD">
        <w:rPr>
          <w:rFonts w:ascii="Verdana" w:eastAsiaTheme="minorEastAsia" w:hAnsi="Verdana"/>
          <w:sz w:val="24"/>
          <w:szCs w:val="24"/>
        </w:rPr>
        <w:t xml:space="preserve">further involve the </w:t>
      </w:r>
      <w:r w:rsidRPr="00781FBD">
        <w:rPr>
          <w:rFonts w:ascii="Verdana" w:eastAsiaTheme="minorEastAsia" w:hAnsi="Verdana"/>
          <w:sz w:val="24"/>
          <w:szCs w:val="24"/>
        </w:rPr>
        <w:t>community (and industry) in waterway management activities</w:t>
      </w:r>
      <w:r w:rsidR="2C5F901C" w:rsidRPr="00781FBD">
        <w:rPr>
          <w:rFonts w:ascii="Verdana" w:eastAsiaTheme="minorEastAsia" w:hAnsi="Verdana"/>
          <w:sz w:val="24"/>
          <w:szCs w:val="24"/>
        </w:rPr>
        <w:t>, and their belief that community have an important part to play as everyday custodians and active managers of waterways.</w:t>
      </w:r>
      <w:r w:rsidR="0634ECA3" w:rsidRPr="00781FBD">
        <w:rPr>
          <w:rFonts w:ascii="Verdana" w:eastAsiaTheme="minorEastAsia" w:hAnsi="Verdana"/>
          <w:sz w:val="24"/>
          <w:szCs w:val="24"/>
        </w:rPr>
        <w:t xml:space="preserve"> </w:t>
      </w:r>
    </w:p>
    <w:p w14:paraId="78491990" w14:textId="21398F6D" w:rsidR="0634ECA3" w:rsidRPr="00781FBD" w:rsidRDefault="0634ECA3" w:rsidP="212B9D2D">
      <w:pPr>
        <w:rPr>
          <w:rFonts w:ascii="Verdana" w:eastAsiaTheme="minorEastAsia" w:hAnsi="Verdana"/>
          <w:i/>
          <w:color w:val="2F5496" w:themeColor="accent5" w:themeShade="BF"/>
          <w:sz w:val="24"/>
          <w:szCs w:val="24"/>
        </w:rPr>
      </w:pPr>
      <w:r w:rsidRPr="00781FBD">
        <w:rPr>
          <w:rFonts w:ascii="Verdana" w:eastAsiaTheme="minorEastAsia" w:hAnsi="Verdana"/>
          <w:i/>
          <w:color w:val="2F5496" w:themeColor="accent5" w:themeShade="BF"/>
          <w:sz w:val="24"/>
          <w:szCs w:val="24"/>
        </w:rPr>
        <w:t>State-wide citizen science program research</w:t>
      </w:r>
    </w:p>
    <w:p w14:paraId="52350D3D" w14:textId="766BBE56" w:rsidR="005A6436" w:rsidRPr="00781FBD" w:rsidRDefault="005A6436" w:rsidP="005A6436">
      <w:pPr>
        <w:pStyle w:val="ListBullet"/>
        <w:numPr>
          <w:ilvl w:val="0"/>
          <w:numId w:val="0"/>
        </w:numPr>
        <w:rPr>
          <w:rFonts w:ascii="Verdana" w:hAnsi="Verdana"/>
          <w:sz w:val="24"/>
          <w:szCs w:val="24"/>
        </w:rPr>
      </w:pPr>
      <w:r w:rsidRPr="00781FBD">
        <w:rPr>
          <w:rFonts w:ascii="Verdana" w:hAnsi="Verdana"/>
          <w:sz w:val="24"/>
          <w:szCs w:val="24"/>
        </w:rPr>
        <w:t>The State-wide EstuaryWatch and Water</w:t>
      </w:r>
      <w:r w:rsidR="311DE72A" w:rsidRPr="00781FBD">
        <w:rPr>
          <w:rFonts w:ascii="Verdana" w:hAnsi="Verdana"/>
          <w:sz w:val="24"/>
          <w:szCs w:val="24"/>
        </w:rPr>
        <w:t>w</w:t>
      </w:r>
      <w:r w:rsidRPr="00781FBD">
        <w:rPr>
          <w:rFonts w:ascii="Verdana" w:hAnsi="Verdana"/>
          <w:sz w:val="24"/>
          <w:szCs w:val="24"/>
        </w:rPr>
        <w:t>atch Survey Report (First Person Consulting) conducted in 2020 with 185 citizen science volunteers in these programs indicated:</w:t>
      </w:r>
    </w:p>
    <w:p w14:paraId="5849AE4E" w14:textId="77777777" w:rsidR="005A6436" w:rsidRPr="00781FBD" w:rsidRDefault="005A6436" w:rsidP="005A6436">
      <w:pPr>
        <w:pStyle w:val="ListBullet"/>
        <w:numPr>
          <w:ilvl w:val="0"/>
          <w:numId w:val="0"/>
        </w:numPr>
        <w:ind w:left="360" w:hanging="360"/>
        <w:rPr>
          <w:rFonts w:ascii="Verdana" w:hAnsi="Verdana"/>
          <w:sz w:val="24"/>
          <w:szCs w:val="24"/>
        </w:rPr>
      </w:pPr>
    </w:p>
    <w:p w14:paraId="1DB0DBAD" w14:textId="381C8A2D" w:rsidR="005A6436" w:rsidRPr="00781FBD" w:rsidRDefault="005A6436" w:rsidP="005A6436">
      <w:pPr>
        <w:pStyle w:val="ListBullet"/>
        <w:numPr>
          <w:ilvl w:val="0"/>
          <w:numId w:val="26"/>
        </w:numPr>
        <w:rPr>
          <w:rFonts w:ascii="Verdana" w:hAnsi="Verdana"/>
          <w:sz w:val="24"/>
          <w:szCs w:val="24"/>
        </w:rPr>
      </w:pPr>
      <w:r w:rsidRPr="00781FBD">
        <w:rPr>
          <w:rFonts w:ascii="Verdana" w:hAnsi="Verdana"/>
          <w:sz w:val="24"/>
          <w:szCs w:val="24"/>
        </w:rPr>
        <w:t>There was a strong perception that Water</w:t>
      </w:r>
      <w:r w:rsidR="78FE51E1" w:rsidRPr="00781FBD">
        <w:rPr>
          <w:rFonts w:ascii="Verdana" w:hAnsi="Verdana"/>
          <w:sz w:val="24"/>
          <w:szCs w:val="24"/>
        </w:rPr>
        <w:t>w</w:t>
      </w:r>
      <w:r w:rsidRPr="00781FBD">
        <w:rPr>
          <w:rFonts w:ascii="Verdana" w:hAnsi="Verdana"/>
          <w:sz w:val="24"/>
          <w:szCs w:val="24"/>
        </w:rPr>
        <w:t>atch and EstuaryWatch programs should contribute data across a range of environmental management issues</w:t>
      </w:r>
    </w:p>
    <w:p w14:paraId="24E8408F" w14:textId="77777777" w:rsidR="005A6436" w:rsidRPr="00781FBD" w:rsidRDefault="005A6436" w:rsidP="005A6436">
      <w:pPr>
        <w:pStyle w:val="ListBullet"/>
        <w:numPr>
          <w:ilvl w:val="0"/>
          <w:numId w:val="26"/>
        </w:numPr>
        <w:rPr>
          <w:rFonts w:ascii="Verdana" w:hAnsi="Verdana"/>
          <w:sz w:val="24"/>
          <w:szCs w:val="24"/>
        </w:rPr>
      </w:pPr>
      <w:r w:rsidRPr="00781FBD">
        <w:rPr>
          <w:rFonts w:ascii="Verdana" w:hAnsi="Verdana"/>
          <w:sz w:val="24"/>
          <w:szCs w:val="24"/>
        </w:rPr>
        <w:t>Volunteers reported an increased environmental awareness, connection and stewardship as well as skill development and would like more:</w:t>
      </w:r>
    </w:p>
    <w:p w14:paraId="7D017713" w14:textId="77777777" w:rsidR="005A6436" w:rsidRPr="00781FBD" w:rsidRDefault="005A6436" w:rsidP="005A6436">
      <w:pPr>
        <w:pStyle w:val="ListBullet"/>
        <w:numPr>
          <w:ilvl w:val="1"/>
          <w:numId w:val="26"/>
        </w:numPr>
        <w:rPr>
          <w:rFonts w:ascii="Verdana" w:hAnsi="Verdana"/>
          <w:sz w:val="24"/>
          <w:szCs w:val="24"/>
        </w:rPr>
      </w:pPr>
      <w:r w:rsidRPr="00781FBD">
        <w:rPr>
          <w:rFonts w:ascii="Verdana" w:hAnsi="Verdana"/>
          <w:sz w:val="24"/>
          <w:szCs w:val="24"/>
        </w:rPr>
        <w:t>interaction with the scientists using the data, and information about the results and impacts of the data collected</w:t>
      </w:r>
    </w:p>
    <w:p w14:paraId="3C421EE5" w14:textId="77777777" w:rsidR="005A6436" w:rsidRPr="00781FBD" w:rsidRDefault="005A6436" w:rsidP="005A6436">
      <w:pPr>
        <w:pStyle w:val="ListBullet"/>
        <w:numPr>
          <w:ilvl w:val="1"/>
          <w:numId w:val="26"/>
        </w:numPr>
        <w:rPr>
          <w:rFonts w:ascii="Verdana" w:hAnsi="Verdana"/>
          <w:sz w:val="24"/>
          <w:szCs w:val="24"/>
        </w:rPr>
      </w:pPr>
      <w:r w:rsidRPr="00781FBD">
        <w:rPr>
          <w:rFonts w:ascii="Verdana" w:hAnsi="Verdana"/>
          <w:sz w:val="24"/>
          <w:szCs w:val="24"/>
        </w:rPr>
        <w:lastRenderedPageBreak/>
        <w:t>greater promotion of the program and calls for new volunteers to participate as citizen scientists</w:t>
      </w:r>
    </w:p>
    <w:p w14:paraId="4FA80EEF" w14:textId="77777777" w:rsidR="005A6436" w:rsidRPr="00781FBD" w:rsidRDefault="005A6436" w:rsidP="005A6436">
      <w:pPr>
        <w:pStyle w:val="ListBullet"/>
        <w:numPr>
          <w:ilvl w:val="1"/>
          <w:numId w:val="26"/>
        </w:numPr>
        <w:rPr>
          <w:rFonts w:ascii="Verdana" w:hAnsi="Verdana"/>
          <w:sz w:val="24"/>
          <w:szCs w:val="24"/>
        </w:rPr>
      </w:pPr>
      <w:r w:rsidRPr="00781FBD">
        <w:rPr>
          <w:rFonts w:ascii="Verdana" w:hAnsi="Verdana"/>
          <w:sz w:val="24"/>
          <w:szCs w:val="24"/>
        </w:rPr>
        <w:t>more training and increased number of workshops</w:t>
      </w:r>
    </w:p>
    <w:p w14:paraId="7D51B532" w14:textId="77777777" w:rsidR="005A6436" w:rsidRPr="00781FBD" w:rsidRDefault="005A6436" w:rsidP="005A6436">
      <w:pPr>
        <w:pStyle w:val="ListBullet"/>
        <w:numPr>
          <w:ilvl w:val="1"/>
          <w:numId w:val="26"/>
        </w:numPr>
        <w:rPr>
          <w:rFonts w:ascii="Verdana" w:hAnsi="Verdana"/>
          <w:sz w:val="24"/>
          <w:szCs w:val="24"/>
        </w:rPr>
      </w:pPr>
      <w:r w:rsidRPr="00781FBD">
        <w:rPr>
          <w:rFonts w:ascii="Verdana" w:hAnsi="Verdana"/>
          <w:sz w:val="24"/>
          <w:szCs w:val="24"/>
        </w:rPr>
        <w:t>Increased funding for the programs in general</w:t>
      </w:r>
    </w:p>
    <w:p w14:paraId="42A13F37" w14:textId="77777777" w:rsidR="005A6436" w:rsidRPr="00781FBD" w:rsidRDefault="005A6436" w:rsidP="005A6436">
      <w:pPr>
        <w:pStyle w:val="ListBullet"/>
        <w:numPr>
          <w:ilvl w:val="1"/>
          <w:numId w:val="26"/>
        </w:numPr>
        <w:rPr>
          <w:rFonts w:ascii="Verdana" w:hAnsi="Verdana"/>
          <w:sz w:val="24"/>
          <w:szCs w:val="24"/>
        </w:rPr>
      </w:pPr>
      <w:r w:rsidRPr="00781FBD">
        <w:rPr>
          <w:rFonts w:ascii="Verdana" w:hAnsi="Verdana"/>
          <w:sz w:val="24"/>
          <w:szCs w:val="24"/>
        </w:rPr>
        <w:t>Potential to expand the scope of projects and do further research and data collection</w:t>
      </w:r>
    </w:p>
    <w:p w14:paraId="4567C4EA" w14:textId="716F5DF0" w:rsidR="005A6436" w:rsidRPr="00781FBD" w:rsidRDefault="193DDCDF" w:rsidP="212B9D2D">
      <w:pPr>
        <w:spacing w:after="0" w:line="240" w:lineRule="auto"/>
        <w:rPr>
          <w:rFonts w:ascii="Verdana" w:hAnsi="Verdana"/>
          <w:i/>
          <w:color w:val="2F5496" w:themeColor="accent5" w:themeShade="BF"/>
          <w:sz w:val="24"/>
          <w:szCs w:val="24"/>
        </w:rPr>
      </w:pPr>
      <w:r w:rsidRPr="00781FBD">
        <w:rPr>
          <w:rFonts w:ascii="Verdana" w:hAnsi="Verdana"/>
          <w:i/>
          <w:color w:val="2F5496" w:themeColor="accent5" w:themeShade="BF"/>
          <w:sz w:val="24"/>
          <w:szCs w:val="24"/>
        </w:rPr>
        <w:t>Melbourne Water’s bi-annual Perceptions of Waterways survey</w:t>
      </w:r>
    </w:p>
    <w:p w14:paraId="7A9E763C" w14:textId="3130CF1A" w:rsidR="2F4D1433" w:rsidRPr="00781FBD" w:rsidRDefault="005A6436" w:rsidP="37C25321">
      <w:pPr>
        <w:spacing w:before="120" w:after="120" w:line="300" w:lineRule="atLeast"/>
        <w:rPr>
          <w:rFonts w:ascii="Verdana" w:eastAsiaTheme="minorEastAsia" w:hAnsi="Verdana"/>
          <w:sz w:val="24"/>
          <w:szCs w:val="24"/>
        </w:rPr>
      </w:pPr>
      <w:r w:rsidRPr="00781FBD">
        <w:rPr>
          <w:rFonts w:ascii="Verdana" w:eastAsiaTheme="minorEastAsia" w:hAnsi="Verdana"/>
          <w:sz w:val="24"/>
          <w:szCs w:val="24"/>
        </w:rPr>
        <w:t>Melbourne Water’s 2020 Perceptions of Waterways survey, using a</w:t>
      </w:r>
      <w:r w:rsidRPr="00781FBD">
        <w:rPr>
          <w:rFonts w:ascii="Verdana" w:hAnsi="Verdana"/>
          <w:sz w:val="24"/>
          <w:szCs w:val="24"/>
        </w:rPr>
        <w:t xml:space="preserve"> sample of </w:t>
      </w:r>
      <w:r w:rsidRPr="00781FBD">
        <w:rPr>
          <w:rFonts w:ascii="Verdana" w:eastAsiaTheme="minorEastAsia" w:hAnsi="Verdana"/>
          <w:sz w:val="24"/>
          <w:szCs w:val="24"/>
        </w:rPr>
        <w:t>1650 residents aged 18 and above in the Greater Melbourne region randomly recruited from an online research panel and conducted in between Stage 2 and Stage 3 COVID</w:t>
      </w:r>
      <w:r w:rsidR="1445588E" w:rsidRPr="00781FBD">
        <w:rPr>
          <w:rFonts w:ascii="Verdana" w:eastAsiaTheme="minorEastAsia" w:hAnsi="Verdana"/>
          <w:sz w:val="24"/>
          <w:szCs w:val="24"/>
        </w:rPr>
        <w:t>-19</w:t>
      </w:r>
      <w:r w:rsidRPr="00781FBD">
        <w:rPr>
          <w:rFonts w:ascii="Verdana" w:eastAsiaTheme="minorEastAsia" w:hAnsi="Verdana"/>
          <w:sz w:val="24"/>
          <w:szCs w:val="24"/>
        </w:rPr>
        <w:t xml:space="preserve"> lockdowns, showed a </w:t>
      </w:r>
      <w:r w:rsidRPr="00781FBD">
        <w:rPr>
          <w:rFonts w:ascii="Verdana" w:eastAsiaTheme="minorEastAsia" w:hAnsi="Verdana"/>
          <w:b/>
          <w:bCs/>
          <w:sz w:val="24"/>
          <w:szCs w:val="24"/>
        </w:rPr>
        <w:t>significant increase</w:t>
      </w:r>
      <w:r w:rsidRPr="00781FBD">
        <w:rPr>
          <w:rFonts w:ascii="Verdana" w:eastAsiaTheme="minorEastAsia" w:hAnsi="Verdana"/>
          <w:sz w:val="24"/>
          <w:szCs w:val="24"/>
        </w:rPr>
        <w:t xml:space="preserve"> in the amount of people who said they </w:t>
      </w:r>
      <w:r w:rsidRPr="00781FBD">
        <w:rPr>
          <w:rFonts w:ascii="Verdana" w:eastAsiaTheme="minorEastAsia" w:hAnsi="Verdana"/>
          <w:b/>
          <w:bCs/>
          <w:sz w:val="24"/>
          <w:szCs w:val="24"/>
        </w:rPr>
        <w:t>visit waterways for mental/emotional wellbeing</w:t>
      </w:r>
      <w:r w:rsidRPr="00781FBD">
        <w:rPr>
          <w:rFonts w:ascii="Verdana" w:eastAsiaTheme="minorEastAsia" w:hAnsi="Verdana"/>
          <w:sz w:val="24"/>
          <w:szCs w:val="24"/>
        </w:rPr>
        <w:t xml:space="preserve"> reasons. From this 2020 survey, satisfaction with waterways across the Greater Melbourne region is also the highest it has been since the inception of the Perception of Waterways study in 1993. While the desire for improved opportunities for community involvement in waterways beyond visitation was not measured in this survey, these results clearly indicate positive personal wellbeing effects from visiting waterways, and suggests an opportunity following COVID to leverage off strong satisfaction to engage more people in contributing to management outcomes. </w:t>
      </w:r>
    </w:p>
    <w:p w14:paraId="4C5BF03F" w14:textId="77777777" w:rsidR="0093440E" w:rsidRPr="0093440E" w:rsidRDefault="0093440E" w:rsidP="002908C2">
      <w:pPr>
        <w:spacing w:before="120" w:after="120" w:line="300" w:lineRule="atLeast"/>
        <w:rPr>
          <w:rFonts w:ascii="Verdana" w:eastAsia="Times New Roman" w:hAnsi="Verdana" w:cs="Times New Roman"/>
          <w:b/>
          <w:bCs/>
          <w:sz w:val="20"/>
          <w:szCs w:val="20"/>
        </w:rPr>
      </w:pPr>
    </w:p>
    <w:p w14:paraId="36460796" w14:textId="7E7F6D75" w:rsidR="005A6436" w:rsidRPr="00781FBD" w:rsidRDefault="002908C2" w:rsidP="0B26FF4E">
      <w:pPr>
        <w:spacing w:before="120" w:after="120" w:line="300" w:lineRule="atLeast"/>
        <w:rPr>
          <w:rFonts w:ascii="Verdana" w:hAnsi="Verdana"/>
          <w:color w:val="2F5496" w:themeColor="accent5" w:themeShade="BF"/>
          <w:sz w:val="28"/>
          <w:szCs w:val="28"/>
        </w:rPr>
      </w:pPr>
      <w:r w:rsidRPr="00781FBD">
        <w:rPr>
          <w:rFonts w:ascii="Verdana" w:eastAsia="Times New Roman" w:hAnsi="Verdana" w:cs="Times New Roman"/>
          <w:b/>
          <w:bCs/>
          <w:color w:val="2F5496" w:themeColor="accent5" w:themeShade="BF"/>
          <w:sz w:val="28"/>
          <w:szCs w:val="28"/>
        </w:rPr>
        <w:t xml:space="preserve">Program Background </w:t>
      </w:r>
    </w:p>
    <w:p w14:paraId="21CABB57" w14:textId="60EE2BF0" w:rsidR="005A6436" w:rsidRPr="00781FBD" w:rsidRDefault="005A6436" w:rsidP="00166043">
      <w:pPr>
        <w:rPr>
          <w:rFonts w:ascii="Verdana" w:hAnsi="Verdana"/>
          <w:sz w:val="24"/>
          <w:szCs w:val="24"/>
        </w:rPr>
      </w:pPr>
      <w:r w:rsidRPr="00781FBD">
        <w:rPr>
          <w:rFonts w:ascii="Verdana" w:hAnsi="Verdana"/>
          <w:sz w:val="24"/>
          <w:szCs w:val="24"/>
        </w:rPr>
        <w:t xml:space="preserve">Through education and citizen science programs, Melbourne Water provides opportunities for the community to connect with their local environment and learn about the importance of these environments and associated values. </w:t>
      </w:r>
      <w:r w:rsidR="002506E7" w:rsidRPr="00781FBD">
        <w:rPr>
          <w:rFonts w:ascii="Verdana" w:hAnsi="Verdana"/>
          <w:sz w:val="24"/>
          <w:szCs w:val="24"/>
        </w:rPr>
        <w:t>This connection is integral in Melbourne Water’s management of community v</w:t>
      </w:r>
      <w:r w:rsidRPr="00781FBD">
        <w:rPr>
          <w:rFonts w:ascii="Verdana" w:hAnsi="Verdana"/>
          <w:sz w:val="24"/>
          <w:szCs w:val="24"/>
        </w:rPr>
        <w:t xml:space="preserve">olunteers </w:t>
      </w:r>
      <w:r w:rsidR="002506E7" w:rsidRPr="00781FBD">
        <w:rPr>
          <w:rFonts w:ascii="Verdana" w:hAnsi="Verdana"/>
          <w:sz w:val="24"/>
          <w:szCs w:val="24"/>
        </w:rPr>
        <w:t xml:space="preserve">that are central to the </w:t>
      </w:r>
      <w:r w:rsidR="00934F80" w:rsidRPr="00781FBD">
        <w:rPr>
          <w:rFonts w:ascii="Verdana" w:hAnsi="Verdana"/>
          <w:sz w:val="24"/>
          <w:szCs w:val="24"/>
        </w:rPr>
        <w:t xml:space="preserve">collection of data to </w:t>
      </w:r>
      <w:r w:rsidRPr="00781FBD">
        <w:rPr>
          <w:rFonts w:ascii="Verdana" w:hAnsi="Verdana"/>
          <w:sz w:val="24"/>
          <w:szCs w:val="24"/>
        </w:rPr>
        <w:t xml:space="preserve">assist in waterway management and the protection of species like platypus, fish and frogs. </w:t>
      </w:r>
    </w:p>
    <w:p w14:paraId="7981B85E" w14:textId="628E0183" w:rsidR="005A6436" w:rsidRPr="00781FBD" w:rsidRDefault="005A6436" w:rsidP="005A6436">
      <w:pPr>
        <w:rPr>
          <w:rFonts w:ascii="Verdana" w:hAnsi="Verdana"/>
          <w:sz w:val="24"/>
          <w:szCs w:val="24"/>
        </w:rPr>
      </w:pPr>
      <w:r w:rsidRPr="00781FBD">
        <w:rPr>
          <w:rFonts w:ascii="Verdana" w:hAnsi="Verdana"/>
          <w:sz w:val="24"/>
          <w:szCs w:val="24"/>
        </w:rPr>
        <w:t>As is well supported by academic research, well-timed and relevant education and engagement programs helps increase participation in water management decisions (through improved water literacy) and motivates behaviour change to protect these natural resources</w:t>
      </w:r>
      <w:r w:rsidR="69A6F86E" w:rsidRPr="00781FBD">
        <w:rPr>
          <w:rFonts w:ascii="Verdana" w:hAnsi="Verdana"/>
          <w:sz w:val="24"/>
          <w:szCs w:val="24"/>
        </w:rPr>
        <w:t xml:space="preserve"> (see Program Benefits section below for more detail)</w:t>
      </w:r>
      <w:r w:rsidRPr="00781FBD">
        <w:rPr>
          <w:rFonts w:ascii="Verdana" w:hAnsi="Verdana"/>
          <w:sz w:val="24"/>
          <w:szCs w:val="24"/>
        </w:rPr>
        <w:t xml:space="preserve">. Spending time in nature also provides </w:t>
      </w:r>
      <w:r w:rsidR="6C71D032" w:rsidRPr="00781FBD">
        <w:rPr>
          <w:rFonts w:ascii="Verdana" w:hAnsi="Verdana"/>
          <w:sz w:val="24"/>
          <w:szCs w:val="24"/>
        </w:rPr>
        <w:t>many</w:t>
      </w:r>
      <w:r w:rsidRPr="00781FBD">
        <w:rPr>
          <w:rFonts w:ascii="Verdana" w:hAnsi="Verdana"/>
          <w:sz w:val="24"/>
          <w:szCs w:val="24"/>
        </w:rPr>
        <w:t xml:space="preserve"> public health benefits, including individual mental health benefits and collective reduction in public health system costs from reduced incidences of disease attributable to increased recreation activities (see Chapters 4 and 5 of 2019 Frontier Economics report </w:t>
      </w:r>
      <w:r w:rsidRPr="00781FBD">
        <w:rPr>
          <w:rFonts w:ascii="Verdana" w:hAnsi="Verdana"/>
          <w:i/>
          <w:iCs/>
          <w:sz w:val="24"/>
          <w:szCs w:val="24"/>
        </w:rPr>
        <w:t>Health benefits from water centric liveable communities</w:t>
      </w:r>
      <w:r w:rsidRPr="00781FBD">
        <w:rPr>
          <w:rFonts w:ascii="Verdana" w:hAnsi="Verdana"/>
          <w:sz w:val="24"/>
          <w:szCs w:val="24"/>
        </w:rPr>
        <w:t xml:space="preserve">). </w:t>
      </w:r>
    </w:p>
    <w:p w14:paraId="008ADE18" w14:textId="77777777" w:rsidR="005A6436" w:rsidRPr="00781FBD" w:rsidRDefault="005A6436" w:rsidP="37C25321">
      <w:pPr>
        <w:rPr>
          <w:rFonts w:ascii="Verdana" w:eastAsiaTheme="minorEastAsia" w:hAnsi="Verdana"/>
          <w:sz w:val="24"/>
          <w:szCs w:val="24"/>
        </w:rPr>
      </w:pPr>
      <w:r w:rsidRPr="00781FBD">
        <w:rPr>
          <w:rFonts w:ascii="Verdana" w:eastAsiaTheme="minorEastAsia" w:hAnsi="Verdana"/>
          <w:sz w:val="24"/>
          <w:szCs w:val="24"/>
        </w:rPr>
        <w:lastRenderedPageBreak/>
        <w:t>Experience has also shown that involving the community in waterways through engagement and education is an effective and efficient approach for achieving waterway outcomes (managing litter; water quality, habitat and threatened species monitoring, revegetation and a range of other waterway management activities). An example of this is the role of citizen science monitoring which provides a cost-effective approach for the collection of occurrence records of common and widespread species across broad scales.</w:t>
      </w:r>
    </w:p>
    <w:p w14:paraId="514FC566" w14:textId="600D0D5C" w:rsidR="004240BD" w:rsidRPr="00781FBD" w:rsidRDefault="005A6436" w:rsidP="004240BD">
      <w:pPr>
        <w:rPr>
          <w:rFonts w:ascii="Verdana" w:hAnsi="Verdana"/>
          <w:sz w:val="24"/>
          <w:szCs w:val="24"/>
        </w:rPr>
      </w:pPr>
      <w:r w:rsidRPr="00781FBD">
        <w:rPr>
          <w:rFonts w:ascii="Verdana" w:hAnsi="Verdana"/>
          <w:sz w:val="24"/>
          <w:szCs w:val="24"/>
        </w:rPr>
        <w:t>Community volunteering also provides many hours of unpaid work supporting on-ground waterway management and significantly improving the outcomes that would be possible if delivered by agencies alone. At a broad level, Victoria’s 1.5 million volunteers contribute millions of hours of unpaid work each year to their communities (projected to be worth around $42 billion by 2021) (Victorians Volunteering for Nature – DELWP’s Environmental Volunteering Plan 2019).</w:t>
      </w:r>
    </w:p>
    <w:p w14:paraId="6FC66C11" w14:textId="3D234BF9" w:rsidR="00166043" w:rsidRDefault="00166043" w:rsidP="00F57C68">
      <w:pPr>
        <w:spacing w:after="240"/>
        <w:rPr>
          <w:rFonts w:ascii="Verdana" w:hAnsi="Verdana"/>
          <w:sz w:val="24"/>
          <w:szCs w:val="24"/>
        </w:rPr>
      </w:pPr>
      <w:r w:rsidRPr="00781FBD">
        <w:rPr>
          <w:rFonts w:ascii="Verdana" w:hAnsi="Verdana"/>
          <w:sz w:val="24"/>
          <w:szCs w:val="24"/>
        </w:rPr>
        <w:t>A comparison of program costs and outputs for the Frog Census, Platypus Census and eDNA collection and the Litter Action Project is provided in three case studies below. The benefit to Melbourne Water is quantified to show the cost efficiency of community-based data collection, compared to consultant effort. In addition to these cost savings, the community has contributed an estimated 19,900 hours in volunteer time by participating in these three programs.</w:t>
      </w:r>
    </w:p>
    <w:tbl>
      <w:tblPr>
        <w:tblStyle w:val="TableGrid"/>
        <w:tblW w:w="0" w:type="auto"/>
        <w:tblLayout w:type="fixed"/>
        <w:tblLook w:val="06A0" w:firstRow="1" w:lastRow="0" w:firstColumn="1" w:lastColumn="0" w:noHBand="1" w:noVBand="1"/>
      </w:tblPr>
      <w:tblGrid>
        <w:gridCol w:w="9015"/>
      </w:tblGrid>
      <w:tr w:rsidR="0B26FF4E" w14:paraId="5D9D2150" w14:textId="77777777" w:rsidTr="66167E52">
        <w:tc>
          <w:tcPr>
            <w:tcW w:w="9015" w:type="dxa"/>
            <w:shd w:val="clear" w:color="auto" w:fill="DEEAF6" w:themeFill="accent1" w:themeFillTint="33"/>
          </w:tcPr>
          <w:p w14:paraId="5CB43982" w14:textId="2FAC9E19" w:rsidR="1D9F09EF" w:rsidRPr="00781FBD" w:rsidRDefault="0F43B305" w:rsidP="004240BD">
            <w:pPr>
              <w:rPr>
                <w:rFonts w:ascii="Verdana" w:eastAsia="Verdana" w:hAnsi="Verdana" w:cs="Verdana"/>
                <w:b/>
                <w:bCs/>
                <w:color w:val="000000" w:themeColor="text1"/>
                <w:sz w:val="22"/>
              </w:rPr>
            </w:pPr>
            <w:r w:rsidRPr="00781FBD">
              <w:rPr>
                <w:rFonts w:ascii="Verdana" w:eastAsia="Verdana" w:hAnsi="Verdana" w:cs="Verdana"/>
                <w:b/>
                <w:bCs/>
                <w:color w:val="000000" w:themeColor="text1"/>
                <w:sz w:val="22"/>
              </w:rPr>
              <w:t>Case study</w:t>
            </w:r>
            <w:r w:rsidR="463BC8C5" w:rsidRPr="00781FBD">
              <w:rPr>
                <w:rFonts w:ascii="Verdana" w:eastAsia="Verdana" w:hAnsi="Verdana" w:cs="Verdana"/>
                <w:b/>
                <w:bCs/>
                <w:color w:val="000000" w:themeColor="text1"/>
                <w:sz w:val="22"/>
              </w:rPr>
              <w:t xml:space="preserve"> 1</w:t>
            </w:r>
            <w:r w:rsidRPr="00781FBD">
              <w:rPr>
                <w:rFonts w:ascii="Verdana" w:eastAsia="Verdana" w:hAnsi="Verdana" w:cs="Verdana"/>
                <w:b/>
                <w:bCs/>
                <w:color w:val="000000" w:themeColor="text1"/>
                <w:sz w:val="22"/>
              </w:rPr>
              <w:t>: Frog Census</w:t>
            </w:r>
          </w:p>
          <w:p w14:paraId="2469B81C" w14:textId="012B81F3" w:rsidR="1D9F09EF" w:rsidRPr="00781FBD" w:rsidRDefault="6504195B" w:rsidP="004240BD">
            <w:pPr>
              <w:rPr>
                <w:rFonts w:ascii="Verdana" w:eastAsia="Verdana" w:hAnsi="Verdana" w:cs="Verdana"/>
                <w:color w:val="000000" w:themeColor="text1"/>
                <w:sz w:val="22"/>
              </w:rPr>
            </w:pPr>
            <w:r w:rsidRPr="00781FBD">
              <w:rPr>
                <w:rFonts w:ascii="Verdana" w:eastAsia="Verdana" w:hAnsi="Verdana" w:cs="Verdana"/>
                <w:color w:val="000000" w:themeColor="text1"/>
                <w:sz w:val="22"/>
              </w:rPr>
              <w:t xml:space="preserve">Citizen science monitoring can provide a cost-effective approach for the collection of occurrence records of common and widespread species across broad scales. Through the Frog Census app, participants can monitor frogs, which play an important role in waterway health, and collect data to help Melbourne Water manage frog populations and raise awareness of waterway health issues. </w:t>
            </w:r>
          </w:p>
          <w:p w14:paraId="35F9A7C4" w14:textId="09A05FFE" w:rsidR="1D9F09EF" w:rsidRPr="00F57C68" w:rsidRDefault="6504195B">
            <w:pPr>
              <w:rPr>
                <w:rFonts w:ascii="Verdana" w:eastAsia="Verdana" w:hAnsi="Verdana" w:cs="Verdana"/>
                <w:color w:val="000000" w:themeColor="text1"/>
                <w:sz w:val="22"/>
              </w:rPr>
            </w:pPr>
            <w:r w:rsidRPr="00781FBD">
              <w:rPr>
                <w:rFonts w:ascii="Verdana" w:eastAsia="Verdana" w:hAnsi="Verdana" w:cs="Verdana"/>
                <w:color w:val="000000" w:themeColor="text1"/>
                <w:sz w:val="22"/>
              </w:rPr>
              <w:t>Frog Census volunteers, supported with expert call validations and educational resourcing</w:t>
            </w:r>
            <w:r w:rsidR="0001641D" w:rsidRPr="00781FBD">
              <w:rPr>
                <w:rFonts w:ascii="Verdana" w:eastAsia="Verdana" w:hAnsi="Verdana" w:cs="Verdana"/>
                <w:color w:val="000000" w:themeColor="text1"/>
                <w:sz w:val="22"/>
              </w:rPr>
              <w:t xml:space="preserve"> and events</w:t>
            </w:r>
            <w:r w:rsidRPr="00781FBD">
              <w:rPr>
                <w:rFonts w:ascii="Verdana" w:eastAsia="Verdana" w:hAnsi="Verdana" w:cs="Verdana"/>
                <w:color w:val="000000" w:themeColor="text1"/>
                <w:sz w:val="22"/>
              </w:rPr>
              <w:t>, ca</w:t>
            </w:r>
            <w:r w:rsidR="00FE505B" w:rsidRPr="00781FBD">
              <w:rPr>
                <w:rFonts w:ascii="Verdana" w:eastAsia="Verdana" w:hAnsi="Verdana" w:cs="Verdana"/>
                <w:color w:val="000000" w:themeColor="text1"/>
                <w:sz w:val="22"/>
              </w:rPr>
              <w:t>n cost significantly</w:t>
            </w:r>
            <w:r w:rsidRPr="00781FBD">
              <w:rPr>
                <w:rFonts w:ascii="Verdana" w:eastAsia="Verdana" w:hAnsi="Verdana" w:cs="Verdana"/>
                <w:color w:val="000000" w:themeColor="text1"/>
                <w:sz w:val="22"/>
              </w:rPr>
              <w:t xml:space="preserve"> less than the use of commercial consultants per hour. This has represented a significant organisational benefit where widespread regional scale data collection for the H</w:t>
            </w:r>
            <w:r w:rsidR="005A17CD" w:rsidRPr="00781FBD">
              <w:rPr>
                <w:rFonts w:ascii="Verdana" w:eastAsia="Verdana" w:hAnsi="Verdana" w:cs="Verdana"/>
                <w:color w:val="000000" w:themeColor="text1"/>
                <w:sz w:val="22"/>
              </w:rPr>
              <w:t xml:space="preserve">ealthy </w:t>
            </w:r>
            <w:r w:rsidRPr="00781FBD">
              <w:rPr>
                <w:rFonts w:ascii="Verdana" w:eastAsia="Verdana" w:hAnsi="Verdana" w:cs="Verdana"/>
                <w:color w:val="000000" w:themeColor="text1"/>
                <w:sz w:val="22"/>
              </w:rPr>
              <w:t>W</w:t>
            </w:r>
            <w:r w:rsidR="005A17CD" w:rsidRPr="00781FBD">
              <w:rPr>
                <w:rFonts w:ascii="Verdana" w:eastAsia="Verdana" w:hAnsi="Verdana" w:cs="Verdana"/>
                <w:color w:val="000000" w:themeColor="text1"/>
                <w:sz w:val="22"/>
              </w:rPr>
              <w:t xml:space="preserve">aterways </w:t>
            </w:r>
            <w:r w:rsidRPr="00781FBD">
              <w:rPr>
                <w:rFonts w:ascii="Verdana" w:eastAsia="Verdana" w:hAnsi="Verdana" w:cs="Verdana"/>
                <w:color w:val="000000" w:themeColor="text1"/>
                <w:sz w:val="22"/>
              </w:rPr>
              <w:t>S</w:t>
            </w:r>
            <w:r w:rsidR="005A17CD" w:rsidRPr="00781FBD">
              <w:rPr>
                <w:rFonts w:ascii="Verdana" w:eastAsia="Verdana" w:hAnsi="Verdana" w:cs="Verdana"/>
                <w:color w:val="000000" w:themeColor="text1"/>
                <w:sz w:val="22"/>
              </w:rPr>
              <w:t>trategy</w:t>
            </w:r>
            <w:r w:rsidRPr="00781FBD">
              <w:rPr>
                <w:rFonts w:ascii="Verdana" w:eastAsia="Verdana" w:hAnsi="Verdana" w:cs="Verdana"/>
                <w:color w:val="000000" w:themeColor="text1"/>
                <w:sz w:val="22"/>
              </w:rPr>
              <w:t xml:space="preserve"> is needed but consultant monitoring costs at that scale are prohibitive. </w:t>
            </w:r>
          </w:p>
          <w:tbl>
            <w:tblPr>
              <w:tblW w:w="8807" w:type="dxa"/>
              <w:tblLayout w:type="fixed"/>
              <w:tblLook w:val="04A0" w:firstRow="1" w:lastRow="0" w:firstColumn="1" w:lastColumn="0" w:noHBand="0" w:noVBand="1"/>
            </w:tblPr>
            <w:tblGrid>
              <w:gridCol w:w="3376"/>
              <w:gridCol w:w="2655"/>
              <w:gridCol w:w="2776"/>
            </w:tblGrid>
            <w:tr w:rsidR="0B26FF4E" w:rsidRPr="00781FBD" w14:paraId="1A39E29C" w14:textId="77777777" w:rsidTr="66167E52">
              <w:tc>
                <w:tcPr>
                  <w:tcW w:w="3376" w:type="dxa"/>
                  <w:tcBorders>
                    <w:top w:val="single" w:sz="8" w:space="0" w:color="auto"/>
                    <w:left w:val="single" w:sz="8" w:space="0" w:color="auto"/>
                    <w:bottom w:val="single" w:sz="8" w:space="0" w:color="auto"/>
                    <w:right w:val="single" w:sz="8" w:space="0" w:color="auto"/>
                  </w:tcBorders>
                  <w:shd w:val="clear" w:color="auto" w:fill="FFFFFF" w:themeFill="background1"/>
                </w:tcPr>
                <w:p w14:paraId="0F45CFB5" w14:textId="4ECF51D7" w:rsidR="0B26FF4E" w:rsidRPr="00781FBD" w:rsidRDefault="002715F7">
                  <w:pPr>
                    <w:rPr>
                      <w:rFonts w:ascii="Verdana" w:hAnsi="Verdana"/>
                      <w:sz w:val="22"/>
                    </w:rPr>
                  </w:pPr>
                  <w:r w:rsidRPr="00781FBD">
                    <w:rPr>
                      <w:rFonts w:ascii="Verdana" w:eastAsia="Calibri" w:hAnsi="Verdana" w:cs="Calibri"/>
                      <w:b/>
                      <w:bCs/>
                      <w:sz w:val="22"/>
                    </w:rPr>
                    <w:t>Frog Census program</w:t>
                  </w:r>
                  <w:r w:rsidR="0B26FF4E" w:rsidRPr="00781FBD">
                    <w:rPr>
                      <w:rFonts w:ascii="Verdana" w:eastAsia="Calibri" w:hAnsi="Verdana" w:cs="Calibri"/>
                      <w:b/>
                      <w:bCs/>
                      <w:sz w:val="22"/>
                    </w:rPr>
                    <w:t xml:space="preserve"> 2016-21</w:t>
                  </w:r>
                </w:p>
              </w:tc>
              <w:tc>
                <w:tcPr>
                  <w:tcW w:w="2655" w:type="dxa"/>
                  <w:tcBorders>
                    <w:top w:val="single" w:sz="8" w:space="0" w:color="auto"/>
                    <w:left w:val="single" w:sz="8" w:space="0" w:color="auto"/>
                    <w:bottom w:val="single" w:sz="8" w:space="0" w:color="auto"/>
                    <w:right w:val="single" w:sz="8" w:space="0" w:color="auto"/>
                  </w:tcBorders>
                  <w:shd w:val="clear" w:color="auto" w:fill="FFFFFF" w:themeFill="background1"/>
                </w:tcPr>
                <w:p w14:paraId="2BE966AF" w14:textId="3E6DD98E" w:rsidR="0B26FF4E" w:rsidRPr="00781FBD" w:rsidRDefault="002715F7">
                  <w:pPr>
                    <w:rPr>
                      <w:rFonts w:ascii="Verdana" w:hAnsi="Verdana"/>
                      <w:sz w:val="22"/>
                    </w:rPr>
                  </w:pPr>
                  <w:r w:rsidRPr="00781FBD">
                    <w:rPr>
                      <w:rFonts w:ascii="Verdana" w:eastAsia="Calibri" w:hAnsi="Verdana" w:cs="Calibri"/>
                      <w:b/>
                      <w:bCs/>
                      <w:sz w:val="22"/>
                    </w:rPr>
                    <w:t>Program costs and output</w:t>
                  </w:r>
                </w:p>
              </w:tc>
              <w:tc>
                <w:tcPr>
                  <w:tcW w:w="2776" w:type="dxa"/>
                  <w:tcBorders>
                    <w:top w:val="single" w:sz="8" w:space="0" w:color="auto"/>
                    <w:left w:val="single" w:sz="8" w:space="0" w:color="auto"/>
                    <w:bottom w:val="single" w:sz="8" w:space="0" w:color="auto"/>
                    <w:right w:val="single" w:sz="8" w:space="0" w:color="auto"/>
                  </w:tcBorders>
                  <w:shd w:val="clear" w:color="auto" w:fill="FFFFFF" w:themeFill="background1"/>
                </w:tcPr>
                <w:p w14:paraId="038F63DD" w14:textId="67E8733D" w:rsidR="0B26FF4E" w:rsidRPr="00781FBD" w:rsidRDefault="0B26FF4E">
                  <w:pPr>
                    <w:rPr>
                      <w:rFonts w:ascii="Verdana" w:hAnsi="Verdana"/>
                      <w:sz w:val="22"/>
                    </w:rPr>
                  </w:pPr>
                  <w:r w:rsidRPr="00781FBD">
                    <w:rPr>
                      <w:rFonts w:ascii="Verdana" w:eastAsia="Calibri" w:hAnsi="Verdana" w:cs="Calibri"/>
                      <w:b/>
                      <w:bCs/>
                      <w:sz w:val="22"/>
                    </w:rPr>
                    <w:t xml:space="preserve">Projected consultant cost to MW </w:t>
                  </w:r>
                  <w:r w:rsidR="0621E73F" w:rsidRPr="00781FBD">
                    <w:rPr>
                      <w:rFonts w:ascii="Verdana" w:eastAsia="Calibri" w:hAnsi="Verdana" w:cs="Calibri"/>
                      <w:b/>
                      <w:bCs/>
                      <w:sz w:val="22"/>
                    </w:rPr>
                    <w:t xml:space="preserve">for same effort </w:t>
                  </w:r>
                  <w:r w:rsidRPr="00781FBD">
                    <w:rPr>
                      <w:rFonts w:ascii="Verdana" w:eastAsia="Calibri" w:hAnsi="Verdana" w:cs="Calibri"/>
                      <w:b/>
                      <w:bCs/>
                      <w:sz w:val="22"/>
                    </w:rPr>
                    <w:t>(minimum estimate)</w:t>
                  </w:r>
                </w:p>
              </w:tc>
            </w:tr>
            <w:tr w:rsidR="0B26FF4E" w:rsidRPr="00781FBD" w14:paraId="5EE3B943" w14:textId="77777777" w:rsidTr="66167E52">
              <w:tc>
                <w:tcPr>
                  <w:tcW w:w="3376" w:type="dxa"/>
                  <w:tcBorders>
                    <w:top w:val="single" w:sz="8" w:space="0" w:color="auto"/>
                    <w:left w:val="single" w:sz="8" w:space="0" w:color="auto"/>
                    <w:bottom w:val="single" w:sz="8" w:space="0" w:color="auto"/>
                    <w:right w:val="single" w:sz="8" w:space="0" w:color="auto"/>
                  </w:tcBorders>
                  <w:shd w:val="clear" w:color="auto" w:fill="FFFFFF" w:themeFill="background1"/>
                </w:tcPr>
                <w:p w14:paraId="1C5BEFB6" w14:textId="0444A929" w:rsidR="0B26FF4E" w:rsidRPr="00781FBD" w:rsidRDefault="002715F7">
                  <w:pPr>
                    <w:rPr>
                      <w:rFonts w:ascii="Verdana" w:hAnsi="Verdana"/>
                      <w:sz w:val="22"/>
                    </w:rPr>
                  </w:pPr>
                  <w:r w:rsidRPr="00781FBD">
                    <w:rPr>
                      <w:rFonts w:ascii="Verdana" w:eastAsia="Calibri" w:hAnsi="Verdana" w:cs="Calibri"/>
                      <w:sz w:val="22"/>
                    </w:rPr>
                    <w:t>Program costs (5 years)*</w:t>
                  </w:r>
                </w:p>
              </w:tc>
              <w:tc>
                <w:tcPr>
                  <w:tcW w:w="2655" w:type="dxa"/>
                  <w:tcBorders>
                    <w:top w:val="single" w:sz="8" w:space="0" w:color="auto"/>
                    <w:left w:val="single" w:sz="8" w:space="0" w:color="auto"/>
                    <w:bottom w:val="single" w:sz="8" w:space="0" w:color="auto"/>
                    <w:right w:val="single" w:sz="8" w:space="0" w:color="auto"/>
                  </w:tcBorders>
                  <w:shd w:val="clear" w:color="auto" w:fill="FFFFFF" w:themeFill="background1"/>
                </w:tcPr>
                <w:p w14:paraId="16DEB1B3" w14:textId="4F867A18" w:rsidR="0B26FF4E" w:rsidRPr="00781FBD" w:rsidRDefault="0B26FF4E" w:rsidP="002715F7">
                  <w:pPr>
                    <w:rPr>
                      <w:rFonts w:ascii="Verdana" w:hAnsi="Verdana"/>
                      <w:sz w:val="22"/>
                    </w:rPr>
                  </w:pPr>
                  <w:r w:rsidRPr="00781FBD">
                    <w:rPr>
                      <w:rFonts w:ascii="Verdana" w:eastAsia="Calibri" w:hAnsi="Verdana" w:cs="Calibri"/>
                      <w:sz w:val="22"/>
                    </w:rPr>
                    <w:t>$</w:t>
                  </w:r>
                  <w:r w:rsidR="002715F7" w:rsidRPr="00781FBD">
                    <w:rPr>
                      <w:rFonts w:ascii="Verdana" w:eastAsia="Calibri" w:hAnsi="Verdana" w:cs="Calibri"/>
                      <w:sz w:val="22"/>
                    </w:rPr>
                    <w:t>170,000</w:t>
                  </w:r>
                </w:p>
              </w:tc>
              <w:tc>
                <w:tcPr>
                  <w:tcW w:w="2776" w:type="dxa"/>
                  <w:tcBorders>
                    <w:top w:val="single" w:sz="8" w:space="0" w:color="auto"/>
                    <w:left w:val="single" w:sz="8" w:space="0" w:color="auto"/>
                    <w:bottom w:val="single" w:sz="8" w:space="0" w:color="auto"/>
                    <w:right w:val="single" w:sz="8" w:space="0" w:color="auto"/>
                  </w:tcBorders>
                  <w:shd w:val="clear" w:color="auto" w:fill="FFFFFF" w:themeFill="background1"/>
                </w:tcPr>
                <w:p w14:paraId="0FA2ACBD" w14:textId="0B826E58" w:rsidR="0B26FF4E" w:rsidRPr="00781FBD" w:rsidRDefault="0B26FF4E">
                  <w:pPr>
                    <w:rPr>
                      <w:rFonts w:ascii="Verdana" w:hAnsi="Verdana"/>
                      <w:sz w:val="22"/>
                    </w:rPr>
                  </w:pPr>
                </w:p>
              </w:tc>
            </w:tr>
            <w:tr w:rsidR="0B26FF4E" w:rsidRPr="00781FBD" w14:paraId="439AE90E" w14:textId="77777777" w:rsidTr="66167E52">
              <w:tc>
                <w:tcPr>
                  <w:tcW w:w="3376" w:type="dxa"/>
                  <w:tcBorders>
                    <w:top w:val="single" w:sz="8" w:space="0" w:color="auto"/>
                    <w:left w:val="single" w:sz="8" w:space="0" w:color="auto"/>
                    <w:bottom w:val="single" w:sz="8" w:space="0" w:color="auto"/>
                    <w:right w:val="single" w:sz="8" w:space="0" w:color="auto"/>
                  </w:tcBorders>
                  <w:shd w:val="clear" w:color="auto" w:fill="FFFFFF" w:themeFill="background1"/>
                </w:tcPr>
                <w:p w14:paraId="1962A4CC" w14:textId="6DE17E2F" w:rsidR="0B26FF4E" w:rsidRPr="00781FBD" w:rsidRDefault="00B349FB">
                  <w:pPr>
                    <w:rPr>
                      <w:rFonts w:ascii="Verdana" w:hAnsi="Verdana"/>
                      <w:sz w:val="22"/>
                    </w:rPr>
                  </w:pPr>
                  <w:r w:rsidRPr="00781FBD">
                    <w:rPr>
                      <w:rFonts w:ascii="Verdana" w:eastAsia="Calibri" w:hAnsi="Verdana" w:cs="Calibri"/>
                      <w:color w:val="000000" w:themeColor="text1"/>
                      <w:sz w:val="22"/>
                    </w:rPr>
                    <w:lastRenderedPageBreak/>
                    <w:t>Volunteer a</w:t>
                  </w:r>
                  <w:r w:rsidR="002715F7" w:rsidRPr="00781FBD">
                    <w:rPr>
                      <w:rFonts w:ascii="Verdana" w:eastAsia="Calibri" w:hAnsi="Verdana" w:cs="Calibri"/>
                      <w:color w:val="000000" w:themeColor="text1"/>
                      <w:sz w:val="22"/>
                    </w:rPr>
                    <w:t>pp reports (5 years)</w:t>
                  </w:r>
                </w:p>
              </w:tc>
              <w:tc>
                <w:tcPr>
                  <w:tcW w:w="2655" w:type="dxa"/>
                  <w:tcBorders>
                    <w:top w:val="single" w:sz="8" w:space="0" w:color="auto"/>
                    <w:left w:val="single" w:sz="8" w:space="0" w:color="auto"/>
                    <w:bottom w:val="single" w:sz="8" w:space="0" w:color="auto"/>
                    <w:right w:val="single" w:sz="8" w:space="0" w:color="auto"/>
                  </w:tcBorders>
                  <w:shd w:val="clear" w:color="auto" w:fill="FFFFFF" w:themeFill="background1"/>
                </w:tcPr>
                <w:p w14:paraId="3BB19282" w14:textId="4C33104C" w:rsidR="0B26FF4E" w:rsidRPr="00781FBD" w:rsidRDefault="002715F7">
                  <w:pPr>
                    <w:rPr>
                      <w:rFonts w:ascii="Verdana" w:hAnsi="Verdana"/>
                      <w:sz w:val="22"/>
                    </w:rPr>
                  </w:pPr>
                  <w:r w:rsidRPr="00781FBD">
                    <w:rPr>
                      <w:rFonts w:ascii="Verdana" w:eastAsia="Calibri" w:hAnsi="Verdana" w:cs="Calibri"/>
                      <w:sz w:val="22"/>
                    </w:rPr>
                    <w:t>11,789</w:t>
                  </w:r>
                </w:p>
              </w:tc>
              <w:tc>
                <w:tcPr>
                  <w:tcW w:w="2776" w:type="dxa"/>
                  <w:tcBorders>
                    <w:top w:val="single" w:sz="8" w:space="0" w:color="auto"/>
                    <w:left w:val="single" w:sz="8" w:space="0" w:color="auto"/>
                    <w:bottom w:val="single" w:sz="8" w:space="0" w:color="auto"/>
                    <w:right w:val="single" w:sz="8" w:space="0" w:color="auto"/>
                  </w:tcBorders>
                  <w:shd w:val="clear" w:color="auto" w:fill="FFFFFF" w:themeFill="background1"/>
                </w:tcPr>
                <w:p w14:paraId="0298836E" w14:textId="25CFE07D" w:rsidR="0B26FF4E" w:rsidRPr="00781FBD" w:rsidRDefault="0B26FF4E">
                  <w:pPr>
                    <w:rPr>
                      <w:rFonts w:ascii="Verdana" w:hAnsi="Verdana"/>
                      <w:sz w:val="22"/>
                    </w:rPr>
                  </w:pPr>
                </w:p>
              </w:tc>
            </w:tr>
            <w:tr w:rsidR="002715F7" w:rsidRPr="00781FBD" w14:paraId="7DB6F4D2" w14:textId="77777777" w:rsidTr="66167E52">
              <w:tc>
                <w:tcPr>
                  <w:tcW w:w="3376" w:type="dxa"/>
                  <w:tcBorders>
                    <w:top w:val="single" w:sz="8" w:space="0" w:color="auto"/>
                    <w:left w:val="single" w:sz="8" w:space="0" w:color="auto"/>
                    <w:bottom w:val="single" w:sz="8" w:space="0" w:color="auto"/>
                    <w:right w:val="single" w:sz="8" w:space="0" w:color="auto"/>
                  </w:tcBorders>
                  <w:shd w:val="clear" w:color="auto" w:fill="FFFFFF" w:themeFill="background1"/>
                </w:tcPr>
                <w:p w14:paraId="78A83439" w14:textId="037BBECD" w:rsidR="002715F7" w:rsidRPr="00781FBD" w:rsidRDefault="002715F7" w:rsidP="002715F7">
                  <w:pPr>
                    <w:rPr>
                      <w:rFonts w:ascii="Verdana" w:eastAsia="Calibri" w:hAnsi="Verdana" w:cs="Calibri"/>
                      <w:color w:val="000000" w:themeColor="text1"/>
                      <w:sz w:val="22"/>
                    </w:rPr>
                  </w:pPr>
                  <w:r w:rsidRPr="00781FBD">
                    <w:rPr>
                      <w:rFonts w:ascii="Verdana" w:eastAsia="Calibri" w:hAnsi="Verdana" w:cs="Calibri"/>
                      <w:color w:val="000000" w:themeColor="text1"/>
                      <w:sz w:val="22"/>
                    </w:rPr>
                    <w:t>Average cost per report</w:t>
                  </w:r>
                </w:p>
              </w:tc>
              <w:tc>
                <w:tcPr>
                  <w:tcW w:w="2655" w:type="dxa"/>
                  <w:tcBorders>
                    <w:top w:val="single" w:sz="8" w:space="0" w:color="auto"/>
                    <w:left w:val="single" w:sz="8" w:space="0" w:color="auto"/>
                    <w:bottom w:val="single" w:sz="8" w:space="0" w:color="auto"/>
                    <w:right w:val="single" w:sz="8" w:space="0" w:color="auto"/>
                  </w:tcBorders>
                  <w:shd w:val="clear" w:color="auto" w:fill="FFFFFF" w:themeFill="background1"/>
                </w:tcPr>
                <w:p w14:paraId="67E86132" w14:textId="7CB5A27F" w:rsidR="002715F7" w:rsidRPr="00781FBD" w:rsidRDefault="002715F7">
                  <w:pPr>
                    <w:rPr>
                      <w:rFonts w:ascii="Verdana" w:eastAsia="Calibri" w:hAnsi="Verdana" w:cs="Calibri"/>
                      <w:sz w:val="22"/>
                    </w:rPr>
                  </w:pPr>
                  <w:r w:rsidRPr="00781FBD">
                    <w:rPr>
                      <w:rFonts w:ascii="Verdana" w:eastAsia="Calibri" w:hAnsi="Verdana" w:cs="Calibri"/>
                      <w:sz w:val="22"/>
                    </w:rPr>
                    <w:t>$14</w:t>
                  </w:r>
                </w:p>
              </w:tc>
              <w:tc>
                <w:tcPr>
                  <w:tcW w:w="2776" w:type="dxa"/>
                  <w:tcBorders>
                    <w:top w:val="single" w:sz="8" w:space="0" w:color="auto"/>
                    <w:left w:val="single" w:sz="8" w:space="0" w:color="auto"/>
                    <w:bottom w:val="single" w:sz="8" w:space="0" w:color="auto"/>
                    <w:right w:val="single" w:sz="8" w:space="0" w:color="auto"/>
                  </w:tcBorders>
                  <w:shd w:val="clear" w:color="auto" w:fill="FFFFFF" w:themeFill="background1"/>
                </w:tcPr>
                <w:p w14:paraId="58E5A9FB" w14:textId="087BAC02" w:rsidR="002715F7" w:rsidRPr="00781FBD" w:rsidRDefault="002715F7">
                  <w:pPr>
                    <w:rPr>
                      <w:rFonts w:ascii="Verdana" w:eastAsia="Calibri" w:hAnsi="Verdana" w:cs="Calibri"/>
                      <w:sz w:val="22"/>
                    </w:rPr>
                  </w:pPr>
                  <w:r w:rsidRPr="00781FBD">
                    <w:rPr>
                      <w:rFonts w:ascii="Verdana" w:eastAsia="Calibri" w:hAnsi="Verdana" w:cs="Calibri"/>
                      <w:sz w:val="22"/>
                    </w:rPr>
                    <w:t>$100/hour**</w:t>
                  </w:r>
                </w:p>
              </w:tc>
            </w:tr>
            <w:tr w:rsidR="0B26FF4E" w:rsidRPr="00781FBD" w14:paraId="7F5F8EC4" w14:textId="77777777" w:rsidTr="66167E52">
              <w:tc>
                <w:tcPr>
                  <w:tcW w:w="3376" w:type="dxa"/>
                  <w:tcBorders>
                    <w:top w:val="single" w:sz="8" w:space="0" w:color="auto"/>
                    <w:left w:val="single" w:sz="8" w:space="0" w:color="auto"/>
                    <w:bottom w:val="single" w:sz="8" w:space="0" w:color="auto"/>
                    <w:right w:val="single" w:sz="8" w:space="0" w:color="auto"/>
                  </w:tcBorders>
                  <w:shd w:val="clear" w:color="auto" w:fill="FFFFFF" w:themeFill="background1"/>
                </w:tcPr>
                <w:p w14:paraId="22B65520" w14:textId="02D0A370" w:rsidR="0B26FF4E" w:rsidRPr="00781FBD" w:rsidRDefault="0B26FF4E">
                  <w:pPr>
                    <w:rPr>
                      <w:rFonts w:ascii="Verdana" w:hAnsi="Verdana"/>
                      <w:b/>
                      <w:sz w:val="22"/>
                    </w:rPr>
                  </w:pPr>
                  <w:r w:rsidRPr="00781FBD">
                    <w:rPr>
                      <w:rFonts w:ascii="Verdana" w:eastAsia="Calibri" w:hAnsi="Verdana" w:cs="Calibri"/>
                      <w:b/>
                      <w:sz w:val="22"/>
                    </w:rPr>
                    <w:t>Overall program cost comparison</w:t>
                  </w:r>
                </w:p>
              </w:tc>
              <w:tc>
                <w:tcPr>
                  <w:tcW w:w="2655" w:type="dxa"/>
                  <w:tcBorders>
                    <w:top w:val="single" w:sz="8" w:space="0" w:color="auto"/>
                    <w:left w:val="single" w:sz="8" w:space="0" w:color="auto"/>
                    <w:bottom w:val="single" w:sz="8" w:space="0" w:color="auto"/>
                    <w:right w:val="single" w:sz="8" w:space="0" w:color="auto"/>
                  </w:tcBorders>
                  <w:shd w:val="clear" w:color="auto" w:fill="FFFFFF" w:themeFill="background1"/>
                </w:tcPr>
                <w:p w14:paraId="03E726B6" w14:textId="229F1743" w:rsidR="0B26FF4E" w:rsidRPr="00781FBD" w:rsidRDefault="0B26FF4E" w:rsidP="002715F7">
                  <w:pPr>
                    <w:rPr>
                      <w:rFonts w:ascii="Verdana" w:hAnsi="Verdana"/>
                      <w:sz w:val="22"/>
                    </w:rPr>
                  </w:pPr>
                  <w:r w:rsidRPr="00781FBD">
                    <w:rPr>
                      <w:rFonts w:ascii="Verdana" w:eastAsia="Calibri" w:hAnsi="Verdana" w:cs="Calibri"/>
                      <w:b/>
                      <w:bCs/>
                      <w:sz w:val="22"/>
                    </w:rPr>
                    <w:t>$</w:t>
                  </w:r>
                  <w:r w:rsidR="002715F7" w:rsidRPr="00781FBD">
                    <w:rPr>
                      <w:rFonts w:ascii="Verdana" w:eastAsia="Calibri" w:hAnsi="Verdana" w:cs="Calibri"/>
                      <w:b/>
                      <w:bCs/>
                      <w:sz w:val="22"/>
                    </w:rPr>
                    <w:t>170,000</w:t>
                  </w:r>
                </w:p>
              </w:tc>
              <w:tc>
                <w:tcPr>
                  <w:tcW w:w="2776" w:type="dxa"/>
                  <w:tcBorders>
                    <w:top w:val="single" w:sz="8" w:space="0" w:color="auto"/>
                    <w:left w:val="single" w:sz="8" w:space="0" w:color="auto"/>
                    <w:bottom w:val="single" w:sz="8" w:space="0" w:color="auto"/>
                    <w:right w:val="single" w:sz="8" w:space="0" w:color="auto"/>
                  </w:tcBorders>
                  <w:shd w:val="clear" w:color="auto" w:fill="FFFFFF" w:themeFill="background1"/>
                </w:tcPr>
                <w:p w14:paraId="0ABF2883" w14:textId="4ED32697" w:rsidR="0B26FF4E" w:rsidRPr="00781FBD" w:rsidRDefault="0B26FF4E" w:rsidP="002715F7">
                  <w:pPr>
                    <w:rPr>
                      <w:rFonts w:ascii="Verdana" w:hAnsi="Verdana"/>
                      <w:sz w:val="22"/>
                    </w:rPr>
                  </w:pPr>
                  <w:r w:rsidRPr="00781FBD">
                    <w:rPr>
                      <w:rFonts w:ascii="Verdana" w:eastAsia="Calibri" w:hAnsi="Verdana" w:cs="Calibri"/>
                      <w:b/>
                      <w:bCs/>
                      <w:sz w:val="22"/>
                    </w:rPr>
                    <w:t>$</w:t>
                  </w:r>
                  <w:r w:rsidR="002715F7" w:rsidRPr="00781FBD">
                    <w:rPr>
                      <w:rFonts w:ascii="Verdana" w:eastAsia="Calibri" w:hAnsi="Verdana" w:cs="Calibri"/>
                      <w:b/>
                      <w:bCs/>
                      <w:sz w:val="22"/>
                    </w:rPr>
                    <w:t>1,178,900</w:t>
                  </w:r>
                </w:p>
              </w:tc>
            </w:tr>
          </w:tbl>
          <w:p w14:paraId="155F491B" w14:textId="20EE0B91" w:rsidR="1D9F09EF" w:rsidRPr="00781FBD" w:rsidRDefault="0001641D">
            <w:pPr>
              <w:rPr>
                <w:rFonts w:ascii="Verdana" w:hAnsi="Verdana"/>
                <w:sz w:val="22"/>
              </w:rPr>
            </w:pPr>
            <w:r w:rsidRPr="00781FBD">
              <w:rPr>
                <w:rFonts w:ascii="Verdana" w:eastAsia="Calibri" w:hAnsi="Verdana" w:cs="Calibri"/>
                <w:color w:val="000000" w:themeColor="text1"/>
                <w:sz w:val="22"/>
              </w:rPr>
              <w:t>*</w:t>
            </w:r>
            <w:r w:rsidR="002715F7" w:rsidRPr="00781FBD">
              <w:rPr>
                <w:rFonts w:ascii="Verdana" w:eastAsia="Calibri" w:hAnsi="Verdana" w:cs="Calibri"/>
                <w:color w:val="000000" w:themeColor="text1"/>
                <w:sz w:val="22"/>
              </w:rPr>
              <w:t xml:space="preserve"> Including engagement events, expert call validation and app hosting costs.</w:t>
            </w:r>
            <w:r w:rsidRPr="00781FBD">
              <w:rPr>
                <w:rFonts w:ascii="Verdana" w:eastAsia="Calibri" w:hAnsi="Verdana" w:cs="Calibri"/>
                <w:color w:val="000000" w:themeColor="text1"/>
                <w:sz w:val="22"/>
              </w:rPr>
              <w:t xml:space="preserve"> </w:t>
            </w:r>
            <w:r w:rsidR="002715F7" w:rsidRPr="00781FBD">
              <w:rPr>
                <w:rFonts w:ascii="Verdana" w:eastAsia="Calibri" w:hAnsi="Verdana" w:cs="Calibri"/>
                <w:i/>
                <w:color w:val="000000" w:themeColor="text1"/>
                <w:sz w:val="22"/>
              </w:rPr>
              <w:t>Excludes</w:t>
            </w:r>
            <w:r w:rsidRPr="00781FBD">
              <w:rPr>
                <w:rFonts w:ascii="Verdana" w:eastAsia="Calibri" w:hAnsi="Verdana" w:cs="Calibri"/>
                <w:i/>
                <w:color w:val="000000" w:themeColor="text1"/>
                <w:sz w:val="22"/>
              </w:rPr>
              <w:t xml:space="preserve"> labour.</w:t>
            </w:r>
          </w:p>
          <w:p w14:paraId="2A6F8088" w14:textId="20ED48B3" w:rsidR="1D9F09EF" w:rsidRDefault="1D9F09EF">
            <w:r w:rsidRPr="00781FBD">
              <w:rPr>
                <w:rFonts w:ascii="Verdana" w:eastAsia="Calibri" w:hAnsi="Verdana" w:cs="Calibri"/>
                <w:color w:val="000000" w:themeColor="text1"/>
                <w:sz w:val="22"/>
              </w:rPr>
              <w:t xml:space="preserve">** Consultant acoustic frog monitoring using a similar approach ranges from $100 - $150 per hour (depending on seniority). </w:t>
            </w:r>
            <w:r w:rsidRPr="00781FBD">
              <w:rPr>
                <w:rFonts w:ascii="Verdana" w:eastAsia="Calibri" w:hAnsi="Verdana" w:cs="Calibri"/>
                <w:i/>
                <w:iCs/>
                <w:color w:val="000000" w:themeColor="text1"/>
                <w:sz w:val="22"/>
              </w:rPr>
              <w:t>That does not include travel costs, data upload etc.</w:t>
            </w:r>
            <w:r w:rsidR="002715F7" w:rsidRPr="00781FBD">
              <w:rPr>
                <w:rFonts w:ascii="Verdana" w:eastAsia="Calibri" w:hAnsi="Verdana" w:cs="Calibri"/>
                <w:i/>
                <w:iCs/>
                <w:color w:val="000000" w:themeColor="text1"/>
                <w:sz w:val="22"/>
              </w:rPr>
              <w:t xml:space="preserve"> Estimate based on one hour per record.</w:t>
            </w:r>
          </w:p>
        </w:tc>
      </w:tr>
    </w:tbl>
    <w:p w14:paraId="11180C24" w14:textId="1B58F70C" w:rsidR="0B26FF4E" w:rsidRDefault="0B26FF4E" w:rsidP="0B26FF4E">
      <w:pPr>
        <w:rPr>
          <w:rFonts w:ascii="Verdana" w:eastAsiaTheme="minorEastAsia" w:hAnsi="Verdana"/>
          <w:szCs w:val="18"/>
          <w:highlight w:val="red"/>
        </w:rPr>
      </w:pPr>
    </w:p>
    <w:tbl>
      <w:tblPr>
        <w:tblStyle w:val="TableGrid"/>
        <w:tblW w:w="0" w:type="auto"/>
        <w:tblLayout w:type="fixed"/>
        <w:tblLook w:val="06A0" w:firstRow="1" w:lastRow="0" w:firstColumn="1" w:lastColumn="0" w:noHBand="1" w:noVBand="1"/>
      </w:tblPr>
      <w:tblGrid>
        <w:gridCol w:w="9015"/>
      </w:tblGrid>
      <w:tr w:rsidR="0B26FF4E" w:rsidRPr="00781FBD" w14:paraId="6B42BC29" w14:textId="77777777" w:rsidTr="7A9D5689">
        <w:tc>
          <w:tcPr>
            <w:tcW w:w="9015" w:type="dxa"/>
            <w:shd w:val="clear" w:color="auto" w:fill="DEEAF6" w:themeFill="accent1" w:themeFillTint="33"/>
          </w:tcPr>
          <w:p w14:paraId="7B9A4300" w14:textId="31224E04" w:rsidR="6FFE3FB8" w:rsidRPr="00781FBD" w:rsidRDefault="45CD001B" w:rsidP="004240BD">
            <w:pPr>
              <w:rPr>
                <w:rFonts w:ascii="Verdana" w:eastAsiaTheme="minorEastAsia" w:hAnsi="Verdana"/>
                <w:b/>
                <w:bCs/>
                <w:sz w:val="22"/>
              </w:rPr>
            </w:pPr>
            <w:r w:rsidRPr="00781FBD">
              <w:rPr>
                <w:rFonts w:ascii="Verdana" w:eastAsiaTheme="minorEastAsia" w:hAnsi="Verdana"/>
                <w:b/>
                <w:bCs/>
                <w:sz w:val="22"/>
              </w:rPr>
              <w:t xml:space="preserve">Case study 2: </w:t>
            </w:r>
            <w:r w:rsidR="1B7B5372" w:rsidRPr="00781FBD">
              <w:rPr>
                <w:rFonts w:ascii="Verdana" w:eastAsiaTheme="minorEastAsia" w:hAnsi="Verdana"/>
                <w:b/>
                <w:bCs/>
                <w:sz w:val="22"/>
              </w:rPr>
              <w:t xml:space="preserve">Platypus Census and Waterway CSI </w:t>
            </w:r>
            <w:r w:rsidRPr="00781FBD">
              <w:rPr>
                <w:rFonts w:ascii="Verdana" w:eastAsiaTheme="minorEastAsia" w:hAnsi="Verdana"/>
                <w:b/>
                <w:bCs/>
                <w:sz w:val="22"/>
              </w:rPr>
              <w:t>environmental DNA monitoring</w:t>
            </w:r>
          </w:p>
          <w:p w14:paraId="58AAB34A" w14:textId="3A069B0C" w:rsidR="6FFE3FB8" w:rsidRPr="00781FBD" w:rsidRDefault="2277DBF1" w:rsidP="004240BD">
            <w:pPr>
              <w:rPr>
                <w:rFonts w:ascii="Verdana" w:eastAsia="Verdana" w:hAnsi="Verdana" w:cs="Verdana"/>
                <w:color w:val="231F20"/>
                <w:sz w:val="22"/>
              </w:rPr>
            </w:pPr>
            <w:r w:rsidRPr="00781FBD">
              <w:rPr>
                <w:rFonts w:ascii="Verdana" w:eastAsia="Verdana" w:hAnsi="Verdana" w:cs="Verdana"/>
                <w:color w:val="231F20"/>
                <w:sz w:val="22"/>
              </w:rPr>
              <w:t>Platypus are now officially a threatened species and listed as vulnerable in Victoria</w:t>
            </w:r>
            <w:r w:rsidR="420738EB" w:rsidRPr="00781FBD">
              <w:rPr>
                <w:rFonts w:ascii="Verdana" w:eastAsia="Verdana" w:hAnsi="Verdana" w:cs="Verdana"/>
                <w:color w:val="231F20"/>
                <w:sz w:val="22"/>
              </w:rPr>
              <w:t>. It is a species</w:t>
            </w:r>
            <w:r w:rsidRPr="00781FBD">
              <w:rPr>
                <w:rFonts w:ascii="Verdana" w:eastAsia="Verdana" w:hAnsi="Verdana" w:cs="Verdana"/>
                <w:color w:val="231F20"/>
                <w:sz w:val="22"/>
              </w:rPr>
              <w:t xml:space="preserve"> that Melbourne Water is obligated to protect. </w:t>
            </w:r>
            <w:r w:rsidR="21905304" w:rsidRPr="00781FBD">
              <w:rPr>
                <w:rFonts w:ascii="Verdana" w:eastAsia="Verdana" w:hAnsi="Verdana" w:cs="Verdana"/>
                <w:color w:val="231F20"/>
                <w:sz w:val="22"/>
              </w:rPr>
              <w:t xml:space="preserve">The Platypus Census includes </w:t>
            </w:r>
            <w:r w:rsidR="796B60A0" w:rsidRPr="00781FBD">
              <w:rPr>
                <w:rFonts w:ascii="Verdana" w:eastAsia="Verdana" w:hAnsi="Verdana" w:cs="Verdana"/>
                <w:color w:val="231F20"/>
                <w:sz w:val="22"/>
              </w:rPr>
              <w:t>a</w:t>
            </w:r>
            <w:r w:rsidR="29C2CC51" w:rsidRPr="00781FBD">
              <w:rPr>
                <w:rFonts w:ascii="Verdana" w:eastAsia="Verdana" w:hAnsi="Verdana" w:cs="Verdana"/>
                <w:color w:val="231F20"/>
                <w:sz w:val="22"/>
              </w:rPr>
              <w:t xml:space="preserve"> </w:t>
            </w:r>
            <w:r w:rsidR="21905304" w:rsidRPr="00781FBD">
              <w:rPr>
                <w:rFonts w:ascii="Verdana" w:eastAsia="Verdana" w:hAnsi="Verdana" w:cs="Verdana"/>
                <w:color w:val="231F20"/>
                <w:sz w:val="22"/>
              </w:rPr>
              <w:t xml:space="preserve">participatory </w:t>
            </w:r>
            <w:r w:rsidR="00115C2C" w:rsidRPr="00781FBD">
              <w:rPr>
                <w:rFonts w:ascii="Verdana" w:eastAsia="Verdana" w:hAnsi="Verdana" w:cs="Verdana"/>
                <w:color w:val="231F20"/>
                <w:sz w:val="22"/>
              </w:rPr>
              <w:t>citizen science program</w:t>
            </w:r>
            <w:r w:rsidR="08A11AA6" w:rsidRPr="00781FBD">
              <w:rPr>
                <w:rFonts w:ascii="Verdana" w:eastAsia="Verdana" w:hAnsi="Verdana" w:cs="Verdana"/>
                <w:color w:val="231F20"/>
                <w:sz w:val="22"/>
              </w:rPr>
              <w:t xml:space="preserve"> </w:t>
            </w:r>
            <w:r w:rsidR="547F9408" w:rsidRPr="00781FBD">
              <w:rPr>
                <w:rFonts w:ascii="Verdana" w:eastAsia="Verdana" w:hAnsi="Verdana" w:cs="Verdana"/>
                <w:color w:val="231F20"/>
                <w:sz w:val="22"/>
              </w:rPr>
              <w:t>where volunteers</w:t>
            </w:r>
            <w:r w:rsidR="21905304" w:rsidRPr="00781FBD">
              <w:rPr>
                <w:rFonts w:ascii="Verdana" w:eastAsia="Verdana" w:hAnsi="Verdana" w:cs="Verdana"/>
                <w:color w:val="231F20"/>
                <w:sz w:val="22"/>
              </w:rPr>
              <w:t xml:space="preserve"> collect water samples that </w:t>
            </w:r>
            <w:r w:rsidR="00B349FB" w:rsidRPr="00781FBD">
              <w:rPr>
                <w:rFonts w:ascii="Verdana" w:eastAsia="Verdana" w:hAnsi="Verdana" w:cs="Verdana"/>
                <w:color w:val="231F20"/>
                <w:sz w:val="22"/>
              </w:rPr>
              <w:t>are analysed for</w:t>
            </w:r>
            <w:r w:rsidR="21905304" w:rsidRPr="00781FBD">
              <w:rPr>
                <w:rFonts w:ascii="Verdana" w:eastAsia="Verdana" w:hAnsi="Verdana" w:cs="Verdana"/>
                <w:color w:val="231F20"/>
                <w:sz w:val="22"/>
              </w:rPr>
              <w:t xml:space="preserve"> platypus environmental DNA</w:t>
            </w:r>
            <w:r w:rsidR="4178AA94" w:rsidRPr="00781FBD">
              <w:rPr>
                <w:rFonts w:ascii="Verdana" w:eastAsia="Verdana" w:hAnsi="Verdana" w:cs="Verdana"/>
                <w:color w:val="231F20"/>
                <w:sz w:val="22"/>
              </w:rPr>
              <w:t xml:space="preserve"> (eDNA)</w:t>
            </w:r>
            <w:r w:rsidR="21905304" w:rsidRPr="00781FBD">
              <w:rPr>
                <w:rFonts w:ascii="Verdana" w:eastAsia="Verdana" w:hAnsi="Verdana" w:cs="Verdana"/>
                <w:color w:val="231F20"/>
                <w:sz w:val="22"/>
              </w:rPr>
              <w:t>.</w:t>
            </w:r>
            <w:r w:rsidR="0315F53E" w:rsidRPr="00781FBD">
              <w:rPr>
                <w:rFonts w:ascii="Verdana" w:eastAsia="Verdana" w:hAnsi="Verdana" w:cs="Verdana"/>
                <w:color w:val="231F20"/>
                <w:sz w:val="22"/>
              </w:rPr>
              <w:t xml:space="preserve"> </w:t>
            </w:r>
            <w:r w:rsidR="00B349FB" w:rsidRPr="00781FBD">
              <w:rPr>
                <w:rFonts w:ascii="Verdana" w:eastAsia="Verdana" w:hAnsi="Verdana" w:cs="Verdana"/>
                <w:color w:val="231F20"/>
                <w:sz w:val="22"/>
              </w:rPr>
              <w:t>This program provides presence/absence data to Melbourne Water</w:t>
            </w:r>
            <w:r w:rsidR="0315F53E" w:rsidRPr="00781FBD">
              <w:rPr>
                <w:rFonts w:ascii="Verdana" w:eastAsia="Verdana" w:hAnsi="Verdana" w:cs="Verdana"/>
                <w:color w:val="231F20"/>
                <w:sz w:val="22"/>
              </w:rPr>
              <w:t>.</w:t>
            </w:r>
            <w:r w:rsidR="00B757EF" w:rsidRPr="00781FBD">
              <w:rPr>
                <w:rFonts w:ascii="Verdana" w:eastAsia="Verdana" w:hAnsi="Verdana" w:cs="Verdana"/>
                <w:color w:val="231F20"/>
                <w:sz w:val="22"/>
              </w:rPr>
              <w:t xml:space="preserve"> Volunteers are also supported with training, education resources and events are run for the wider community targeting awareness and behaviour change.</w:t>
            </w:r>
          </w:p>
          <w:p w14:paraId="5F222C9B" w14:textId="4C4BEA2B" w:rsidR="6FFE3FB8" w:rsidRPr="00781FBD" w:rsidRDefault="7F51E461" w:rsidP="004240BD">
            <w:pPr>
              <w:spacing w:line="259" w:lineRule="auto"/>
              <w:rPr>
                <w:rFonts w:ascii="Verdana" w:eastAsia="Verdana" w:hAnsi="Verdana" w:cs="Verdana"/>
                <w:color w:val="231F20"/>
                <w:sz w:val="22"/>
              </w:rPr>
            </w:pPr>
            <w:r w:rsidRPr="00781FBD">
              <w:rPr>
                <w:rFonts w:ascii="Verdana" w:eastAsia="Verdana" w:hAnsi="Verdana" w:cs="Verdana"/>
                <w:color w:val="231F20"/>
                <w:sz w:val="22"/>
              </w:rPr>
              <w:t xml:space="preserve">In addition </w:t>
            </w:r>
            <w:r w:rsidR="7FC0AD0B" w:rsidRPr="00781FBD">
              <w:rPr>
                <w:rFonts w:ascii="Verdana" w:eastAsia="Verdana" w:hAnsi="Verdana" w:cs="Verdana"/>
                <w:color w:val="231F20"/>
                <w:sz w:val="22"/>
              </w:rPr>
              <w:t>to</w:t>
            </w:r>
            <w:r w:rsidRPr="00781FBD">
              <w:rPr>
                <w:rFonts w:ascii="Verdana" w:eastAsia="Verdana" w:hAnsi="Verdana" w:cs="Verdana"/>
                <w:color w:val="231F20"/>
                <w:sz w:val="22"/>
              </w:rPr>
              <w:t xml:space="preserve"> the Platypus Census, </w:t>
            </w:r>
            <w:r w:rsidR="3B838E3E" w:rsidRPr="00781FBD">
              <w:rPr>
                <w:rFonts w:ascii="Verdana" w:eastAsia="Verdana" w:hAnsi="Verdana" w:cs="Verdana"/>
                <w:color w:val="231F20"/>
                <w:sz w:val="22"/>
              </w:rPr>
              <w:t xml:space="preserve">eDNA </w:t>
            </w:r>
            <w:r w:rsidR="35A129FC" w:rsidRPr="00781FBD">
              <w:rPr>
                <w:rFonts w:ascii="Verdana" w:eastAsia="Verdana" w:hAnsi="Verdana" w:cs="Verdana"/>
                <w:color w:val="231F20"/>
                <w:sz w:val="22"/>
              </w:rPr>
              <w:t>techniques</w:t>
            </w:r>
            <w:r w:rsidR="3B838E3E" w:rsidRPr="00781FBD">
              <w:rPr>
                <w:rFonts w:ascii="Verdana" w:eastAsia="Verdana" w:hAnsi="Verdana" w:cs="Verdana"/>
                <w:color w:val="231F20"/>
                <w:sz w:val="22"/>
              </w:rPr>
              <w:t xml:space="preserve"> </w:t>
            </w:r>
            <w:r w:rsidR="23937EE5" w:rsidRPr="00781FBD">
              <w:rPr>
                <w:rFonts w:ascii="Verdana" w:eastAsia="Verdana" w:hAnsi="Verdana" w:cs="Verdana"/>
                <w:color w:val="231F20"/>
                <w:sz w:val="22"/>
              </w:rPr>
              <w:t xml:space="preserve">were used for </w:t>
            </w:r>
            <w:r w:rsidR="3B838E3E" w:rsidRPr="00781FBD">
              <w:rPr>
                <w:rFonts w:ascii="Verdana" w:eastAsia="Verdana" w:hAnsi="Verdana" w:cs="Verdana"/>
                <w:color w:val="231F20"/>
                <w:sz w:val="22"/>
              </w:rPr>
              <w:t xml:space="preserve">the Waterway CSI </w:t>
            </w:r>
            <w:r w:rsidR="44092955" w:rsidRPr="00781FBD">
              <w:rPr>
                <w:rFonts w:ascii="Verdana" w:eastAsia="Verdana" w:hAnsi="Verdana" w:cs="Verdana"/>
                <w:color w:val="231F20"/>
                <w:sz w:val="22"/>
              </w:rPr>
              <w:t>initiative</w:t>
            </w:r>
            <w:r w:rsidR="3B838E3E" w:rsidRPr="00781FBD">
              <w:rPr>
                <w:rFonts w:ascii="Verdana" w:eastAsia="Verdana" w:hAnsi="Verdana" w:cs="Verdana"/>
                <w:color w:val="231F20"/>
                <w:sz w:val="22"/>
              </w:rPr>
              <w:t xml:space="preserve">, which upskilled </w:t>
            </w:r>
            <w:r w:rsidR="712CC7E7" w:rsidRPr="00781FBD">
              <w:rPr>
                <w:rFonts w:ascii="Verdana" w:eastAsia="Verdana" w:hAnsi="Verdana" w:cs="Verdana"/>
                <w:color w:val="231F20"/>
                <w:sz w:val="22"/>
              </w:rPr>
              <w:t>citizen scientist</w:t>
            </w:r>
            <w:r w:rsidR="6EA2E40F" w:rsidRPr="00781FBD">
              <w:rPr>
                <w:rFonts w:ascii="Verdana" w:eastAsia="Verdana" w:hAnsi="Verdana" w:cs="Verdana"/>
                <w:color w:val="231F20"/>
                <w:sz w:val="22"/>
              </w:rPr>
              <w:t>s</w:t>
            </w:r>
            <w:r w:rsidR="712CC7E7" w:rsidRPr="00781FBD">
              <w:rPr>
                <w:rFonts w:ascii="Verdana" w:eastAsia="Verdana" w:hAnsi="Verdana" w:cs="Verdana"/>
                <w:color w:val="231F20"/>
                <w:sz w:val="22"/>
              </w:rPr>
              <w:t xml:space="preserve"> </w:t>
            </w:r>
            <w:r w:rsidR="1D1C9D08" w:rsidRPr="00781FBD">
              <w:rPr>
                <w:rFonts w:ascii="Verdana" w:eastAsia="Verdana" w:hAnsi="Verdana" w:cs="Verdana"/>
                <w:color w:val="231F20"/>
                <w:sz w:val="22"/>
              </w:rPr>
              <w:t>and enabled them to collect</w:t>
            </w:r>
            <w:r w:rsidR="005A17CD" w:rsidRPr="00781FBD">
              <w:rPr>
                <w:rFonts w:ascii="Verdana" w:eastAsia="Verdana" w:hAnsi="Verdana" w:cs="Verdana"/>
                <w:color w:val="231F20"/>
                <w:sz w:val="22"/>
              </w:rPr>
              <w:t xml:space="preserve"> eDNA</w:t>
            </w:r>
            <w:r w:rsidR="1D1C9D08" w:rsidRPr="00781FBD">
              <w:rPr>
                <w:rFonts w:ascii="Verdana" w:eastAsia="Verdana" w:hAnsi="Verdana" w:cs="Verdana"/>
                <w:color w:val="231F20"/>
                <w:sz w:val="22"/>
              </w:rPr>
              <w:t xml:space="preserve"> samples </w:t>
            </w:r>
            <w:r w:rsidR="74D7FC9A" w:rsidRPr="00781FBD">
              <w:rPr>
                <w:rFonts w:ascii="Verdana" w:eastAsia="Verdana" w:hAnsi="Verdana" w:cs="Verdana"/>
                <w:color w:val="231F20"/>
                <w:sz w:val="22"/>
              </w:rPr>
              <w:t>for a</w:t>
            </w:r>
            <w:r w:rsidR="712CC7E7" w:rsidRPr="00781FBD">
              <w:rPr>
                <w:rFonts w:ascii="Verdana" w:eastAsia="Verdana" w:hAnsi="Verdana" w:cs="Verdana"/>
                <w:color w:val="231F20"/>
                <w:sz w:val="22"/>
              </w:rPr>
              <w:t xml:space="preserve"> </w:t>
            </w:r>
            <w:r w:rsidR="67FD1487" w:rsidRPr="00781FBD">
              <w:rPr>
                <w:rFonts w:ascii="Verdana" w:eastAsia="Verdana" w:hAnsi="Verdana" w:cs="Verdana"/>
                <w:color w:val="231F20"/>
                <w:sz w:val="22"/>
              </w:rPr>
              <w:t>one-off</w:t>
            </w:r>
            <w:r w:rsidR="6E87262C" w:rsidRPr="00781FBD">
              <w:rPr>
                <w:rFonts w:ascii="Verdana" w:eastAsia="Verdana" w:hAnsi="Verdana" w:cs="Verdana"/>
                <w:color w:val="231F20"/>
                <w:sz w:val="22"/>
              </w:rPr>
              <w:t xml:space="preserve"> event in </w:t>
            </w:r>
            <w:r w:rsidR="712CC7E7" w:rsidRPr="00781FBD">
              <w:rPr>
                <w:rFonts w:ascii="Verdana" w:eastAsia="Verdana" w:hAnsi="Verdana" w:cs="Verdana"/>
                <w:color w:val="231F20"/>
                <w:sz w:val="22"/>
              </w:rPr>
              <w:t>November 2020.</w:t>
            </w:r>
          </w:p>
          <w:p w14:paraId="297EF49D" w14:textId="3BEE256E" w:rsidR="6FFE3FB8" w:rsidRPr="00781FBD" w:rsidRDefault="00B349FB" w:rsidP="004240BD">
            <w:pPr>
              <w:spacing w:line="259" w:lineRule="auto"/>
              <w:rPr>
                <w:rFonts w:ascii="Verdana" w:eastAsia="Verdana" w:hAnsi="Verdana" w:cs="Verdana"/>
                <w:color w:val="231F20"/>
                <w:sz w:val="22"/>
              </w:rPr>
            </w:pPr>
            <w:r w:rsidRPr="00781FBD">
              <w:rPr>
                <w:rFonts w:ascii="Verdana" w:eastAsia="Verdana" w:hAnsi="Verdana" w:cs="Verdana"/>
                <w:color w:val="231F20"/>
                <w:sz w:val="22"/>
              </w:rPr>
              <w:t>412 eDNA</w:t>
            </w:r>
            <w:r w:rsidR="25E90669" w:rsidRPr="00781FBD">
              <w:rPr>
                <w:rFonts w:ascii="Verdana" w:eastAsia="Verdana" w:hAnsi="Verdana" w:cs="Verdana"/>
                <w:color w:val="231F20"/>
                <w:sz w:val="22"/>
              </w:rPr>
              <w:t xml:space="preserve"> samples have been </w:t>
            </w:r>
            <w:r w:rsidR="712CC7E7" w:rsidRPr="00781FBD">
              <w:rPr>
                <w:rFonts w:ascii="Verdana" w:eastAsia="Verdana" w:hAnsi="Verdana" w:cs="Verdana"/>
                <w:color w:val="231F20"/>
                <w:sz w:val="22"/>
              </w:rPr>
              <w:t>collected</w:t>
            </w:r>
            <w:r w:rsidR="7DD033A8" w:rsidRPr="00781FBD">
              <w:rPr>
                <w:rFonts w:ascii="Verdana" w:eastAsia="Verdana" w:hAnsi="Verdana" w:cs="Verdana"/>
                <w:color w:val="231F20"/>
                <w:sz w:val="22"/>
              </w:rPr>
              <w:t xml:space="preserve"> </w:t>
            </w:r>
            <w:r w:rsidRPr="00781FBD">
              <w:rPr>
                <w:rFonts w:ascii="Verdana" w:eastAsia="Verdana" w:hAnsi="Verdana" w:cs="Verdana"/>
                <w:color w:val="231F20"/>
                <w:sz w:val="22"/>
              </w:rPr>
              <w:t xml:space="preserve">and analysed </w:t>
            </w:r>
            <w:r w:rsidR="7DD033A8" w:rsidRPr="00781FBD">
              <w:rPr>
                <w:rFonts w:ascii="Verdana" w:eastAsia="Verdana" w:hAnsi="Verdana" w:cs="Verdana"/>
                <w:color w:val="231F20"/>
                <w:sz w:val="22"/>
              </w:rPr>
              <w:t>through these two program</w:t>
            </w:r>
            <w:r w:rsidR="415B36F1" w:rsidRPr="00781FBD">
              <w:rPr>
                <w:rFonts w:ascii="Verdana" w:eastAsia="Verdana" w:hAnsi="Verdana" w:cs="Verdana"/>
                <w:color w:val="231F20"/>
                <w:sz w:val="22"/>
              </w:rPr>
              <w:t>s</w:t>
            </w:r>
            <w:r w:rsidR="7DD033A8" w:rsidRPr="00781FBD">
              <w:rPr>
                <w:rFonts w:ascii="Verdana" w:eastAsia="Verdana" w:hAnsi="Verdana" w:cs="Verdana"/>
                <w:color w:val="231F20"/>
                <w:sz w:val="22"/>
              </w:rPr>
              <w:t xml:space="preserve"> and all data</w:t>
            </w:r>
            <w:r w:rsidR="712CC7E7" w:rsidRPr="00781FBD">
              <w:rPr>
                <w:rFonts w:ascii="Verdana" w:eastAsia="Verdana" w:hAnsi="Verdana" w:cs="Verdana"/>
                <w:color w:val="231F20"/>
                <w:sz w:val="22"/>
              </w:rPr>
              <w:t xml:space="preserve"> complement</w:t>
            </w:r>
            <w:r w:rsidR="3D5B1F94" w:rsidRPr="00781FBD">
              <w:rPr>
                <w:rFonts w:ascii="Verdana" w:eastAsia="Verdana" w:hAnsi="Verdana" w:cs="Verdana"/>
                <w:color w:val="231F20"/>
                <w:sz w:val="22"/>
              </w:rPr>
              <w:t>s</w:t>
            </w:r>
            <w:r w:rsidR="712CC7E7" w:rsidRPr="00781FBD">
              <w:rPr>
                <w:rFonts w:ascii="Verdana" w:eastAsia="Verdana" w:hAnsi="Verdana" w:cs="Verdana"/>
                <w:color w:val="231F20"/>
                <w:sz w:val="22"/>
              </w:rPr>
              <w:t xml:space="preserve"> </w:t>
            </w:r>
            <w:r w:rsidR="00B757EF" w:rsidRPr="00781FBD">
              <w:rPr>
                <w:rFonts w:ascii="Verdana" w:eastAsia="Verdana" w:hAnsi="Verdana" w:cs="Verdana"/>
                <w:color w:val="231F20"/>
                <w:sz w:val="22"/>
              </w:rPr>
              <w:t xml:space="preserve">and </w:t>
            </w:r>
            <w:r w:rsidR="712CC7E7" w:rsidRPr="00781FBD">
              <w:rPr>
                <w:rFonts w:ascii="Verdana" w:eastAsia="Verdana" w:hAnsi="Verdana" w:cs="Verdana"/>
                <w:color w:val="231F20"/>
                <w:sz w:val="22"/>
              </w:rPr>
              <w:t>add</w:t>
            </w:r>
            <w:r w:rsidR="0127A37C" w:rsidRPr="00781FBD">
              <w:rPr>
                <w:rFonts w:ascii="Verdana" w:eastAsia="Verdana" w:hAnsi="Verdana" w:cs="Verdana"/>
                <w:color w:val="231F20"/>
                <w:sz w:val="22"/>
              </w:rPr>
              <w:t>s</w:t>
            </w:r>
            <w:r w:rsidR="712CC7E7" w:rsidRPr="00781FBD">
              <w:rPr>
                <w:rFonts w:ascii="Verdana" w:eastAsia="Verdana" w:hAnsi="Verdana" w:cs="Verdana"/>
                <w:color w:val="231F20"/>
                <w:sz w:val="22"/>
              </w:rPr>
              <w:t xml:space="preserve"> to Mel</w:t>
            </w:r>
            <w:r w:rsidR="60E02E39" w:rsidRPr="00781FBD">
              <w:rPr>
                <w:rFonts w:ascii="Verdana" w:eastAsia="Verdana" w:hAnsi="Verdana" w:cs="Verdana"/>
                <w:color w:val="231F20"/>
                <w:sz w:val="22"/>
              </w:rPr>
              <w:t>bourne Water’s existing data set</w:t>
            </w:r>
            <w:r w:rsidR="2A9EAEFF" w:rsidRPr="00781FBD">
              <w:rPr>
                <w:rFonts w:ascii="Verdana" w:eastAsia="Verdana" w:hAnsi="Verdana" w:cs="Verdana"/>
                <w:color w:val="231F20"/>
                <w:sz w:val="22"/>
              </w:rPr>
              <w:t>s.</w:t>
            </w:r>
            <w:r w:rsidR="00B757EF" w:rsidRPr="00781FBD">
              <w:rPr>
                <w:rFonts w:ascii="Verdana" w:eastAsia="Verdana" w:hAnsi="Verdana" w:cs="Verdana"/>
                <w:color w:val="231F20"/>
                <w:sz w:val="22"/>
              </w:rPr>
              <w:t xml:space="preserve"> </w:t>
            </w:r>
            <w:r w:rsidR="701E665A" w:rsidRPr="00781FBD">
              <w:rPr>
                <w:rFonts w:ascii="Verdana" w:eastAsia="Verdana" w:hAnsi="Verdana" w:cs="Verdana"/>
                <w:color w:val="231F20"/>
                <w:sz w:val="22"/>
              </w:rPr>
              <w:t xml:space="preserve">The </w:t>
            </w:r>
            <w:r w:rsidR="04B746E0" w:rsidRPr="00781FBD">
              <w:rPr>
                <w:rFonts w:ascii="Verdana" w:eastAsia="Verdana" w:hAnsi="Verdana" w:cs="Verdana"/>
                <w:color w:val="231F20"/>
                <w:sz w:val="22"/>
              </w:rPr>
              <w:t xml:space="preserve">cost of engaging a consultant </w:t>
            </w:r>
            <w:r w:rsidR="00115C2C" w:rsidRPr="00781FBD">
              <w:rPr>
                <w:rFonts w:ascii="Verdana" w:eastAsia="Verdana" w:hAnsi="Verdana" w:cs="Verdana"/>
                <w:color w:val="231F20"/>
                <w:sz w:val="22"/>
              </w:rPr>
              <w:t xml:space="preserve">for </w:t>
            </w:r>
            <w:r w:rsidR="00B757EF" w:rsidRPr="00781FBD">
              <w:rPr>
                <w:rFonts w:ascii="Verdana" w:eastAsia="Verdana" w:hAnsi="Verdana" w:cs="Verdana"/>
                <w:color w:val="231F20"/>
                <w:sz w:val="22"/>
              </w:rPr>
              <w:t>the</w:t>
            </w:r>
            <w:r w:rsidR="00115C2C" w:rsidRPr="00781FBD">
              <w:rPr>
                <w:rFonts w:ascii="Verdana" w:eastAsia="Verdana" w:hAnsi="Verdana" w:cs="Verdana"/>
                <w:color w:val="231F20"/>
                <w:sz w:val="22"/>
              </w:rPr>
              <w:t xml:space="preserve"> collection</w:t>
            </w:r>
            <w:r w:rsidR="00B757EF" w:rsidRPr="00781FBD">
              <w:rPr>
                <w:rFonts w:ascii="Verdana" w:eastAsia="Verdana" w:hAnsi="Verdana" w:cs="Verdana"/>
                <w:color w:val="231F20"/>
                <w:sz w:val="22"/>
              </w:rPr>
              <w:t xml:space="preserve"> of samples alone</w:t>
            </w:r>
            <w:r w:rsidR="00115C2C" w:rsidRPr="00781FBD">
              <w:rPr>
                <w:rFonts w:ascii="Verdana" w:eastAsia="Verdana" w:hAnsi="Verdana" w:cs="Verdana"/>
                <w:color w:val="231F20"/>
                <w:sz w:val="22"/>
              </w:rPr>
              <w:t xml:space="preserve"> </w:t>
            </w:r>
            <w:r w:rsidR="04B746E0" w:rsidRPr="00781FBD">
              <w:rPr>
                <w:rFonts w:ascii="Verdana" w:eastAsia="Verdana" w:hAnsi="Verdana" w:cs="Verdana"/>
                <w:color w:val="231F20"/>
                <w:sz w:val="22"/>
              </w:rPr>
              <w:t>is estimated to be a minimum of $</w:t>
            </w:r>
            <w:r w:rsidR="00F23FDC" w:rsidRPr="00781FBD">
              <w:rPr>
                <w:rFonts w:ascii="Verdana" w:eastAsia="Verdana" w:hAnsi="Verdana" w:cs="Verdana"/>
                <w:color w:val="231F20"/>
                <w:sz w:val="22"/>
              </w:rPr>
              <w:t>206,4</w:t>
            </w:r>
            <w:r w:rsidR="04B746E0" w:rsidRPr="00781FBD">
              <w:rPr>
                <w:rFonts w:ascii="Verdana" w:eastAsia="Verdana" w:hAnsi="Verdana" w:cs="Verdana"/>
                <w:color w:val="231F20"/>
                <w:sz w:val="22"/>
              </w:rPr>
              <w:t>00</w:t>
            </w:r>
            <w:r w:rsidR="00B757EF" w:rsidRPr="00781FBD">
              <w:rPr>
                <w:rFonts w:ascii="Verdana" w:eastAsia="Verdana" w:hAnsi="Verdana" w:cs="Verdana"/>
                <w:color w:val="231F20"/>
                <w:sz w:val="22"/>
              </w:rPr>
              <w:t>.</w:t>
            </w:r>
          </w:p>
          <w:tbl>
            <w:tblPr>
              <w:tblpPr w:leftFromText="180" w:rightFromText="180" w:vertAnchor="text" w:horzAnchor="margin" w:tblpY="169"/>
              <w:tblOverlap w:val="never"/>
              <w:tblW w:w="8462" w:type="dxa"/>
              <w:tblLayout w:type="fixed"/>
              <w:tblLook w:val="04A0" w:firstRow="1" w:lastRow="0" w:firstColumn="1" w:lastColumn="0" w:noHBand="0" w:noVBand="1"/>
            </w:tblPr>
            <w:tblGrid>
              <w:gridCol w:w="3392"/>
              <w:gridCol w:w="2410"/>
              <w:gridCol w:w="2660"/>
            </w:tblGrid>
            <w:tr w:rsidR="00B349FB" w:rsidRPr="00781FBD" w14:paraId="614AB59D" w14:textId="77777777" w:rsidTr="00B349FB">
              <w:tc>
                <w:tcPr>
                  <w:tcW w:w="3392" w:type="dxa"/>
                  <w:tcBorders>
                    <w:top w:val="single" w:sz="8" w:space="0" w:color="auto"/>
                    <w:left w:val="single" w:sz="8" w:space="0" w:color="auto"/>
                    <w:bottom w:val="single" w:sz="8" w:space="0" w:color="auto"/>
                    <w:right w:val="single" w:sz="8" w:space="0" w:color="auto"/>
                  </w:tcBorders>
                  <w:shd w:val="clear" w:color="auto" w:fill="FFFFFF" w:themeFill="background1"/>
                </w:tcPr>
                <w:p w14:paraId="2060303B" w14:textId="223E5A24" w:rsidR="00B349FB" w:rsidRPr="00781FBD" w:rsidRDefault="00DD02C4" w:rsidP="00B349FB">
                  <w:pPr>
                    <w:rPr>
                      <w:rFonts w:ascii="Verdana" w:eastAsia="Calibri" w:hAnsi="Verdana" w:cs="Calibri"/>
                      <w:b/>
                      <w:bCs/>
                      <w:sz w:val="22"/>
                    </w:rPr>
                  </w:pPr>
                  <w:r w:rsidRPr="00781FBD">
                    <w:rPr>
                      <w:rFonts w:ascii="Verdana" w:eastAsia="Calibri" w:hAnsi="Verdana" w:cs="Calibri"/>
                      <w:b/>
                      <w:bCs/>
                      <w:sz w:val="22"/>
                    </w:rPr>
                    <w:t>Platypus Census eDNA and Waterway CSI 2017</w:t>
                  </w:r>
                  <w:r w:rsidR="00B349FB" w:rsidRPr="00781FBD">
                    <w:rPr>
                      <w:rFonts w:ascii="Verdana" w:eastAsia="Calibri" w:hAnsi="Verdana" w:cs="Calibri"/>
                      <w:b/>
                      <w:bCs/>
                      <w:sz w:val="22"/>
                    </w:rPr>
                    <w:t>-21</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25271CA1" w14:textId="5E75F881" w:rsidR="00B349FB" w:rsidRPr="00781FBD" w:rsidRDefault="00B349FB" w:rsidP="00B349FB">
                  <w:pPr>
                    <w:rPr>
                      <w:rFonts w:ascii="Verdana" w:eastAsia="Calibri" w:hAnsi="Verdana" w:cs="Calibri"/>
                      <w:b/>
                      <w:bCs/>
                      <w:sz w:val="22"/>
                    </w:rPr>
                  </w:pPr>
                  <w:r w:rsidRPr="00781FBD">
                    <w:rPr>
                      <w:rFonts w:ascii="Verdana" w:eastAsia="Calibri" w:hAnsi="Verdana" w:cs="Calibri"/>
                      <w:b/>
                      <w:bCs/>
                      <w:sz w:val="22"/>
                    </w:rPr>
                    <w:t>Program costs and output</w:t>
                  </w:r>
                </w:p>
              </w:tc>
              <w:tc>
                <w:tcPr>
                  <w:tcW w:w="2660" w:type="dxa"/>
                  <w:tcBorders>
                    <w:top w:val="single" w:sz="8" w:space="0" w:color="auto"/>
                    <w:left w:val="single" w:sz="8" w:space="0" w:color="auto"/>
                    <w:bottom w:val="single" w:sz="8" w:space="0" w:color="auto"/>
                    <w:right w:val="single" w:sz="8" w:space="0" w:color="auto"/>
                  </w:tcBorders>
                  <w:shd w:val="clear" w:color="auto" w:fill="FFFFFF" w:themeFill="background1"/>
                </w:tcPr>
                <w:p w14:paraId="6882141E" w14:textId="77777777" w:rsidR="00B349FB" w:rsidRPr="00781FBD" w:rsidRDefault="00B349FB" w:rsidP="00B349FB">
                  <w:pPr>
                    <w:rPr>
                      <w:rFonts w:ascii="Verdana" w:eastAsia="Calibri" w:hAnsi="Verdana" w:cs="Calibri"/>
                      <w:b/>
                      <w:bCs/>
                      <w:sz w:val="22"/>
                    </w:rPr>
                  </w:pPr>
                  <w:r w:rsidRPr="00781FBD">
                    <w:rPr>
                      <w:rFonts w:ascii="Verdana" w:eastAsia="Calibri" w:hAnsi="Verdana" w:cs="Calibri"/>
                      <w:b/>
                      <w:bCs/>
                      <w:sz w:val="22"/>
                    </w:rPr>
                    <w:t>Projected consultant cost to MW (minimum estimate)</w:t>
                  </w:r>
                </w:p>
              </w:tc>
            </w:tr>
            <w:tr w:rsidR="00B349FB" w:rsidRPr="00781FBD" w14:paraId="5A059E81" w14:textId="77777777" w:rsidTr="00B349FB">
              <w:tc>
                <w:tcPr>
                  <w:tcW w:w="3392" w:type="dxa"/>
                  <w:tcBorders>
                    <w:top w:val="single" w:sz="8" w:space="0" w:color="auto"/>
                    <w:left w:val="single" w:sz="8" w:space="0" w:color="auto"/>
                    <w:bottom w:val="single" w:sz="8" w:space="0" w:color="auto"/>
                    <w:right w:val="single" w:sz="8" w:space="0" w:color="auto"/>
                  </w:tcBorders>
                  <w:shd w:val="clear" w:color="auto" w:fill="FFFFFF" w:themeFill="background1"/>
                </w:tcPr>
                <w:p w14:paraId="0A262566" w14:textId="77777777" w:rsidR="00B349FB" w:rsidRPr="00781FBD" w:rsidRDefault="00B349FB" w:rsidP="00B349FB">
                  <w:pPr>
                    <w:rPr>
                      <w:rFonts w:ascii="Verdana" w:eastAsia="Calibri" w:hAnsi="Verdana" w:cs="Calibri"/>
                      <w:sz w:val="22"/>
                    </w:rPr>
                  </w:pPr>
                  <w:r w:rsidRPr="00781FBD">
                    <w:rPr>
                      <w:rFonts w:ascii="Verdana" w:eastAsia="Calibri" w:hAnsi="Verdana" w:cs="Calibri"/>
                      <w:sz w:val="22"/>
                    </w:rPr>
                    <w:t>Program costs (4 years)*</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747579F7" w14:textId="7AD45683" w:rsidR="00B349FB" w:rsidRPr="00781FBD" w:rsidRDefault="00F23FDC" w:rsidP="00B349FB">
                  <w:pPr>
                    <w:rPr>
                      <w:rFonts w:ascii="Verdana" w:eastAsia="Calibri" w:hAnsi="Verdana" w:cs="Calibri"/>
                      <w:sz w:val="22"/>
                    </w:rPr>
                  </w:pPr>
                  <w:r w:rsidRPr="00781FBD">
                    <w:rPr>
                      <w:rFonts w:ascii="Verdana" w:eastAsia="Calibri" w:hAnsi="Verdana" w:cs="Calibri"/>
                      <w:sz w:val="22"/>
                    </w:rPr>
                    <w:t>$42</w:t>
                  </w:r>
                  <w:r w:rsidR="00B349FB" w:rsidRPr="00781FBD">
                    <w:rPr>
                      <w:rFonts w:ascii="Verdana" w:eastAsia="Calibri" w:hAnsi="Verdana" w:cs="Calibri"/>
                      <w:sz w:val="22"/>
                    </w:rPr>
                    <w:t>,000</w:t>
                  </w:r>
                </w:p>
              </w:tc>
              <w:tc>
                <w:tcPr>
                  <w:tcW w:w="2660" w:type="dxa"/>
                  <w:tcBorders>
                    <w:top w:val="single" w:sz="8" w:space="0" w:color="auto"/>
                    <w:left w:val="single" w:sz="8" w:space="0" w:color="auto"/>
                    <w:bottom w:val="single" w:sz="8" w:space="0" w:color="auto"/>
                    <w:right w:val="single" w:sz="8" w:space="0" w:color="auto"/>
                  </w:tcBorders>
                  <w:shd w:val="clear" w:color="auto" w:fill="FFFFFF" w:themeFill="background1"/>
                </w:tcPr>
                <w:p w14:paraId="59D4F69C" w14:textId="357037C5" w:rsidR="00B349FB" w:rsidRPr="00781FBD" w:rsidRDefault="00B349FB" w:rsidP="00B349FB">
                  <w:pPr>
                    <w:rPr>
                      <w:rFonts w:ascii="Verdana" w:eastAsia="Calibri" w:hAnsi="Verdana" w:cs="Calibri"/>
                      <w:sz w:val="22"/>
                    </w:rPr>
                  </w:pPr>
                </w:p>
              </w:tc>
            </w:tr>
            <w:tr w:rsidR="00B349FB" w:rsidRPr="00781FBD" w14:paraId="0B65D42C" w14:textId="77777777" w:rsidTr="00B349FB">
              <w:tc>
                <w:tcPr>
                  <w:tcW w:w="3392" w:type="dxa"/>
                  <w:tcBorders>
                    <w:top w:val="single" w:sz="8" w:space="0" w:color="auto"/>
                    <w:left w:val="single" w:sz="8" w:space="0" w:color="auto"/>
                    <w:bottom w:val="single" w:sz="8" w:space="0" w:color="auto"/>
                    <w:right w:val="single" w:sz="8" w:space="0" w:color="auto"/>
                  </w:tcBorders>
                  <w:shd w:val="clear" w:color="auto" w:fill="FFFFFF" w:themeFill="background1"/>
                </w:tcPr>
                <w:p w14:paraId="249EA0EB" w14:textId="166B0D01" w:rsidR="00B349FB" w:rsidRPr="00781FBD" w:rsidRDefault="00B349FB" w:rsidP="00B349FB">
                  <w:pPr>
                    <w:rPr>
                      <w:rFonts w:ascii="Verdana" w:eastAsia="Calibri" w:hAnsi="Verdana" w:cs="Calibri"/>
                      <w:color w:val="000000" w:themeColor="text1"/>
                      <w:sz w:val="22"/>
                    </w:rPr>
                  </w:pPr>
                  <w:r w:rsidRPr="00781FBD">
                    <w:rPr>
                      <w:rFonts w:ascii="Verdana" w:eastAsia="Calibri" w:hAnsi="Verdana" w:cs="Calibri"/>
                      <w:color w:val="000000" w:themeColor="text1"/>
                      <w:sz w:val="22"/>
                    </w:rPr>
                    <w:t>eDNA samples collected</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749019FB" w14:textId="568022FE" w:rsidR="00B349FB" w:rsidRPr="00781FBD" w:rsidRDefault="00B349FB" w:rsidP="00B349FB">
                  <w:pPr>
                    <w:rPr>
                      <w:rFonts w:ascii="Verdana" w:eastAsia="Calibri" w:hAnsi="Verdana" w:cs="Calibri"/>
                      <w:sz w:val="22"/>
                    </w:rPr>
                  </w:pPr>
                  <w:r w:rsidRPr="00781FBD">
                    <w:rPr>
                      <w:rFonts w:ascii="Verdana" w:eastAsia="Calibri" w:hAnsi="Verdana" w:cs="Calibri"/>
                      <w:sz w:val="22"/>
                    </w:rPr>
                    <w:t>412</w:t>
                  </w:r>
                </w:p>
              </w:tc>
              <w:tc>
                <w:tcPr>
                  <w:tcW w:w="2660" w:type="dxa"/>
                  <w:tcBorders>
                    <w:top w:val="single" w:sz="8" w:space="0" w:color="auto"/>
                    <w:left w:val="single" w:sz="8" w:space="0" w:color="auto"/>
                    <w:bottom w:val="single" w:sz="8" w:space="0" w:color="auto"/>
                    <w:right w:val="single" w:sz="8" w:space="0" w:color="auto"/>
                  </w:tcBorders>
                  <w:shd w:val="clear" w:color="auto" w:fill="FFFFFF" w:themeFill="background1"/>
                </w:tcPr>
                <w:p w14:paraId="57419E61" w14:textId="33B486A8" w:rsidR="00B349FB" w:rsidRPr="00781FBD" w:rsidRDefault="00B349FB" w:rsidP="00B349FB">
                  <w:pPr>
                    <w:rPr>
                      <w:rFonts w:ascii="Verdana" w:eastAsia="Calibri" w:hAnsi="Verdana" w:cs="Calibri"/>
                      <w:sz w:val="22"/>
                    </w:rPr>
                  </w:pPr>
                </w:p>
              </w:tc>
            </w:tr>
            <w:tr w:rsidR="00B349FB" w:rsidRPr="00781FBD" w14:paraId="781705D1" w14:textId="77777777" w:rsidTr="00B349FB">
              <w:tc>
                <w:tcPr>
                  <w:tcW w:w="3392" w:type="dxa"/>
                  <w:tcBorders>
                    <w:top w:val="single" w:sz="8" w:space="0" w:color="auto"/>
                    <w:left w:val="single" w:sz="8" w:space="0" w:color="auto"/>
                    <w:bottom w:val="single" w:sz="8" w:space="0" w:color="auto"/>
                    <w:right w:val="single" w:sz="8" w:space="0" w:color="auto"/>
                  </w:tcBorders>
                  <w:shd w:val="clear" w:color="auto" w:fill="FFFFFF" w:themeFill="background1"/>
                </w:tcPr>
                <w:p w14:paraId="176803A8" w14:textId="78F46765" w:rsidR="00B349FB" w:rsidRPr="00781FBD" w:rsidRDefault="00B349FB" w:rsidP="00B349FB">
                  <w:pPr>
                    <w:rPr>
                      <w:rFonts w:ascii="Verdana" w:eastAsia="Calibri" w:hAnsi="Verdana" w:cs="Calibri"/>
                      <w:color w:val="000000" w:themeColor="text1"/>
                      <w:sz w:val="22"/>
                    </w:rPr>
                  </w:pPr>
                  <w:r w:rsidRPr="00781FBD">
                    <w:rPr>
                      <w:rFonts w:ascii="Verdana" w:eastAsia="Calibri" w:hAnsi="Verdana" w:cs="Calibri"/>
                      <w:color w:val="000000" w:themeColor="text1"/>
                      <w:sz w:val="22"/>
                    </w:rPr>
                    <w:t>Average cost per sample</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0C60FBB5" w14:textId="26D8F8BB" w:rsidR="00B349FB" w:rsidRPr="00781FBD" w:rsidRDefault="00F23FDC" w:rsidP="00B349FB">
                  <w:pPr>
                    <w:rPr>
                      <w:rFonts w:ascii="Verdana" w:eastAsia="Calibri" w:hAnsi="Verdana" w:cs="Calibri"/>
                      <w:sz w:val="22"/>
                    </w:rPr>
                  </w:pPr>
                  <w:r w:rsidRPr="00781FBD">
                    <w:rPr>
                      <w:rFonts w:ascii="Verdana" w:eastAsia="Calibri" w:hAnsi="Verdana" w:cs="Calibri"/>
                      <w:sz w:val="22"/>
                    </w:rPr>
                    <w:t>$102</w:t>
                  </w:r>
                </w:p>
              </w:tc>
              <w:tc>
                <w:tcPr>
                  <w:tcW w:w="2660" w:type="dxa"/>
                  <w:tcBorders>
                    <w:top w:val="single" w:sz="8" w:space="0" w:color="auto"/>
                    <w:left w:val="single" w:sz="8" w:space="0" w:color="auto"/>
                    <w:bottom w:val="single" w:sz="8" w:space="0" w:color="auto"/>
                    <w:right w:val="single" w:sz="8" w:space="0" w:color="auto"/>
                  </w:tcBorders>
                  <w:shd w:val="clear" w:color="auto" w:fill="FFFFFF" w:themeFill="background1"/>
                </w:tcPr>
                <w:p w14:paraId="7FA500A7" w14:textId="600E4219" w:rsidR="00B349FB" w:rsidRPr="00781FBD" w:rsidRDefault="00B349FB" w:rsidP="00F23FDC">
                  <w:pPr>
                    <w:rPr>
                      <w:rFonts w:ascii="Verdana" w:eastAsia="Calibri" w:hAnsi="Verdana" w:cs="Calibri"/>
                      <w:i/>
                      <w:sz w:val="22"/>
                    </w:rPr>
                  </w:pPr>
                  <w:r w:rsidRPr="00781FBD">
                    <w:rPr>
                      <w:rFonts w:ascii="Verdana" w:eastAsia="Calibri" w:hAnsi="Verdana" w:cs="Calibri"/>
                      <w:sz w:val="22"/>
                    </w:rPr>
                    <w:t>$200/hour</w:t>
                  </w:r>
                  <w:r w:rsidR="00E93CEA" w:rsidRPr="00781FBD">
                    <w:rPr>
                      <w:rFonts w:ascii="Verdana" w:eastAsia="Calibri" w:hAnsi="Verdana" w:cs="Calibri"/>
                      <w:sz w:val="22"/>
                    </w:rPr>
                    <w:t>**</w:t>
                  </w:r>
                </w:p>
              </w:tc>
            </w:tr>
            <w:tr w:rsidR="00B349FB" w:rsidRPr="00781FBD" w14:paraId="43D106A3" w14:textId="77777777" w:rsidTr="00B349FB">
              <w:tc>
                <w:tcPr>
                  <w:tcW w:w="3392" w:type="dxa"/>
                  <w:tcBorders>
                    <w:top w:val="single" w:sz="8" w:space="0" w:color="auto"/>
                    <w:left w:val="single" w:sz="8" w:space="0" w:color="auto"/>
                    <w:bottom w:val="single" w:sz="8" w:space="0" w:color="auto"/>
                    <w:right w:val="single" w:sz="8" w:space="0" w:color="auto"/>
                  </w:tcBorders>
                  <w:shd w:val="clear" w:color="auto" w:fill="FFFFFF" w:themeFill="background1"/>
                </w:tcPr>
                <w:p w14:paraId="5C8942CC" w14:textId="77777777" w:rsidR="00B349FB" w:rsidRPr="00781FBD" w:rsidRDefault="00B349FB" w:rsidP="00B349FB">
                  <w:pPr>
                    <w:rPr>
                      <w:rFonts w:ascii="Verdana" w:eastAsia="Calibri" w:hAnsi="Verdana" w:cs="Calibri"/>
                      <w:b/>
                      <w:sz w:val="22"/>
                    </w:rPr>
                  </w:pPr>
                  <w:r w:rsidRPr="00781FBD">
                    <w:rPr>
                      <w:rFonts w:ascii="Verdana" w:eastAsia="Calibri" w:hAnsi="Verdana" w:cs="Calibri"/>
                      <w:b/>
                      <w:sz w:val="22"/>
                    </w:rPr>
                    <w:t>Overall program cost comparison</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p w14:paraId="18D46966" w14:textId="6C7A0F74" w:rsidR="00B349FB" w:rsidRPr="00781FBD" w:rsidRDefault="00F23FDC" w:rsidP="00B349FB">
                  <w:pPr>
                    <w:rPr>
                      <w:rFonts w:ascii="Verdana" w:eastAsia="Calibri" w:hAnsi="Verdana" w:cs="Calibri"/>
                      <w:b/>
                      <w:bCs/>
                      <w:sz w:val="22"/>
                    </w:rPr>
                  </w:pPr>
                  <w:r w:rsidRPr="00781FBD">
                    <w:rPr>
                      <w:rFonts w:ascii="Verdana" w:eastAsia="Calibri" w:hAnsi="Verdana" w:cs="Calibri"/>
                      <w:b/>
                      <w:bCs/>
                      <w:sz w:val="22"/>
                    </w:rPr>
                    <w:t>$42</w:t>
                  </w:r>
                  <w:r w:rsidR="00E93CEA" w:rsidRPr="00781FBD">
                    <w:rPr>
                      <w:rFonts w:ascii="Verdana" w:eastAsia="Calibri" w:hAnsi="Verdana" w:cs="Calibri"/>
                      <w:b/>
                      <w:bCs/>
                      <w:sz w:val="22"/>
                    </w:rPr>
                    <w:t>,000</w:t>
                  </w:r>
                </w:p>
              </w:tc>
              <w:tc>
                <w:tcPr>
                  <w:tcW w:w="2660" w:type="dxa"/>
                  <w:tcBorders>
                    <w:top w:val="single" w:sz="8" w:space="0" w:color="auto"/>
                    <w:left w:val="single" w:sz="8" w:space="0" w:color="auto"/>
                    <w:bottom w:val="single" w:sz="8" w:space="0" w:color="auto"/>
                    <w:right w:val="single" w:sz="8" w:space="0" w:color="auto"/>
                  </w:tcBorders>
                  <w:shd w:val="clear" w:color="auto" w:fill="FFFFFF" w:themeFill="background1"/>
                </w:tcPr>
                <w:p w14:paraId="27DC2701" w14:textId="2CB52679" w:rsidR="00B349FB" w:rsidRPr="00781FBD" w:rsidRDefault="00B349FB" w:rsidP="00E93CEA">
                  <w:pPr>
                    <w:rPr>
                      <w:rFonts w:ascii="Verdana" w:eastAsia="Calibri" w:hAnsi="Verdana" w:cs="Calibri"/>
                      <w:b/>
                      <w:bCs/>
                      <w:sz w:val="22"/>
                    </w:rPr>
                  </w:pPr>
                  <w:r w:rsidRPr="00781FBD">
                    <w:rPr>
                      <w:rFonts w:ascii="Verdana" w:eastAsia="Calibri" w:hAnsi="Verdana" w:cs="Calibri"/>
                      <w:b/>
                      <w:bCs/>
                      <w:sz w:val="22"/>
                    </w:rPr>
                    <w:t>$</w:t>
                  </w:r>
                  <w:r w:rsidR="00E93CEA" w:rsidRPr="00781FBD">
                    <w:rPr>
                      <w:rFonts w:ascii="Verdana" w:eastAsia="Calibri" w:hAnsi="Verdana" w:cs="Calibri"/>
                      <w:b/>
                      <w:bCs/>
                      <w:sz w:val="22"/>
                    </w:rPr>
                    <w:t>206,400</w:t>
                  </w:r>
                </w:p>
              </w:tc>
            </w:tr>
          </w:tbl>
          <w:p w14:paraId="6F8E1076" w14:textId="2862D419" w:rsidR="00B349FB" w:rsidRPr="00781FBD" w:rsidRDefault="00B349FB" w:rsidP="00B349FB">
            <w:pPr>
              <w:rPr>
                <w:rFonts w:ascii="Verdana" w:hAnsi="Verdana"/>
                <w:sz w:val="22"/>
              </w:rPr>
            </w:pPr>
            <w:r w:rsidRPr="00781FBD">
              <w:rPr>
                <w:rFonts w:ascii="Verdana" w:eastAsia="Calibri" w:hAnsi="Verdana" w:cs="Calibri"/>
                <w:color w:val="000000" w:themeColor="text1"/>
                <w:sz w:val="22"/>
              </w:rPr>
              <w:lastRenderedPageBreak/>
              <w:t>* Including engagement events</w:t>
            </w:r>
            <w:r w:rsidR="00E93CEA" w:rsidRPr="00781FBD">
              <w:rPr>
                <w:rFonts w:ascii="Verdana" w:eastAsia="Calibri" w:hAnsi="Verdana" w:cs="Calibri"/>
                <w:color w:val="000000" w:themeColor="text1"/>
                <w:sz w:val="22"/>
              </w:rPr>
              <w:t>,</w:t>
            </w:r>
            <w:r w:rsidRPr="00781FBD">
              <w:rPr>
                <w:rFonts w:ascii="Verdana" w:eastAsia="Calibri" w:hAnsi="Verdana" w:cs="Calibri"/>
                <w:color w:val="000000" w:themeColor="text1"/>
                <w:sz w:val="22"/>
              </w:rPr>
              <w:t xml:space="preserve"> training</w:t>
            </w:r>
            <w:r w:rsidR="00E93CEA" w:rsidRPr="00781FBD">
              <w:rPr>
                <w:rFonts w:ascii="Verdana" w:eastAsia="Calibri" w:hAnsi="Verdana" w:cs="Calibri"/>
                <w:color w:val="000000" w:themeColor="text1"/>
                <w:sz w:val="22"/>
              </w:rPr>
              <w:t xml:space="preserve"> and</w:t>
            </w:r>
            <w:r w:rsidRPr="00781FBD">
              <w:rPr>
                <w:rFonts w:ascii="Verdana" w:eastAsia="Calibri" w:hAnsi="Verdana" w:cs="Calibri"/>
                <w:color w:val="000000" w:themeColor="text1"/>
                <w:sz w:val="22"/>
              </w:rPr>
              <w:t xml:space="preserve"> equipment</w:t>
            </w:r>
            <w:r w:rsidR="00E93CEA" w:rsidRPr="00781FBD">
              <w:rPr>
                <w:rFonts w:ascii="Verdana" w:eastAsia="Calibri" w:hAnsi="Verdana" w:cs="Calibri"/>
                <w:color w:val="000000" w:themeColor="text1"/>
                <w:sz w:val="22"/>
              </w:rPr>
              <w:t xml:space="preserve"> for volunteers</w:t>
            </w:r>
            <w:r w:rsidRPr="00781FBD">
              <w:rPr>
                <w:rFonts w:ascii="Verdana" w:eastAsia="Calibri" w:hAnsi="Verdana" w:cs="Calibri"/>
                <w:color w:val="000000" w:themeColor="text1"/>
                <w:sz w:val="22"/>
              </w:rPr>
              <w:t xml:space="preserve">. </w:t>
            </w:r>
            <w:r w:rsidRPr="00781FBD">
              <w:rPr>
                <w:rFonts w:ascii="Verdana" w:eastAsia="Calibri" w:hAnsi="Verdana" w:cs="Calibri"/>
                <w:i/>
                <w:color w:val="000000" w:themeColor="text1"/>
                <w:sz w:val="22"/>
              </w:rPr>
              <w:t>Excludes</w:t>
            </w:r>
            <w:r w:rsidR="00F23FDC" w:rsidRPr="00781FBD">
              <w:rPr>
                <w:rFonts w:ascii="Verdana" w:eastAsia="Calibri" w:hAnsi="Verdana" w:cs="Calibri"/>
                <w:i/>
                <w:color w:val="000000" w:themeColor="text1"/>
                <w:sz w:val="22"/>
              </w:rPr>
              <w:t xml:space="preserve"> labour and eDNA analysis costs.</w:t>
            </w:r>
          </w:p>
          <w:p w14:paraId="78636756" w14:textId="6BB85B17" w:rsidR="6FFE3FB8" w:rsidRPr="00F57C68" w:rsidRDefault="00E93CEA" w:rsidP="004240BD">
            <w:pPr>
              <w:rPr>
                <w:rFonts w:ascii="Verdana" w:eastAsia="Calibri" w:hAnsi="Verdana" w:cs="Calibri"/>
                <w:i/>
                <w:color w:val="000000" w:themeColor="text1"/>
                <w:sz w:val="22"/>
              </w:rPr>
            </w:pPr>
            <w:r w:rsidRPr="00781FBD">
              <w:rPr>
                <w:rFonts w:ascii="Verdana" w:eastAsia="Calibri" w:hAnsi="Verdana" w:cs="Calibri"/>
                <w:color w:val="000000" w:themeColor="text1"/>
                <w:sz w:val="22"/>
              </w:rPr>
              <w:t>** Estimated one hour per sample collection.</w:t>
            </w:r>
            <w:r w:rsidRPr="00781FBD">
              <w:rPr>
                <w:rFonts w:ascii="Verdana" w:eastAsia="Calibri" w:hAnsi="Verdana" w:cs="Calibri"/>
                <w:i/>
                <w:color w:val="000000" w:themeColor="text1"/>
                <w:sz w:val="22"/>
              </w:rPr>
              <w:t xml:space="preserve"> Does not include travel costs, </w:t>
            </w:r>
            <w:r w:rsidR="00F23FDC" w:rsidRPr="00781FBD">
              <w:rPr>
                <w:rFonts w:ascii="Verdana" w:eastAsia="Calibri" w:hAnsi="Verdana" w:cs="Calibri"/>
                <w:i/>
                <w:color w:val="000000" w:themeColor="text1"/>
                <w:sz w:val="22"/>
              </w:rPr>
              <w:t>or eDNA analysis costs.</w:t>
            </w:r>
          </w:p>
        </w:tc>
      </w:tr>
    </w:tbl>
    <w:p w14:paraId="1168C686" w14:textId="35C26350" w:rsidR="0B26FF4E" w:rsidRDefault="0B26FF4E"/>
    <w:tbl>
      <w:tblPr>
        <w:tblStyle w:val="TableGrid"/>
        <w:tblW w:w="0" w:type="auto"/>
        <w:tblLayout w:type="fixed"/>
        <w:tblLook w:val="06A0" w:firstRow="1" w:lastRow="0" w:firstColumn="1" w:lastColumn="0" w:noHBand="1" w:noVBand="1"/>
      </w:tblPr>
      <w:tblGrid>
        <w:gridCol w:w="9015"/>
      </w:tblGrid>
      <w:tr w:rsidR="004240BD" w:rsidRPr="00781FBD" w14:paraId="4CC20B0D" w14:textId="77777777" w:rsidTr="7A9D5689">
        <w:tc>
          <w:tcPr>
            <w:tcW w:w="9015" w:type="dxa"/>
            <w:shd w:val="clear" w:color="auto" w:fill="DEEAF6" w:themeFill="accent1" w:themeFillTint="33"/>
          </w:tcPr>
          <w:p w14:paraId="0B2A3926" w14:textId="02834C0D" w:rsidR="5C384C03" w:rsidRPr="00781FBD" w:rsidRDefault="5C384C03" w:rsidP="004240BD">
            <w:pPr>
              <w:spacing w:line="259" w:lineRule="auto"/>
              <w:rPr>
                <w:rFonts w:ascii="Verdana" w:eastAsiaTheme="minorEastAsia" w:hAnsi="Verdana"/>
                <w:b/>
                <w:bCs/>
                <w:sz w:val="22"/>
              </w:rPr>
            </w:pPr>
            <w:r w:rsidRPr="00781FBD">
              <w:rPr>
                <w:rFonts w:ascii="Verdana" w:eastAsiaTheme="minorEastAsia" w:hAnsi="Verdana"/>
                <w:b/>
                <w:bCs/>
                <w:sz w:val="22"/>
              </w:rPr>
              <w:t>Case study 3: Litter Action Project</w:t>
            </w:r>
          </w:p>
          <w:p w14:paraId="5F6F771D" w14:textId="215C9319" w:rsidR="3FD69F8F" w:rsidRPr="00781FBD" w:rsidRDefault="3FD69F8F" w:rsidP="004240BD">
            <w:pPr>
              <w:spacing w:line="259" w:lineRule="auto"/>
              <w:rPr>
                <w:rFonts w:ascii="Verdana" w:eastAsia="Verdana" w:hAnsi="Verdana" w:cs="Verdana"/>
                <w:color w:val="231F20"/>
                <w:sz w:val="22"/>
              </w:rPr>
            </w:pPr>
            <w:r w:rsidRPr="00781FBD">
              <w:rPr>
                <w:rFonts w:ascii="Verdana" w:eastAsia="Verdana" w:hAnsi="Verdana" w:cs="Verdana"/>
                <w:color w:val="231F20"/>
                <w:sz w:val="22"/>
              </w:rPr>
              <w:t xml:space="preserve">For over three years, Melbourne Water ran a Litter Action Project supported by funding from DELWP’s Port Phillip Bay Fund. The project involved working with the general community, schools and environmental groups to conduct clean-ups and </w:t>
            </w:r>
            <w:r w:rsidR="00BF33FA" w:rsidRPr="00781FBD">
              <w:rPr>
                <w:rFonts w:ascii="Verdana" w:eastAsia="Verdana" w:hAnsi="Verdana" w:cs="Verdana"/>
                <w:color w:val="231F20"/>
                <w:sz w:val="22"/>
              </w:rPr>
              <w:t xml:space="preserve">litter </w:t>
            </w:r>
            <w:r w:rsidRPr="00781FBD">
              <w:rPr>
                <w:rFonts w:ascii="Verdana" w:eastAsia="Verdana" w:hAnsi="Verdana" w:cs="Verdana"/>
                <w:color w:val="231F20"/>
                <w:sz w:val="22"/>
              </w:rPr>
              <w:t>audits at litter hotspots in their local area. Data from litter audits was used to identify the most common litter items in the hotspot, which then informed the local action taken to reduce this key item.</w:t>
            </w:r>
          </w:p>
          <w:p w14:paraId="7C35DDBE" w14:textId="72E580E6" w:rsidR="004240BD" w:rsidRPr="00781FBD" w:rsidRDefault="3FD69F8F" w:rsidP="004240BD">
            <w:pPr>
              <w:spacing w:line="259" w:lineRule="auto"/>
              <w:rPr>
                <w:rFonts w:ascii="Verdana" w:eastAsia="Verdana" w:hAnsi="Verdana" w:cs="Verdana"/>
                <w:color w:val="231F20"/>
                <w:sz w:val="22"/>
              </w:rPr>
            </w:pPr>
            <w:r w:rsidRPr="00781FBD">
              <w:rPr>
                <w:rFonts w:ascii="Verdana" w:eastAsia="Verdana" w:hAnsi="Verdana" w:cs="Verdana"/>
                <w:color w:val="231F20"/>
                <w:sz w:val="22"/>
              </w:rPr>
              <w:t xml:space="preserve">This program engaged </w:t>
            </w:r>
            <w:r w:rsidR="25E1D60B" w:rsidRPr="00781FBD">
              <w:rPr>
                <w:rFonts w:ascii="Verdana" w:eastAsia="Verdana" w:hAnsi="Verdana" w:cs="Verdana"/>
                <w:color w:val="231F20"/>
                <w:sz w:val="22"/>
              </w:rPr>
              <w:t>ov</w:t>
            </w:r>
            <w:r w:rsidR="00E969C2" w:rsidRPr="00781FBD">
              <w:rPr>
                <w:rFonts w:ascii="Verdana" w:eastAsia="Verdana" w:hAnsi="Verdana" w:cs="Verdana"/>
                <w:color w:val="231F20"/>
                <w:sz w:val="22"/>
              </w:rPr>
              <w:t xml:space="preserve">er </w:t>
            </w:r>
            <w:r w:rsidR="25E1D60B" w:rsidRPr="00781FBD">
              <w:rPr>
                <w:rFonts w:ascii="Verdana" w:eastAsia="Verdana" w:hAnsi="Verdana" w:cs="Verdana"/>
                <w:color w:val="231F20"/>
                <w:sz w:val="22"/>
              </w:rPr>
              <w:t xml:space="preserve">1,960 people and established </w:t>
            </w:r>
            <w:r w:rsidRPr="00781FBD">
              <w:rPr>
                <w:rFonts w:ascii="Verdana" w:eastAsia="Verdana" w:hAnsi="Verdana" w:cs="Verdana"/>
                <w:color w:val="231F20"/>
                <w:sz w:val="22"/>
              </w:rPr>
              <w:t>1</w:t>
            </w:r>
            <w:r w:rsidR="108A487E" w:rsidRPr="00781FBD">
              <w:rPr>
                <w:rFonts w:ascii="Verdana" w:eastAsia="Verdana" w:hAnsi="Verdana" w:cs="Verdana"/>
                <w:color w:val="231F20"/>
                <w:sz w:val="22"/>
              </w:rPr>
              <w:t>5 Litter Action Groups across Melbourne</w:t>
            </w:r>
            <w:r w:rsidR="0BAA58A8" w:rsidRPr="00781FBD">
              <w:rPr>
                <w:rFonts w:ascii="Verdana" w:eastAsia="Verdana" w:hAnsi="Verdana" w:cs="Verdana"/>
                <w:color w:val="231F20"/>
                <w:sz w:val="22"/>
              </w:rPr>
              <w:t>. It</w:t>
            </w:r>
            <w:r w:rsidR="108A487E" w:rsidRPr="00781FBD">
              <w:rPr>
                <w:rFonts w:ascii="Verdana" w:eastAsia="Verdana" w:hAnsi="Verdana" w:cs="Verdana"/>
                <w:color w:val="231F20"/>
                <w:sz w:val="22"/>
              </w:rPr>
              <w:t xml:space="preserve"> prevented more than 39,000 </w:t>
            </w:r>
            <w:r w:rsidR="27AC413A" w:rsidRPr="00781FBD">
              <w:rPr>
                <w:rFonts w:ascii="Verdana" w:eastAsia="Verdana" w:hAnsi="Verdana" w:cs="Verdana"/>
                <w:color w:val="231F20"/>
                <w:sz w:val="22"/>
              </w:rPr>
              <w:t xml:space="preserve">pieces of litter from entering </w:t>
            </w:r>
            <w:r w:rsidR="007B310C" w:rsidRPr="00781FBD">
              <w:rPr>
                <w:rFonts w:ascii="Verdana" w:eastAsia="Verdana" w:hAnsi="Verdana" w:cs="Verdana"/>
                <w:color w:val="231F20"/>
                <w:sz w:val="22"/>
              </w:rPr>
              <w:t xml:space="preserve">waterways and Port Phillip Bay and implemented 15 initiatives to help prevent </w:t>
            </w:r>
            <w:r w:rsidR="005A17CD" w:rsidRPr="00781FBD">
              <w:rPr>
                <w:rFonts w:ascii="Verdana" w:eastAsia="Verdana" w:hAnsi="Verdana" w:cs="Verdana"/>
                <w:color w:val="231F20"/>
                <w:sz w:val="22"/>
              </w:rPr>
              <w:t xml:space="preserve">further </w:t>
            </w:r>
            <w:r w:rsidR="007B310C" w:rsidRPr="00781FBD">
              <w:rPr>
                <w:rFonts w:ascii="Verdana" w:eastAsia="Verdana" w:hAnsi="Verdana" w:cs="Verdana"/>
                <w:color w:val="231F20"/>
                <w:sz w:val="22"/>
              </w:rPr>
              <w:t xml:space="preserve">litter entering waterways. Over 7,900 volunteers hours were contributed to this project. </w:t>
            </w:r>
            <w:r w:rsidR="00FE505B" w:rsidRPr="00781FBD">
              <w:rPr>
                <w:rFonts w:ascii="Verdana" w:eastAsia="Verdana" w:hAnsi="Verdana" w:cs="Verdana"/>
                <w:color w:val="231F20"/>
                <w:sz w:val="22"/>
              </w:rPr>
              <w:t xml:space="preserve">Our assessment shows that </w:t>
            </w:r>
            <w:r w:rsidR="00FE505B" w:rsidRPr="00781FBD">
              <w:rPr>
                <w:rFonts w:ascii="Verdana" w:eastAsia="Verdana" w:hAnsi="Verdana" w:cs="Verdana"/>
                <w:color w:val="000000" w:themeColor="text1"/>
                <w:sz w:val="22"/>
              </w:rPr>
              <w:t>volunteers, supported with expert resourcing and events, can cost significantly less than the use of commercial consultants per hour</w:t>
            </w:r>
            <w:r w:rsidR="00FE505B" w:rsidRPr="00781FBD">
              <w:rPr>
                <w:rFonts w:ascii="Verdana" w:eastAsia="Verdana" w:hAnsi="Verdana" w:cs="Verdana"/>
                <w:color w:val="231F20"/>
                <w:sz w:val="22"/>
              </w:rPr>
              <w:t>.</w:t>
            </w:r>
          </w:p>
          <w:tbl>
            <w:tblPr>
              <w:tblW w:w="8385" w:type="dxa"/>
              <w:tblLayout w:type="fixed"/>
              <w:tblLook w:val="04A0" w:firstRow="1" w:lastRow="0" w:firstColumn="1" w:lastColumn="0" w:noHBand="0" w:noVBand="1"/>
            </w:tblPr>
            <w:tblGrid>
              <w:gridCol w:w="2700"/>
              <w:gridCol w:w="2284"/>
              <w:gridCol w:w="3401"/>
            </w:tblGrid>
            <w:tr w:rsidR="00943024" w:rsidRPr="00781FBD" w14:paraId="0C7BC466" w14:textId="77777777" w:rsidTr="00943024">
              <w:trPr>
                <w:trHeight w:val="701"/>
              </w:trPr>
              <w:tc>
                <w:tcPr>
                  <w:tcW w:w="2700" w:type="dxa"/>
                  <w:tcBorders>
                    <w:top w:val="single" w:sz="8" w:space="0" w:color="auto"/>
                    <w:left w:val="single" w:sz="8" w:space="0" w:color="auto"/>
                    <w:bottom w:val="single" w:sz="8" w:space="0" w:color="auto"/>
                    <w:right w:val="single" w:sz="8" w:space="0" w:color="auto"/>
                  </w:tcBorders>
                  <w:shd w:val="clear" w:color="auto" w:fill="FFFFFF" w:themeFill="background1"/>
                </w:tcPr>
                <w:p w14:paraId="1B7A29AC" w14:textId="67B1F279" w:rsidR="00943024" w:rsidRPr="00781FBD" w:rsidRDefault="00DD02C4" w:rsidP="00BF33FA">
                  <w:pPr>
                    <w:rPr>
                      <w:rFonts w:ascii="Verdana" w:eastAsia="Calibri" w:hAnsi="Verdana" w:cs="Calibri"/>
                      <w:b/>
                      <w:bCs/>
                      <w:sz w:val="22"/>
                    </w:rPr>
                  </w:pPr>
                  <w:r w:rsidRPr="00781FBD">
                    <w:rPr>
                      <w:rFonts w:ascii="Verdana" w:eastAsia="Calibri" w:hAnsi="Verdana" w:cs="Calibri"/>
                      <w:b/>
                      <w:bCs/>
                      <w:sz w:val="22"/>
                    </w:rPr>
                    <w:t>Litter Action Project 2017-20</w:t>
                  </w:r>
                </w:p>
              </w:tc>
              <w:tc>
                <w:tcPr>
                  <w:tcW w:w="2284" w:type="dxa"/>
                  <w:tcBorders>
                    <w:top w:val="single" w:sz="8" w:space="0" w:color="auto"/>
                    <w:left w:val="single" w:sz="8" w:space="0" w:color="auto"/>
                    <w:bottom w:val="single" w:sz="8" w:space="0" w:color="auto"/>
                    <w:right w:val="single" w:sz="8" w:space="0" w:color="auto"/>
                  </w:tcBorders>
                  <w:shd w:val="clear" w:color="auto" w:fill="FFFFFF" w:themeFill="background1"/>
                </w:tcPr>
                <w:p w14:paraId="05510BEE" w14:textId="53F2709E" w:rsidR="00943024" w:rsidRPr="00781FBD" w:rsidRDefault="00943024" w:rsidP="00BF33FA">
                  <w:pPr>
                    <w:rPr>
                      <w:rFonts w:ascii="Verdana" w:eastAsia="Calibri" w:hAnsi="Verdana" w:cs="Calibri"/>
                      <w:b/>
                      <w:bCs/>
                      <w:sz w:val="22"/>
                    </w:rPr>
                  </w:pPr>
                  <w:r w:rsidRPr="00781FBD">
                    <w:rPr>
                      <w:rFonts w:ascii="Verdana" w:eastAsia="Calibri" w:hAnsi="Verdana" w:cs="Calibri"/>
                      <w:b/>
                      <w:bCs/>
                      <w:sz w:val="22"/>
                    </w:rPr>
                    <w:t>Program costs and output</w:t>
                  </w:r>
                </w:p>
              </w:tc>
              <w:tc>
                <w:tcPr>
                  <w:tcW w:w="3401" w:type="dxa"/>
                  <w:tcBorders>
                    <w:top w:val="single" w:sz="8" w:space="0" w:color="auto"/>
                    <w:left w:val="single" w:sz="8" w:space="0" w:color="auto"/>
                    <w:bottom w:val="single" w:sz="8" w:space="0" w:color="auto"/>
                    <w:right w:val="single" w:sz="8" w:space="0" w:color="auto"/>
                  </w:tcBorders>
                  <w:shd w:val="clear" w:color="auto" w:fill="FFFFFF" w:themeFill="background1"/>
                </w:tcPr>
                <w:p w14:paraId="3FBDF3D5" w14:textId="0E244177" w:rsidR="00943024" w:rsidRPr="00781FBD" w:rsidRDefault="00943024" w:rsidP="00BF33FA">
                  <w:pPr>
                    <w:rPr>
                      <w:rFonts w:ascii="Verdana" w:eastAsia="Calibri" w:hAnsi="Verdana" w:cs="Calibri"/>
                      <w:b/>
                      <w:bCs/>
                      <w:sz w:val="22"/>
                    </w:rPr>
                  </w:pPr>
                  <w:r w:rsidRPr="00781FBD">
                    <w:rPr>
                      <w:rFonts w:ascii="Verdana" w:eastAsia="Calibri" w:hAnsi="Verdana" w:cs="Calibri"/>
                      <w:b/>
                      <w:bCs/>
                      <w:sz w:val="22"/>
                    </w:rPr>
                    <w:t>Projected consultant cost to MW (minimum estimate)</w:t>
                  </w:r>
                </w:p>
              </w:tc>
            </w:tr>
            <w:tr w:rsidR="00943024" w:rsidRPr="00781FBD" w14:paraId="00C5CC74" w14:textId="77777777" w:rsidTr="00943024">
              <w:trPr>
                <w:trHeight w:val="435"/>
              </w:trPr>
              <w:tc>
                <w:tcPr>
                  <w:tcW w:w="2700" w:type="dxa"/>
                  <w:tcBorders>
                    <w:top w:val="single" w:sz="8" w:space="0" w:color="auto"/>
                    <w:left w:val="single" w:sz="8" w:space="0" w:color="auto"/>
                    <w:bottom w:val="single" w:sz="8" w:space="0" w:color="auto"/>
                    <w:right w:val="single" w:sz="8" w:space="0" w:color="auto"/>
                  </w:tcBorders>
                  <w:shd w:val="clear" w:color="auto" w:fill="FFFFFF" w:themeFill="background1"/>
                </w:tcPr>
                <w:p w14:paraId="3159CCCD" w14:textId="0739881E" w:rsidR="00943024" w:rsidRPr="00781FBD" w:rsidRDefault="00943024" w:rsidP="00E969C2">
                  <w:pPr>
                    <w:rPr>
                      <w:rFonts w:ascii="Verdana" w:eastAsia="Calibri" w:hAnsi="Verdana" w:cs="Calibri"/>
                      <w:sz w:val="22"/>
                    </w:rPr>
                  </w:pPr>
                  <w:r w:rsidRPr="00781FBD">
                    <w:rPr>
                      <w:rFonts w:ascii="Verdana" w:eastAsia="Calibri" w:hAnsi="Verdana" w:cs="Calibri"/>
                      <w:sz w:val="22"/>
                    </w:rPr>
                    <w:t>Program costs (3 years)*</w:t>
                  </w:r>
                </w:p>
              </w:tc>
              <w:tc>
                <w:tcPr>
                  <w:tcW w:w="2284" w:type="dxa"/>
                  <w:tcBorders>
                    <w:top w:val="single" w:sz="8" w:space="0" w:color="auto"/>
                    <w:left w:val="single" w:sz="8" w:space="0" w:color="auto"/>
                    <w:bottom w:val="single" w:sz="8" w:space="0" w:color="auto"/>
                    <w:right w:val="single" w:sz="8" w:space="0" w:color="auto"/>
                  </w:tcBorders>
                  <w:shd w:val="clear" w:color="auto" w:fill="FFFFFF" w:themeFill="background1"/>
                </w:tcPr>
                <w:p w14:paraId="1920BD02" w14:textId="68A8DE4F" w:rsidR="00943024" w:rsidRPr="00781FBD" w:rsidRDefault="00943024" w:rsidP="00E969C2">
                  <w:pPr>
                    <w:rPr>
                      <w:rFonts w:ascii="Verdana" w:eastAsia="Calibri" w:hAnsi="Verdana" w:cs="Calibri"/>
                      <w:sz w:val="22"/>
                    </w:rPr>
                  </w:pPr>
                  <w:r w:rsidRPr="00781FBD">
                    <w:rPr>
                      <w:rFonts w:ascii="Verdana" w:eastAsia="Calibri" w:hAnsi="Verdana" w:cs="Calibri"/>
                      <w:sz w:val="22"/>
                    </w:rPr>
                    <w:t>$27,600</w:t>
                  </w:r>
                </w:p>
              </w:tc>
              <w:tc>
                <w:tcPr>
                  <w:tcW w:w="3401" w:type="dxa"/>
                  <w:tcBorders>
                    <w:top w:val="single" w:sz="8" w:space="0" w:color="auto"/>
                    <w:left w:val="single" w:sz="8" w:space="0" w:color="auto"/>
                    <w:bottom w:val="single" w:sz="8" w:space="0" w:color="auto"/>
                    <w:right w:val="single" w:sz="8" w:space="0" w:color="auto"/>
                  </w:tcBorders>
                  <w:shd w:val="clear" w:color="auto" w:fill="FFFFFF" w:themeFill="background1"/>
                </w:tcPr>
                <w:p w14:paraId="4A5890FB" w14:textId="5CC08CF5" w:rsidR="00943024" w:rsidRPr="00781FBD" w:rsidRDefault="00943024" w:rsidP="00E969C2">
                  <w:pPr>
                    <w:rPr>
                      <w:rFonts w:ascii="Verdana" w:eastAsia="Calibri" w:hAnsi="Verdana" w:cs="Calibri"/>
                      <w:sz w:val="22"/>
                    </w:rPr>
                  </w:pPr>
                </w:p>
              </w:tc>
            </w:tr>
            <w:tr w:rsidR="00943024" w:rsidRPr="00781FBD" w14:paraId="3E860CFF" w14:textId="77777777" w:rsidTr="00943024">
              <w:trPr>
                <w:trHeight w:val="608"/>
              </w:trPr>
              <w:tc>
                <w:tcPr>
                  <w:tcW w:w="2700" w:type="dxa"/>
                  <w:tcBorders>
                    <w:top w:val="single" w:sz="8" w:space="0" w:color="auto"/>
                    <w:left w:val="single" w:sz="8" w:space="0" w:color="auto"/>
                    <w:bottom w:val="single" w:sz="8" w:space="0" w:color="auto"/>
                    <w:right w:val="single" w:sz="8" w:space="0" w:color="auto"/>
                  </w:tcBorders>
                  <w:shd w:val="clear" w:color="auto" w:fill="FFFFFF" w:themeFill="background1"/>
                </w:tcPr>
                <w:p w14:paraId="3884A718" w14:textId="0EBF3B69" w:rsidR="00943024" w:rsidRPr="00781FBD" w:rsidRDefault="00943024" w:rsidP="00943024">
                  <w:pPr>
                    <w:rPr>
                      <w:rFonts w:ascii="Verdana" w:eastAsia="Calibri" w:hAnsi="Verdana" w:cs="Calibri"/>
                      <w:sz w:val="22"/>
                    </w:rPr>
                  </w:pPr>
                  <w:r w:rsidRPr="00781FBD">
                    <w:rPr>
                      <w:rFonts w:ascii="Verdana" w:eastAsia="Calibri" w:hAnsi="Verdana" w:cs="Calibri"/>
                      <w:sz w:val="22"/>
                    </w:rPr>
                    <w:t>Litter audits completed</w:t>
                  </w:r>
                </w:p>
              </w:tc>
              <w:tc>
                <w:tcPr>
                  <w:tcW w:w="2284" w:type="dxa"/>
                  <w:tcBorders>
                    <w:top w:val="single" w:sz="8" w:space="0" w:color="auto"/>
                    <w:left w:val="single" w:sz="8" w:space="0" w:color="auto"/>
                    <w:bottom w:val="single" w:sz="8" w:space="0" w:color="auto"/>
                    <w:right w:val="single" w:sz="8" w:space="0" w:color="auto"/>
                  </w:tcBorders>
                  <w:shd w:val="clear" w:color="auto" w:fill="FFFFFF" w:themeFill="background1"/>
                </w:tcPr>
                <w:p w14:paraId="540B2067" w14:textId="0BC7BCBE" w:rsidR="00943024" w:rsidRPr="00781FBD" w:rsidRDefault="00943024" w:rsidP="00943024">
                  <w:pPr>
                    <w:rPr>
                      <w:rFonts w:ascii="Verdana" w:eastAsia="Calibri" w:hAnsi="Verdana" w:cs="Calibri"/>
                      <w:sz w:val="22"/>
                    </w:rPr>
                  </w:pPr>
                  <w:r w:rsidRPr="00781FBD">
                    <w:rPr>
                      <w:rFonts w:ascii="Verdana" w:eastAsia="Calibri" w:hAnsi="Verdana" w:cs="Calibri"/>
                      <w:sz w:val="22"/>
                    </w:rPr>
                    <w:t>85</w:t>
                  </w:r>
                </w:p>
              </w:tc>
              <w:tc>
                <w:tcPr>
                  <w:tcW w:w="3401" w:type="dxa"/>
                  <w:tcBorders>
                    <w:top w:val="single" w:sz="8" w:space="0" w:color="auto"/>
                    <w:left w:val="single" w:sz="8" w:space="0" w:color="auto"/>
                    <w:bottom w:val="single" w:sz="8" w:space="0" w:color="auto"/>
                    <w:right w:val="single" w:sz="8" w:space="0" w:color="auto"/>
                  </w:tcBorders>
                  <w:shd w:val="clear" w:color="auto" w:fill="FFFFFF" w:themeFill="background1"/>
                </w:tcPr>
                <w:p w14:paraId="49E703B5" w14:textId="457E60C0" w:rsidR="00943024" w:rsidRPr="00781FBD" w:rsidRDefault="00943024" w:rsidP="00943024">
                  <w:pPr>
                    <w:rPr>
                      <w:rFonts w:ascii="Verdana" w:eastAsia="Calibri" w:hAnsi="Verdana" w:cs="Calibri"/>
                      <w:sz w:val="22"/>
                    </w:rPr>
                  </w:pPr>
                  <w:r w:rsidRPr="00781FBD">
                    <w:rPr>
                      <w:rFonts w:ascii="Verdana" w:eastAsia="Calibri" w:hAnsi="Verdana" w:cs="Calibri"/>
                      <w:sz w:val="22"/>
                    </w:rPr>
                    <w:t>$150/hour</w:t>
                  </w:r>
                  <w:r w:rsidR="005A17CD" w:rsidRPr="00781FBD">
                    <w:rPr>
                      <w:rFonts w:ascii="Verdana" w:eastAsia="Calibri" w:hAnsi="Verdana" w:cs="Calibri"/>
                      <w:sz w:val="22"/>
                    </w:rPr>
                    <w:t>**</w:t>
                  </w:r>
                  <w:r w:rsidR="005A17CD" w:rsidRPr="00781FBD">
                    <w:rPr>
                      <w:rFonts w:ascii="Verdana" w:eastAsia="Calibri" w:hAnsi="Verdana" w:cs="Calibri"/>
                      <w:sz w:val="22"/>
                    </w:rPr>
                    <w:br/>
                    <w:t xml:space="preserve">4 hours; </w:t>
                  </w:r>
                  <w:r w:rsidRPr="00781FBD">
                    <w:rPr>
                      <w:rFonts w:ascii="Verdana" w:eastAsia="Calibri" w:hAnsi="Verdana" w:cs="Calibri"/>
                      <w:sz w:val="22"/>
                    </w:rPr>
                    <w:t>2 consultants</w:t>
                  </w:r>
                </w:p>
              </w:tc>
            </w:tr>
            <w:tr w:rsidR="00943024" w:rsidRPr="00781FBD" w14:paraId="5F58D231" w14:textId="77777777" w:rsidTr="00943024">
              <w:trPr>
                <w:trHeight w:val="435"/>
              </w:trPr>
              <w:tc>
                <w:tcPr>
                  <w:tcW w:w="2700" w:type="dxa"/>
                  <w:tcBorders>
                    <w:top w:val="single" w:sz="8" w:space="0" w:color="auto"/>
                    <w:left w:val="single" w:sz="8" w:space="0" w:color="auto"/>
                    <w:bottom w:val="single" w:sz="8" w:space="0" w:color="auto"/>
                    <w:right w:val="single" w:sz="8" w:space="0" w:color="auto"/>
                  </w:tcBorders>
                  <w:shd w:val="clear" w:color="auto" w:fill="FFFFFF" w:themeFill="background1"/>
                </w:tcPr>
                <w:p w14:paraId="1A019511" w14:textId="059AEEE3" w:rsidR="00943024" w:rsidRPr="00781FBD" w:rsidRDefault="00943024" w:rsidP="00943024">
                  <w:pPr>
                    <w:rPr>
                      <w:rFonts w:ascii="Verdana" w:eastAsia="Calibri" w:hAnsi="Verdana" w:cs="Calibri"/>
                      <w:sz w:val="22"/>
                    </w:rPr>
                  </w:pPr>
                  <w:r w:rsidRPr="00781FBD">
                    <w:rPr>
                      <w:rFonts w:ascii="Verdana" w:eastAsia="Calibri" w:hAnsi="Verdana" w:cs="Calibri"/>
                      <w:sz w:val="22"/>
                    </w:rPr>
                    <w:t xml:space="preserve">Litter action plans </w:t>
                  </w:r>
                </w:p>
              </w:tc>
              <w:tc>
                <w:tcPr>
                  <w:tcW w:w="2284" w:type="dxa"/>
                  <w:tcBorders>
                    <w:top w:val="single" w:sz="8" w:space="0" w:color="auto"/>
                    <w:left w:val="single" w:sz="8" w:space="0" w:color="auto"/>
                    <w:bottom w:val="single" w:sz="8" w:space="0" w:color="auto"/>
                    <w:right w:val="single" w:sz="8" w:space="0" w:color="auto"/>
                  </w:tcBorders>
                  <w:shd w:val="clear" w:color="auto" w:fill="FFFFFF" w:themeFill="background1"/>
                </w:tcPr>
                <w:p w14:paraId="49C07721" w14:textId="5083B9C8" w:rsidR="00943024" w:rsidRPr="00781FBD" w:rsidRDefault="00943024" w:rsidP="00943024">
                  <w:pPr>
                    <w:rPr>
                      <w:rFonts w:ascii="Verdana" w:eastAsia="Calibri" w:hAnsi="Verdana" w:cs="Calibri"/>
                      <w:sz w:val="22"/>
                    </w:rPr>
                  </w:pPr>
                  <w:r w:rsidRPr="00781FBD">
                    <w:rPr>
                      <w:rFonts w:ascii="Verdana" w:eastAsia="Calibri" w:hAnsi="Verdana" w:cs="Calibri"/>
                      <w:sz w:val="22"/>
                    </w:rPr>
                    <w:t>15</w:t>
                  </w:r>
                </w:p>
              </w:tc>
              <w:tc>
                <w:tcPr>
                  <w:tcW w:w="3401" w:type="dxa"/>
                  <w:tcBorders>
                    <w:top w:val="single" w:sz="8" w:space="0" w:color="auto"/>
                    <w:left w:val="single" w:sz="8" w:space="0" w:color="auto"/>
                    <w:bottom w:val="single" w:sz="8" w:space="0" w:color="auto"/>
                    <w:right w:val="single" w:sz="8" w:space="0" w:color="auto"/>
                  </w:tcBorders>
                  <w:shd w:val="clear" w:color="auto" w:fill="FFFFFF" w:themeFill="background1"/>
                </w:tcPr>
                <w:p w14:paraId="77A7118A" w14:textId="50565A59" w:rsidR="00943024" w:rsidRPr="00781FBD" w:rsidRDefault="00943024" w:rsidP="00943024">
                  <w:pPr>
                    <w:rPr>
                      <w:rFonts w:ascii="Verdana" w:eastAsia="Calibri" w:hAnsi="Verdana" w:cs="Calibri"/>
                      <w:sz w:val="22"/>
                    </w:rPr>
                  </w:pPr>
                  <w:r w:rsidRPr="00781FBD">
                    <w:rPr>
                      <w:rFonts w:ascii="Verdana" w:eastAsia="Calibri" w:hAnsi="Verdana" w:cs="Calibri"/>
                      <w:sz w:val="22"/>
                    </w:rPr>
                    <w:t>$150/hour**</w:t>
                  </w:r>
                  <w:r w:rsidRPr="00781FBD">
                    <w:rPr>
                      <w:rFonts w:ascii="Verdana" w:eastAsia="Calibri" w:hAnsi="Verdana" w:cs="Calibri"/>
                      <w:sz w:val="22"/>
                    </w:rPr>
                    <w:br/>
                    <w:t>30 hours; 1 consultant</w:t>
                  </w:r>
                </w:p>
              </w:tc>
            </w:tr>
            <w:tr w:rsidR="00943024" w:rsidRPr="00781FBD" w14:paraId="738588EA" w14:textId="77777777" w:rsidTr="00943024">
              <w:trPr>
                <w:trHeight w:val="447"/>
              </w:trPr>
              <w:tc>
                <w:tcPr>
                  <w:tcW w:w="2700" w:type="dxa"/>
                  <w:tcBorders>
                    <w:top w:val="single" w:sz="8" w:space="0" w:color="auto"/>
                    <w:left w:val="single" w:sz="8" w:space="0" w:color="auto"/>
                    <w:bottom w:val="single" w:sz="8" w:space="0" w:color="auto"/>
                    <w:right w:val="single" w:sz="8" w:space="0" w:color="auto"/>
                  </w:tcBorders>
                  <w:shd w:val="clear" w:color="auto" w:fill="FFFFFF" w:themeFill="background1"/>
                </w:tcPr>
                <w:p w14:paraId="001E1C94" w14:textId="3A42BA1D" w:rsidR="00943024" w:rsidRPr="00781FBD" w:rsidRDefault="00943024" w:rsidP="00943024">
                  <w:pPr>
                    <w:rPr>
                      <w:rFonts w:ascii="Verdana" w:eastAsia="Calibri" w:hAnsi="Verdana" w:cs="Calibri"/>
                      <w:b/>
                      <w:sz w:val="22"/>
                    </w:rPr>
                  </w:pPr>
                  <w:r w:rsidRPr="00781FBD">
                    <w:rPr>
                      <w:rFonts w:ascii="Verdana" w:eastAsia="Calibri" w:hAnsi="Verdana" w:cs="Calibri"/>
                      <w:b/>
                      <w:sz w:val="22"/>
                    </w:rPr>
                    <w:t>Overall program cost comparison</w:t>
                  </w:r>
                </w:p>
              </w:tc>
              <w:tc>
                <w:tcPr>
                  <w:tcW w:w="2284" w:type="dxa"/>
                  <w:tcBorders>
                    <w:top w:val="single" w:sz="8" w:space="0" w:color="auto"/>
                    <w:left w:val="single" w:sz="8" w:space="0" w:color="auto"/>
                    <w:bottom w:val="single" w:sz="8" w:space="0" w:color="auto"/>
                    <w:right w:val="single" w:sz="8" w:space="0" w:color="auto"/>
                  </w:tcBorders>
                  <w:shd w:val="clear" w:color="auto" w:fill="FFFFFF" w:themeFill="background1"/>
                </w:tcPr>
                <w:p w14:paraId="12746F3D" w14:textId="4EC4DA89" w:rsidR="00943024" w:rsidRPr="00781FBD" w:rsidRDefault="00943024" w:rsidP="00943024">
                  <w:pPr>
                    <w:rPr>
                      <w:rFonts w:ascii="Verdana" w:eastAsia="Calibri" w:hAnsi="Verdana" w:cs="Calibri"/>
                      <w:b/>
                      <w:bCs/>
                      <w:sz w:val="22"/>
                    </w:rPr>
                  </w:pPr>
                  <w:r w:rsidRPr="00781FBD">
                    <w:rPr>
                      <w:rFonts w:ascii="Verdana" w:eastAsia="Calibri" w:hAnsi="Verdana" w:cs="Calibri"/>
                      <w:b/>
                      <w:bCs/>
                      <w:sz w:val="22"/>
                    </w:rPr>
                    <w:t>$27,600</w:t>
                  </w:r>
                </w:p>
              </w:tc>
              <w:tc>
                <w:tcPr>
                  <w:tcW w:w="3401" w:type="dxa"/>
                  <w:tcBorders>
                    <w:top w:val="single" w:sz="8" w:space="0" w:color="auto"/>
                    <w:left w:val="single" w:sz="8" w:space="0" w:color="auto"/>
                    <w:bottom w:val="single" w:sz="8" w:space="0" w:color="auto"/>
                    <w:right w:val="single" w:sz="8" w:space="0" w:color="auto"/>
                  </w:tcBorders>
                  <w:shd w:val="clear" w:color="auto" w:fill="FFFFFF" w:themeFill="background1"/>
                </w:tcPr>
                <w:p w14:paraId="76E3E7B8" w14:textId="5D2C58C7" w:rsidR="00943024" w:rsidRPr="00781FBD" w:rsidRDefault="00943024" w:rsidP="00943024">
                  <w:pPr>
                    <w:rPr>
                      <w:rFonts w:ascii="Verdana" w:eastAsia="Calibri" w:hAnsi="Verdana" w:cs="Calibri"/>
                      <w:b/>
                      <w:bCs/>
                      <w:sz w:val="22"/>
                    </w:rPr>
                  </w:pPr>
                  <w:r w:rsidRPr="00781FBD">
                    <w:rPr>
                      <w:rFonts w:ascii="Verdana" w:eastAsia="Calibri" w:hAnsi="Verdana" w:cs="Calibri"/>
                      <w:bCs/>
                      <w:sz w:val="22"/>
                    </w:rPr>
                    <w:t xml:space="preserve">$102,000 + </w:t>
                  </w:r>
                  <w:r w:rsidR="004F22C8" w:rsidRPr="00781FBD">
                    <w:rPr>
                      <w:rFonts w:ascii="Verdana" w:eastAsia="Calibri" w:hAnsi="Verdana" w:cs="Calibri"/>
                      <w:bCs/>
                      <w:sz w:val="22"/>
                    </w:rPr>
                    <w:t>$67</w:t>
                  </w:r>
                  <w:r w:rsidRPr="00781FBD">
                    <w:rPr>
                      <w:rFonts w:ascii="Verdana" w:eastAsia="Calibri" w:hAnsi="Verdana" w:cs="Calibri"/>
                      <w:bCs/>
                      <w:sz w:val="22"/>
                    </w:rPr>
                    <w:t>,500</w:t>
                  </w:r>
                  <w:r w:rsidRPr="00781FBD">
                    <w:rPr>
                      <w:rFonts w:ascii="Verdana" w:eastAsia="Calibri" w:hAnsi="Verdana" w:cs="Calibri"/>
                      <w:b/>
                      <w:bCs/>
                      <w:sz w:val="22"/>
                    </w:rPr>
                    <w:br/>
                  </w:r>
                  <w:r w:rsidR="004F22C8" w:rsidRPr="00781FBD">
                    <w:rPr>
                      <w:rFonts w:ascii="Verdana" w:eastAsia="Calibri" w:hAnsi="Verdana" w:cs="Calibri"/>
                      <w:b/>
                      <w:bCs/>
                      <w:sz w:val="22"/>
                    </w:rPr>
                    <w:t>$169</w:t>
                  </w:r>
                  <w:r w:rsidRPr="00781FBD">
                    <w:rPr>
                      <w:rFonts w:ascii="Verdana" w:eastAsia="Calibri" w:hAnsi="Verdana" w:cs="Calibri"/>
                      <w:b/>
                      <w:bCs/>
                      <w:sz w:val="22"/>
                    </w:rPr>
                    <w:t>,500</w:t>
                  </w:r>
                </w:p>
              </w:tc>
            </w:tr>
          </w:tbl>
          <w:p w14:paraId="0AC16374" w14:textId="6CE70666" w:rsidR="004240BD" w:rsidRPr="00781FBD" w:rsidRDefault="00BF33FA" w:rsidP="004240BD">
            <w:pPr>
              <w:rPr>
                <w:rFonts w:ascii="Verdana" w:eastAsia="Calibri" w:hAnsi="Verdana" w:cs="Calibri"/>
                <w:color w:val="000000" w:themeColor="text1"/>
                <w:sz w:val="22"/>
              </w:rPr>
            </w:pPr>
            <w:r w:rsidRPr="00781FBD">
              <w:rPr>
                <w:rFonts w:ascii="Verdana" w:eastAsia="Calibri" w:hAnsi="Verdana" w:cs="Calibri"/>
                <w:color w:val="000000" w:themeColor="text1"/>
                <w:sz w:val="22"/>
              </w:rPr>
              <w:t>*</w:t>
            </w:r>
            <w:r w:rsidR="00E969C2" w:rsidRPr="00781FBD">
              <w:rPr>
                <w:rFonts w:ascii="Verdana" w:eastAsia="Calibri" w:hAnsi="Verdana" w:cs="Calibri"/>
                <w:color w:val="000000" w:themeColor="text1"/>
                <w:sz w:val="22"/>
              </w:rPr>
              <w:t xml:space="preserve">Includes engagement events, equipment and meeting costs to enable litter audits and source reduction plan development. </w:t>
            </w:r>
            <w:r w:rsidRPr="00781FBD">
              <w:rPr>
                <w:rFonts w:ascii="Verdana" w:eastAsia="Calibri" w:hAnsi="Verdana" w:cs="Calibri"/>
                <w:i/>
                <w:color w:val="000000" w:themeColor="text1"/>
                <w:sz w:val="22"/>
              </w:rPr>
              <w:t>Ex</w:t>
            </w:r>
            <w:r w:rsidR="00E969C2" w:rsidRPr="00781FBD">
              <w:rPr>
                <w:rFonts w:ascii="Verdana" w:eastAsia="Calibri" w:hAnsi="Verdana" w:cs="Calibri"/>
                <w:i/>
                <w:color w:val="000000" w:themeColor="text1"/>
                <w:sz w:val="22"/>
              </w:rPr>
              <w:t>cludes</w:t>
            </w:r>
            <w:r w:rsidRPr="00781FBD">
              <w:rPr>
                <w:rFonts w:ascii="Verdana" w:eastAsia="Calibri" w:hAnsi="Verdana" w:cs="Calibri"/>
                <w:i/>
                <w:color w:val="000000" w:themeColor="text1"/>
                <w:sz w:val="22"/>
              </w:rPr>
              <w:t xml:space="preserve"> labour, project management costs</w:t>
            </w:r>
            <w:r w:rsidR="00E969C2" w:rsidRPr="00781FBD">
              <w:rPr>
                <w:rFonts w:ascii="Verdana" w:eastAsia="Calibri" w:hAnsi="Verdana" w:cs="Calibri"/>
                <w:i/>
                <w:color w:val="000000" w:themeColor="text1"/>
                <w:sz w:val="22"/>
              </w:rPr>
              <w:t>, site interventions and development of a catchment model.</w:t>
            </w:r>
          </w:p>
          <w:p w14:paraId="0697D12D" w14:textId="5EDE2405" w:rsidR="004240BD" w:rsidRPr="00781FBD" w:rsidRDefault="00BF33FA" w:rsidP="004240BD">
            <w:pPr>
              <w:rPr>
                <w:rFonts w:ascii="Verdana" w:eastAsia="Calibri" w:hAnsi="Verdana" w:cs="Calibri"/>
                <w:color w:val="000000" w:themeColor="text1"/>
                <w:sz w:val="22"/>
              </w:rPr>
            </w:pPr>
            <w:r w:rsidRPr="00781FBD">
              <w:rPr>
                <w:rFonts w:ascii="Verdana" w:eastAsia="Calibri" w:hAnsi="Verdana" w:cs="Calibri"/>
                <w:color w:val="000000" w:themeColor="text1"/>
                <w:sz w:val="22"/>
              </w:rPr>
              <w:t>**Based on litter audit consultant fees (can range from $100-200 per hour)</w:t>
            </w:r>
            <w:r w:rsidR="00CB41D6" w:rsidRPr="00781FBD">
              <w:rPr>
                <w:rFonts w:ascii="Verdana" w:eastAsia="Calibri" w:hAnsi="Verdana" w:cs="Calibri"/>
                <w:color w:val="000000" w:themeColor="text1"/>
                <w:sz w:val="22"/>
              </w:rPr>
              <w:t>.</w:t>
            </w:r>
          </w:p>
        </w:tc>
      </w:tr>
    </w:tbl>
    <w:p w14:paraId="6EECBDC0" w14:textId="77777777" w:rsidR="00781FBD" w:rsidRDefault="00781FBD" w:rsidP="0B26FF4E">
      <w:pPr>
        <w:rPr>
          <w:rFonts w:ascii="Verdana" w:hAnsi="Verdana"/>
          <w:sz w:val="20"/>
          <w:szCs w:val="20"/>
        </w:rPr>
      </w:pPr>
    </w:p>
    <w:p w14:paraId="725E2101" w14:textId="7DC44DE1" w:rsidR="005A6436" w:rsidRPr="00781FBD" w:rsidRDefault="005A6436" w:rsidP="00781FBD">
      <w:pPr>
        <w:spacing w:after="0"/>
        <w:rPr>
          <w:rFonts w:ascii="Verdana" w:hAnsi="Verdana"/>
          <w:sz w:val="24"/>
          <w:szCs w:val="24"/>
        </w:rPr>
      </w:pPr>
      <w:r w:rsidRPr="00781FBD">
        <w:rPr>
          <w:rFonts w:ascii="Verdana" w:hAnsi="Verdana"/>
          <w:sz w:val="24"/>
          <w:szCs w:val="24"/>
        </w:rPr>
        <w:t>Qualitative research</w:t>
      </w:r>
      <w:r w:rsidRPr="00781FBD">
        <w:rPr>
          <w:rFonts w:ascii="Verdana" w:hAnsi="Verdana"/>
          <w:b/>
          <w:bCs/>
          <w:sz w:val="24"/>
          <w:szCs w:val="24"/>
        </w:rPr>
        <w:t xml:space="preserve"> </w:t>
      </w:r>
      <w:r w:rsidRPr="00781FBD">
        <w:rPr>
          <w:rFonts w:ascii="Verdana" w:hAnsi="Verdana"/>
          <w:sz w:val="24"/>
          <w:szCs w:val="24"/>
        </w:rPr>
        <w:t xml:space="preserve">as part of preparing the Waterways and Drainage Investment Plan demonstrated strong community and business </w:t>
      </w:r>
      <w:r w:rsidRPr="00781FBD">
        <w:rPr>
          <w:rFonts w:ascii="Verdana" w:hAnsi="Verdana"/>
          <w:sz w:val="24"/>
          <w:szCs w:val="24"/>
        </w:rPr>
        <w:lastRenderedPageBreak/>
        <w:t xml:space="preserve">preference for an increase in the current amount of funding dedicated to community involvement. </w:t>
      </w:r>
    </w:p>
    <w:p w14:paraId="2025169B" w14:textId="5069FC49" w:rsidR="005A6436" w:rsidRPr="00781FBD" w:rsidRDefault="005A6436" w:rsidP="00781FBD">
      <w:pPr>
        <w:pStyle w:val="ListNumber"/>
        <w:numPr>
          <w:ilvl w:val="0"/>
          <w:numId w:val="0"/>
        </w:numPr>
        <w:spacing w:after="0"/>
        <w:rPr>
          <w:rFonts w:ascii="Verdana" w:hAnsi="Verdana"/>
          <w:sz w:val="24"/>
          <w:szCs w:val="24"/>
          <w:highlight w:val="cyan"/>
        </w:rPr>
      </w:pPr>
      <w:r w:rsidRPr="00781FBD">
        <w:rPr>
          <w:rFonts w:ascii="Verdana" w:hAnsi="Verdana"/>
          <w:sz w:val="24"/>
          <w:szCs w:val="24"/>
        </w:rPr>
        <w:t xml:space="preserve">An uplift investment of </w:t>
      </w:r>
      <w:r w:rsidR="27286359" w:rsidRPr="00781FBD">
        <w:rPr>
          <w:rFonts w:ascii="Verdana" w:hAnsi="Verdana"/>
          <w:sz w:val="24"/>
          <w:szCs w:val="24"/>
        </w:rPr>
        <w:t xml:space="preserve">approximately </w:t>
      </w:r>
      <w:r w:rsidRPr="00781FBD">
        <w:rPr>
          <w:rFonts w:ascii="Verdana" w:hAnsi="Verdana"/>
          <w:sz w:val="24"/>
          <w:szCs w:val="24"/>
        </w:rPr>
        <w:t xml:space="preserve">$400,000 per year </w:t>
      </w:r>
      <w:r w:rsidR="1E7475B1" w:rsidRPr="00781FBD">
        <w:rPr>
          <w:rFonts w:ascii="Verdana" w:hAnsi="Verdana"/>
          <w:sz w:val="24"/>
          <w:szCs w:val="24"/>
        </w:rPr>
        <w:t xml:space="preserve">(see details in table 3) </w:t>
      </w:r>
      <w:r w:rsidRPr="00781FBD">
        <w:rPr>
          <w:rFonts w:ascii="Verdana" w:hAnsi="Verdana"/>
          <w:sz w:val="24"/>
          <w:szCs w:val="24"/>
        </w:rPr>
        <w:t xml:space="preserve">through this allocation will deliver: </w:t>
      </w:r>
    </w:p>
    <w:p w14:paraId="49E0F9DF" w14:textId="77777777" w:rsidR="005A6436" w:rsidRPr="00781FBD" w:rsidRDefault="005A6436" w:rsidP="00781FBD">
      <w:pPr>
        <w:pStyle w:val="ListNumber"/>
        <w:numPr>
          <w:ilvl w:val="0"/>
          <w:numId w:val="29"/>
        </w:numPr>
        <w:spacing w:after="0"/>
        <w:rPr>
          <w:rFonts w:ascii="Verdana" w:hAnsi="Verdana"/>
          <w:sz w:val="24"/>
          <w:szCs w:val="24"/>
        </w:rPr>
      </w:pPr>
      <w:r w:rsidRPr="00781FBD">
        <w:rPr>
          <w:rFonts w:ascii="Verdana" w:eastAsiaTheme="minorEastAsia" w:hAnsi="Verdana"/>
          <w:sz w:val="24"/>
          <w:szCs w:val="24"/>
        </w:rPr>
        <w:t>Waterway informational signage and infographics (including on-site interactive digital elements e.g. QR codes &amp; augmented reality) $230K</w:t>
      </w:r>
    </w:p>
    <w:p w14:paraId="56DEB761" w14:textId="58B8C9A8" w:rsidR="005A6436" w:rsidRPr="00781FBD" w:rsidRDefault="005A6436" w:rsidP="00781FBD">
      <w:pPr>
        <w:pStyle w:val="ListNumber"/>
        <w:numPr>
          <w:ilvl w:val="0"/>
          <w:numId w:val="29"/>
        </w:numPr>
        <w:spacing w:after="0"/>
        <w:rPr>
          <w:rFonts w:ascii="Verdana" w:eastAsiaTheme="minorEastAsia" w:hAnsi="Verdana" w:cstheme="minorEastAsia"/>
          <w:sz w:val="24"/>
          <w:szCs w:val="24"/>
        </w:rPr>
      </w:pPr>
      <w:r w:rsidRPr="00781FBD">
        <w:rPr>
          <w:rFonts w:ascii="Verdana" w:eastAsiaTheme="minorEastAsia" w:hAnsi="Verdana"/>
          <w:sz w:val="24"/>
          <w:szCs w:val="24"/>
        </w:rPr>
        <w:t>Web-based interactive digital media (</w:t>
      </w:r>
      <w:r w:rsidR="080C02E3" w:rsidRPr="00781FBD">
        <w:rPr>
          <w:rFonts w:ascii="Verdana" w:eastAsiaTheme="minorEastAsia" w:hAnsi="Verdana"/>
          <w:sz w:val="24"/>
          <w:szCs w:val="24"/>
        </w:rPr>
        <w:t>e.g.</w:t>
      </w:r>
      <w:r w:rsidRPr="00781FBD">
        <w:rPr>
          <w:rFonts w:ascii="Verdana" w:eastAsiaTheme="minorEastAsia" w:hAnsi="Verdana"/>
          <w:sz w:val="24"/>
          <w:szCs w:val="24"/>
        </w:rPr>
        <w:t xml:space="preserve"> virtual tours) $100K</w:t>
      </w:r>
    </w:p>
    <w:p w14:paraId="392DD623" w14:textId="77777777" w:rsidR="005A6436" w:rsidRPr="00781FBD" w:rsidRDefault="005A6436" w:rsidP="00781FBD">
      <w:pPr>
        <w:pStyle w:val="ListNumber"/>
        <w:numPr>
          <w:ilvl w:val="0"/>
          <w:numId w:val="29"/>
        </w:numPr>
        <w:spacing w:after="0"/>
        <w:rPr>
          <w:rFonts w:ascii="Verdana" w:eastAsiaTheme="minorEastAsia" w:hAnsi="Verdana" w:cstheme="minorEastAsia"/>
          <w:sz w:val="24"/>
          <w:szCs w:val="24"/>
        </w:rPr>
      </w:pPr>
      <w:r w:rsidRPr="00781FBD">
        <w:rPr>
          <w:rFonts w:ascii="Verdana" w:eastAsiaTheme="minorEastAsia" w:hAnsi="Verdana"/>
          <w:sz w:val="24"/>
          <w:szCs w:val="24"/>
        </w:rPr>
        <w:t>Community events (e.g. waterway litter blitz) $40K</w:t>
      </w:r>
    </w:p>
    <w:p w14:paraId="2E7CC4A6" w14:textId="59FA44BA" w:rsidR="005A6436" w:rsidRPr="00781FBD" w:rsidRDefault="005A6436" w:rsidP="00781FBD">
      <w:pPr>
        <w:pStyle w:val="ListNumber"/>
        <w:numPr>
          <w:ilvl w:val="0"/>
          <w:numId w:val="29"/>
        </w:numPr>
        <w:spacing w:after="0"/>
        <w:rPr>
          <w:rFonts w:ascii="Verdana" w:hAnsi="Verdana"/>
          <w:sz w:val="24"/>
          <w:szCs w:val="24"/>
        </w:rPr>
      </w:pPr>
      <w:r w:rsidRPr="00781FBD">
        <w:rPr>
          <w:rFonts w:ascii="Verdana" w:eastAsiaTheme="minorEastAsia" w:hAnsi="Verdana"/>
          <w:sz w:val="24"/>
          <w:szCs w:val="24"/>
        </w:rPr>
        <w:t>Targeted social media</w:t>
      </w:r>
      <w:r w:rsidR="19772010" w:rsidRPr="00781FBD">
        <w:rPr>
          <w:rFonts w:ascii="Verdana" w:eastAsiaTheme="minorEastAsia" w:hAnsi="Verdana"/>
          <w:sz w:val="24"/>
          <w:szCs w:val="24"/>
        </w:rPr>
        <w:t xml:space="preserve"> programs</w:t>
      </w:r>
      <w:r w:rsidRPr="00781FBD">
        <w:rPr>
          <w:rFonts w:ascii="Verdana" w:eastAsiaTheme="minorEastAsia" w:hAnsi="Verdana"/>
          <w:sz w:val="24"/>
          <w:szCs w:val="24"/>
        </w:rPr>
        <w:t xml:space="preserve"> $</w:t>
      </w:r>
      <w:r w:rsidR="2A4C9EAC" w:rsidRPr="00781FBD">
        <w:rPr>
          <w:rFonts w:ascii="Verdana" w:eastAsiaTheme="minorEastAsia" w:hAnsi="Verdana"/>
          <w:sz w:val="24"/>
          <w:szCs w:val="24"/>
        </w:rPr>
        <w:t>30K.</w:t>
      </w:r>
    </w:p>
    <w:p w14:paraId="0390D62C" w14:textId="77777777" w:rsidR="005A6436" w:rsidRPr="00781FBD" w:rsidRDefault="005A6436" w:rsidP="00781FBD">
      <w:pPr>
        <w:pStyle w:val="ListNumber"/>
        <w:numPr>
          <w:ilvl w:val="0"/>
          <w:numId w:val="0"/>
        </w:numPr>
        <w:spacing w:after="0"/>
        <w:rPr>
          <w:rFonts w:ascii="Verdana" w:hAnsi="Verdana"/>
          <w:sz w:val="24"/>
          <w:szCs w:val="24"/>
          <w:highlight w:val="cyan"/>
        </w:rPr>
      </w:pPr>
    </w:p>
    <w:p w14:paraId="600B6EA9" w14:textId="64255578" w:rsidR="00736C14" w:rsidRPr="00781FBD" w:rsidRDefault="3A033AF3" w:rsidP="00781FBD">
      <w:pPr>
        <w:pStyle w:val="ListNumber"/>
        <w:numPr>
          <w:ilvl w:val="0"/>
          <w:numId w:val="0"/>
        </w:numPr>
        <w:spacing w:after="0"/>
        <w:rPr>
          <w:rFonts w:ascii="Verdana" w:hAnsi="Verdana"/>
          <w:sz w:val="24"/>
          <w:szCs w:val="24"/>
        </w:rPr>
      </w:pPr>
      <w:r w:rsidRPr="00781FBD">
        <w:rPr>
          <w:rFonts w:ascii="Verdana" w:hAnsi="Verdana"/>
          <w:sz w:val="24"/>
          <w:szCs w:val="24"/>
        </w:rPr>
        <w:t>That uplift will complement and enhance the existing allocation of $</w:t>
      </w:r>
      <w:r w:rsidR="61266D4D" w:rsidRPr="00781FBD">
        <w:rPr>
          <w:rFonts w:ascii="Verdana" w:hAnsi="Verdana"/>
          <w:sz w:val="24"/>
          <w:szCs w:val="24"/>
        </w:rPr>
        <w:t>1</w:t>
      </w:r>
      <w:r w:rsidR="3B29D614" w:rsidRPr="00781FBD">
        <w:rPr>
          <w:rFonts w:ascii="Verdana" w:hAnsi="Verdana"/>
          <w:sz w:val="24"/>
          <w:szCs w:val="24"/>
        </w:rPr>
        <w:t>40</w:t>
      </w:r>
      <w:r w:rsidRPr="00781FBD">
        <w:rPr>
          <w:rFonts w:ascii="Verdana" w:hAnsi="Verdana"/>
          <w:sz w:val="24"/>
          <w:szCs w:val="24"/>
        </w:rPr>
        <w:t>,000 per year delivering Water</w:t>
      </w:r>
      <w:r w:rsidR="00737D6A" w:rsidRPr="00781FBD">
        <w:rPr>
          <w:rFonts w:ascii="Verdana" w:hAnsi="Verdana"/>
          <w:sz w:val="24"/>
          <w:szCs w:val="24"/>
        </w:rPr>
        <w:t>w</w:t>
      </w:r>
      <w:r w:rsidRPr="00781FBD">
        <w:rPr>
          <w:rFonts w:ascii="Verdana" w:hAnsi="Verdana"/>
          <w:sz w:val="24"/>
          <w:szCs w:val="24"/>
        </w:rPr>
        <w:t>atch programs, school education programs, and Melbourne Water representation at community events.</w:t>
      </w:r>
    </w:p>
    <w:p w14:paraId="503240CA" w14:textId="4D8E7244" w:rsidR="0B26FF4E" w:rsidRDefault="0B26FF4E" w:rsidP="0B26FF4E">
      <w:pPr>
        <w:pStyle w:val="ListNumber"/>
        <w:numPr>
          <w:ilvl w:val="0"/>
          <w:numId w:val="0"/>
        </w:numPr>
        <w:rPr>
          <w:rFonts w:ascii="Verdana" w:hAnsi="Verdana"/>
          <w:szCs w:val="18"/>
        </w:rPr>
      </w:pPr>
    </w:p>
    <w:p w14:paraId="31077BEA" w14:textId="1A8B7C04" w:rsidR="002908C2" w:rsidRPr="00781FBD" w:rsidRDefault="00396A76" w:rsidP="0B26FF4E">
      <w:pPr>
        <w:spacing w:before="120" w:after="120" w:line="300" w:lineRule="atLeast"/>
        <w:rPr>
          <w:rFonts w:ascii="Verdana" w:eastAsia="Times New Roman" w:hAnsi="Verdana" w:cs="Times New Roman"/>
          <w:b/>
          <w:bCs/>
          <w:sz w:val="22"/>
        </w:rPr>
      </w:pPr>
      <w:r w:rsidRPr="00781FBD">
        <w:rPr>
          <w:rFonts w:ascii="Verdana" w:eastAsia="Times New Roman" w:hAnsi="Verdana" w:cs="Times New Roman"/>
          <w:b/>
          <w:bCs/>
          <w:sz w:val="22"/>
        </w:rPr>
        <w:t xml:space="preserve">Table </w:t>
      </w:r>
      <w:r w:rsidR="6D7B86DD" w:rsidRPr="00781FBD">
        <w:rPr>
          <w:rFonts w:ascii="Verdana" w:eastAsia="Times New Roman" w:hAnsi="Verdana" w:cs="Times New Roman"/>
          <w:b/>
          <w:bCs/>
          <w:sz w:val="22"/>
        </w:rPr>
        <w:t>3</w:t>
      </w:r>
      <w:r w:rsidR="00D64AAE" w:rsidRPr="00781FBD">
        <w:rPr>
          <w:rFonts w:ascii="Verdana" w:eastAsia="Times New Roman" w:hAnsi="Verdana" w:cs="Times New Roman"/>
          <w:b/>
          <w:bCs/>
          <w:sz w:val="22"/>
        </w:rPr>
        <w:t xml:space="preserve">: </w:t>
      </w:r>
      <w:r w:rsidR="00D64AAE" w:rsidRPr="00781FBD">
        <w:rPr>
          <w:rFonts w:ascii="Verdana" w:eastAsia="Times New Roman" w:hAnsi="Verdana" w:cs="Times New Roman"/>
          <w:bCs/>
          <w:sz w:val="22"/>
        </w:rPr>
        <w:t xml:space="preserve">Objectives of </w:t>
      </w:r>
      <w:r w:rsidR="36BBD39A" w:rsidRPr="00781FBD">
        <w:rPr>
          <w:rFonts w:ascii="Verdana" w:eastAsia="Times New Roman" w:hAnsi="Verdana" w:cs="Times New Roman"/>
          <w:bCs/>
          <w:sz w:val="22"/>
        </w:rPr>
        <w:t xml:space="preserve">new </w:t>
      </w:r>
      <w:r w:rsidR="00D64AAE" w:rsidRPr="00781FBD">
        <w:rPr>
          <w:rFonts w:ascii="Verdana" w:eastAsia="Times New Roman" w:hAnsi="Verdana" w:cs="Times New Roman"/>
          <w:bCs/>
          <w:sz w:val="22"/>
        </w:rPr>
        <w:t>program components</w:t>
      </w:r>
    </w:p>
    <w:tbl>
      <w:tblPr>
        <w:tblW w:w="9630" w:type="dxa"/>
        <w:tblLayout w:type="fixed"/>
        <w:tblLook w:val="04A0" w:firstRow="1" w:lastRow="0" w:firstColumn="1" w:lastColumn="0" w:noHBand="0" w:noVBand="1"/>
      </w:tblPr>
      <w:tblGrid>
        <w:gridCol w:w="2542"/>
        <w:gridCol w:w="2410"/>
        <w:gridCol w:w="4678"/>
      </w:tblGrid>
      <w:tr w:rsidR="0B26FF4E" w:rsidRPr="00781FBD" w14:paraId="5C5408CB" w14:textId="77777777" w:rsidTr="00781FBD">
        <w:tc>
          <w:tcPr>
            <w:tcW w:w="2542" w:type="dxa"/>
            <w:tcBorders>
              <w:top w:val="single" w:sz="8" w:space="0" w:color="A5A5A5" w:themeColor="accent3"/>
              <w:left w:val="single" w:sz="8" w:space="0" w:color="A5A5A5" w:themeColor="accent3"/>
              <w:bottom w:val="single" w:sz="8" w:space="0" w:color="A5A5A5" w:themeColor="accent3"/>
              <w:right w:val="nil"/>
            </w:tcBorders>
            <w:shd w:val="clear" w:color="auto" w:fill="A5A5A5" w:themeFill="accent3"/>
          </w:tcPr>
          <w:p w14:paraId="4E4976DF" w14:textId="4310D2C9" w:rsidR="0B26FF4E" w:rsidRPr="00781FBD" w:rsidRDefault="0B26FF4E">
            <w:pPr>
              <w:rPr>
                <w:sz w:val="22"/>
              </w:rPr>
            </w:pPr>
            <w:r w:rsidRPr="00781FBD">
              <w:rPr>
                <w:rFonts w:ascii="Verdana" w:eastAsia="Verdana" w:hAnsi="Verdana" w:cs="Verdana"/>
                <w:b/>
                <w:bCs/>
                <w:color w:val="FFFFFF" w:themeColor="background1"/>
                <w:sz w:val="22"/>
              </w:rPr>
              <w:t xml:space="preserve">Uplift element </w:t>
            </w:r>
          </w:p>
        </w:tc>
        <w:tc>
          <w:tcPr>
            <w:tcW w:w="2410" w:type="dxa"/>
            <w:tcBorders>
              <w:top w:val="single" w:sz="8" w:space="0" w:color="A5A5A5" w:themeColor="accent3"/>
              <w:left w:val="nil"/>
              <w:bottom w:val="single" w:sz="8" w:space="0" w:color="A5A5A5" w:themeColor="accent3"/>
              <w:right w:val="nil"/>
            </w:tcBorders>
            <w:shd w:val="clear" w:color="auto" w:fill="A5A5A5" w:themeFill="accent3"/>
          </w:tcPr>
          <w:p w14:paraId="64CF4FEB" w14:textId="3EFEE110" w:rsidR="0B26FF4E" w:rsidRPr="00781FBD" w:rsidRDefault="0B26FF4E">
            <w:pPr>
              <w:rPr>
                <w:sz w:val="22"/>
              </w:rPr>
            </w:pPr>
            <w:r w:rsidRPr="00781FBD">
              <w:rPr>
                <w:rFonts w:ascii="Verdana" w:eastAsia="Verdana" w:hAnsi="Verdana" w:cs="Verdana"/>
                <w:b/>
                <w:bCs/>
                <w:color w:val="FFFFFF" w:themeColor="background1"/>
                <w:sz w:val="22"/>
              </w:rPr>
              <w:t xml:space="preserve">Community targets </w:t>
            </w:r>
          </w:p>
        </w:tc>
        <w:tc>
          <w:tcPr>
            <w:tcW w:w="4678" w:type="dxa"/>
            <w:tcBorders>
              <w:top w:val="single" w:sz="8" w:space="0" w:color="A5A5A5" w:themeColor="accent3"/>
              <w:left w:val="nil"/>
              <w:bottom w:val="single" w:sz="8" w:space="0" w:color="A5A5A5" w:themeColor="accent3"/>
              <w:right w:val="single" w:sz="8" w:space="0" w:color="A5A5A5" w:themeColor="accent3"/>
            </w:tcBorders>
            <w:shd w:val="clear" w:color="auto" w:fill="A5A5A5" w:themeFill="accent3"/>
          </w:tcPr>
          <w:p w14:paraId="220FC252" w14:textId="57F740DC" w:rsidR="0B26FF4E" w:rsidRPr="00781FBD" w:rsidRDefault="0B26FF4E">
            <w:pPr>
              <w:rPr>
                <w:sz w:val="22"/>
              </w:rPr>
            </w:pPr>
            <w:r w:rsidRPr="00781FBD">
              <w:rPr>
                <w:rFonts w:ascii="Verdana" w:eastAsia="Verdana" w:hAnsi="Verdana" w:cs="Verdana"/>
                <w:b/>
                <w:bCs/>
                <w:color w:val="FFFFFF" w:themeColor="background1"/>
                <w:sz w:val="22"/>
              </w:rPr>
              <w:t xml:space="preserve">Objectives </w:t>
            </w:r>
          </w:p>
        </w:tc>
      </w:tr>
      <w:tr w:rsidR="0B26FF4E" w:rsidRPr="00781FBD" w14:paraId="4DBC2F37" w14:textId="77777777" w:rsidTr="00781FBD">
        <w:trPr>
          <w:trHeight w:val="2957"/>
        </w:trPr>
        <w:tc>
          <w:tcPr>
            <w:tcW w:w="2542"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EDEDED" w:themeFill="accent3" w:themeFillTint="33"/>
          </w:tcPr>
          <w:p w14:paraId="713250DC" w14:textId="31C16E73" w:rsidR="0B26FF4E" w:rsidRPr="00781FBD" w:rsidRDefault="0B26FF4E">
            <w:pPr>
              <w:rPr>
                <w:sz w:val="20"/>
                <w:szCs w:val="20"/>
              </w:rPr>
            </w:pPr>
            <w:r w:rsidRPr="00781FBD">
              <w:rPr>
                <w:rFonts w:ascii="Verdana" w:eastAsia="Verdana" w:hAnsi="Verdana" w:cs="Verdana"/>
                <w:b/>
                <w:bCs/>
                <w:sz w:val="20"/>
                <w:szCs w:val="20"/>
              </w:rPr>
              <w:t xml:space="preserve">Waterway informational signage and infographics (including on-site interactive digital elements e.g. Use of QR codes and augmented reality) </w:t>
            </w:r>
          </w:p>
        </w:tc>
        <w:tc>
          <w:tcPr>
            <w:tcW w:w="2410"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EDEDED" w:themeFill="accent3" w:themeFillTint="33"/>
          </w:tcPr>
          <w:p w14:paraId="6F739520" w14:textId="79681E76" w:rsidR="0B26FF4E" w:rsidRPr="00781FBD" w:rsidRDefault="0B26FF4E">
            <w:pPr>
              <w:rPr>
                <w:sz w:val="20"/>
                <w:szCs w:val="20"/>
              </w:rPr>
            </w:pPr>
            <w:r w:rsidRPr="00781FBD">
              <w:rPr>
                <w:rFonts w:ascii="Verdana" w:eastAsia="Verdana" w:hAnsi="Verdana" w:cs="Verdana"/>
                <w:sz w:val="20"/>
                <w:szCs w:val="20"/>
              </w:rPr>
              <w:t xml:space="preserve">General community </w:t>
            </w:r>
          </w:p>
          <w:p w14:paraId="6EE8B826" w14:textId="7A079EA0" w:rsidR="0B26FF4E" w:rsidRPr="00781FBD" w:rsidRDefault="0B26FF4E">
            <w:pPr>
              <w:rPr>
                <w:sz w:val="20"/>
                <w:szCs w:val="20"/>
              </w:rPr>
            </w:pPr>
            <w:r w:rsidRPr="00781FBD">
              <w:rPr>
                <w:rFonts w:ascii="Verdana" w:eastAsia="Verdana" w:hAnsi="Verdana" w:cs="Verdana"/>
                <w:sz w:val="20"/>
                <w:szCs w:val="20"/>
              </w:rPr>
              <w:t xml:space="preserve">Engaged community (environmental groups such as ‘Friends of Groups’) </w:t>
            </w:r>
          </w:p>
        </w:tc>
        <w:tc>
          <w:tcPr>
            <w:tcW w:w="4678" w:type="dxa"/>
            <w:tcBorders>
              <w:top w:val="single" w:sz="8" w:space="0" w:color="A5A5A5" w:themeColor="accent3"/>
              <w:left w:val="single" w:sz="8" w:space="0" w:color="C9C9C9" w:themeColor="accent3" w:themeTint="99"/>
              <w:bottom w:val="single" w:sz="8" w:space="0" w:color="C9C9C9" w:themeColor="accent3" w:themeTint="99"/>
              <w:right w:val="single" w:sz="8" w:space="0" w:color="C9C9C9" w:themeColor="accent3" w:themeTint="99"/>
            </w:tcBorders>
            <w:shd w:val="clear" w:color="auto" w:fill="EDEDED" w:themeFill="accent3" w:themeFillTint="33"/>
          </w:tcPr>
          <w:p w14:paraId="733C0FD4" w14:textId="46E2085F" w:rsidR="0B26FF4E" w:rsidRPr="00781FBD" w:rsidRDefault="0B26FF4E">
            <w:pPr>
              <w:rPr>
                <w:sz w:val="20"/>
                <w:szCs w:val="20"/>
              </w:rPr>
            </w:pPr>
            <w:r w:rsidRPr="00781FBD">
              <w:rPr>
                <w:rFonts w:ascii="Verdana" w:eastAsia="Verdana" w:hAnsi="Verdana" w:cs="Verdana"/>
                <w:sz w:val="20"/>
                <w:szCs w:val="20"/>
              </w:rPr>
              <w:t xml:space="preserve">Enhanced understanding and knowledge of waterways and values, underpinning positive behaviour change such as reduced littering and household pollution and participation in conservation actions. </w:t>
            </w:r>
          </w:p>
          <w:p w14:paraId="17BEBFDF" w14:textId="303FD4A9" w:rsidR="0B26FF4E" w:rsidRPr="00781FBD" w:rsidRDefault="0B26FF4E">
            <w:pPr>
              <w:rPr>
                <w:sz w:val="20"/>
                <w:szCs w:val="20"/>
              </w:rPr>
            </w:pPr>
            <w:r w:rsidRPr="00781FBD">
              <w:rPr>
                <w:rFonts w:ascii="Verdana" w:eastAsia="Verdana" w:hAnsi="Verdana" w:cs="Verdana"/>
                <w:sz w:val="20"/>
                <w:szCs w:val="20"/>
              </w:rPr>
              <w:t xml:space="preserve">Provided where people are, engaging with locally relevant and targeted information.  </w:t>
            </w:r>
          </w:p>
        </w:tc>
      </w:tr>
      <w:tr w:rsidR="0B26FF4E" w:rsidRPr="00781FBD" w14:paraId="04B21488" w14:textId="77777777" w:rsidTr="00781FBD">
        <w:tc>
          <w:tcPr>
            <w:tcW w:w="254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3787928F" w14:textId="728032FC" w:rsidR="0B26FF4E" w:rsidRPr="00781FBD" w:rsidRDefault="0B26FF4E">
            <w:pPr>
              <w:rPr>
                <w:sz w:val="20"/>
                <w:szCs w:val="20"/>
              </w:rPr>
            </w:pPr>
            <w:r w:rsidRPr="00781FBD">
              <w:rPr>
                <w:rFonts w:ascii="Verdana" w:eastAsia="Verdana" w:hAnsi="Verdana" w:cs="Verdana"/>
                <w:b/>
                <w:bCs/>
                <w:sz w:val="20"/>
                <w:szCs w:val="20"/>
              </w:rPr>
              <w:t xml:space="preserve">Web-based interactive digital media (e.g., virtual tours) </w:t>
            </w:r>
          </w:p>
        </w:tc>
        <w:tc>
          <w:tcPr>
            <w:tcW w:w="2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478A6C08" w14:textId="32882765" w:rsidR="0B26FF4E" w:rsidRPr="00781FBD" w:rsidRDefault="0B26FF4E">
            <w:pPr>
              <w:rPr>
                <w:sz w:val="20"/>
                <w:szCs w:val="20"/>
              </w:rPr>
            </w:pPr>
            <w:r w:rsidRPr="00781FBD">
              <w:rPr>
                <w:rFonts w:ascii="Verdana" w:eastAsia="Verdana" w:hAnsi="Verdana" w:cs="Verdana"/>
                <w:sz w:val="20"/>
                <w:szCs w:val="20"/>
              </w:rPr>
              <w:t xml:space="preserve">General community, Engaged community (environmental groups such as ‘Friends of Groups’), teachers and students. </w:t>
            </w:r>
          </w:p>
        </w:tc>
        <w:tc>
          <w:tcPr>
            <w:tcW w:w="4678"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6359C3F1" w14:textId="14AE875F" w:rsidR="0B26FF4E" w:rsidRPr="00781FBD" w:rsidRDefault="0B26FF4E">
            <w:pPr>
              <w:rPr>
                <w:sz w:val="20"/>
                <w:szCs w:val="20"/>
              </w:rPr>
            </w:pPr>
            <w:r w:rsidRPr="00781FBD">
              <w:rPr>
                <w:rFonts w:ascii="Verdana" w:eastAsia="Verdana" w:hAnsi="Verdana" w:cs="Verdana"/>
                <w:sz w:val="20"/>
                <w:szCs w:val="20"/>
              </w:rPr>
              <w:t xml:space="preserve">Enhanced understanding and knowledge of waterways and values, presenting key opportunity for active contribution to management outcomes and advocacy for waterways through “in the moment” direction to programs and data. </w:t>
            </w:r>
          </w:p>
          <w:p w14:paraId="4FA73453" w14:textId="0B83C9D7" w:rsidR="0B26FF4E" w:rsidRPr="00781FBD" w:rsidRDefault="0B26FF4E">
            <w:pPr>
              <w:rPr>
                <w:sz w:val="20"/>
                <w:szCs w:val="20"/>
              </w:rPr>
            </w:pPr>
            <w:r w:rsidRPr="00781FBD">
              <w:rPr>
                <w:rFonts w:ascii="Verdana" w:eastAsia="Verdana" w:hAnsi="Verdana" w:cs="Verdana"/>
                <w:sz w:val="20"/>
                <w:szCs w:val="20"/>
              </w:rPr>
              <w:t xml:space="preserve">Accessible for community members from other locations such as home or classrooms. </w:t>
            </w:r>
          </w:p>
        </w:tc>
      </w:tr>
      <w:tr w:rsidR="0B26FF4E" w:rsidRPr="00781FBD" w14:paraId="33B4A4F6" w14:textId="77777777" w:rsidTr="00781FBD">
        <w:tc>
          <w:tcPr>
            <w:tcW w:w="254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EDEDED" w:themeFill="accent3" w:themeFillTint="33"/>
          </w:tcPr>
          <w:p w14:paraId="4120ED10" w14:textId="2434FB60" w:rsidR="0B26FF4E" w:rsidRPr="00781FBD" w:rsidRDefault="0B26FF4E">
            <w:pPr>
              <w:rPr>
                <w:sz w:val="20"/>
                <w:szCs w:val="20"/>
              </w:rPr>
            </w:pPr>
            <w:r w:rsidRPr="00781FBD">
              <w:rPr>
                <w:rFonts w:ascii="Verdana" w:eastAsia="Verdana" w:hAnsi="Verdana" w:cs="Verdana"/>
                <w:b/>
                <w:bCs/>
                <w:sz w:val="20"/>
                <w:szCs w:val="20"/>
              </w:rPr>
              <w:t xml:space="preserve">Community events (e.g., waterway litter blitz) </w:t>
            </w:r>
          </w:p>
        </w:tc>
        <w:tc>
          <w:tcPr>
            <w:tcW w:w="2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EDEDED" w:themeFill="accent3" w:themeFillTint="33"/>
          </w:tcPr>
          <w:p w14:paraId="3BA0710D" w14:textId="539A6453" w:rsidR="0B26FF4E" w:rsidRPr="00781FBD" w:rsidRDefault="0B26FF4E">
            <w:pPr>
              <w:rPr>
                <w:sz w:val="20"/>
                <w:szCs w:val="20"/>
              </w:rPr>
            </w:pPr>
            <w:r w:rsidRPr="00781FBD">
              <w:rPr>
                <w:rFonts w:ascii="Verdana" w:eastAsia="Verdana" w:hAnsi="Verdana" w:cs="Verdana"/>
                <w:sz w:val="20"/>
                <w:szCs w:val="20"/>
              </w:rPr>
              <w:t xml:space="preserve">General community </w:t>
            </w:r>
          </w:p>
        </w:tc>
        <w:tc>
          <w:tcPr>
            <w:tcW w:w="4678"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shd w:val="clear" w:color="auto" w:fill="EDEDED" w:themeFill="accent3" w:themeFillTint="33"/>
          </w:tcPr>
          <w:p w14:paraId="35F46EE2" w14:textId="0B7281A2" w:rsidR="0B26FF4E" w:rsidRPr="00781FBD" w:rsidRDefault="0B26FF4E">
            <w:pPr>
              <w:rPr>
                <w:sz w:val="20"/>
                <w:szCs w:val="20"/>
              </w:rPr>
            </w:pPr>
            <w:r w:rsidRPr="00781FBD">
              <w:rPr>
                <w:rFonts w:ascii="Verdana" w:eastAsia="Verdana" w:hAnsi="Verdana" w:cs="Verdana"/>
                <w:sz w:val="20"/>
                <w:szCs w:val="20"/>
              </w:rPr>
              <w:t xml:space="preserve">Enhanced knowledge of waterways and values, active contribution to improvements in on-ground waterway conditions and longer-term advocacy for waterways. </w:t>
            </w:r>
          </w:p>
          <w:p w14:paraId="36DA5AEE" w14:textId="06E804C9" w:rsidR="0B26FF4E" w:rsidRPr="00781FBD" w:rsidRDefault="0B26FF4E">
            <w:pPr>
              <w:rPr>
                <w:sz w:val="20"/>
                <w:szCs w:val="20"/>
              </w:rPr>
            </w:pPr>
            <w:r w:rsidRPr="00781FBD">
              <w:rPr>
                <w:rFonts w:ascii="Verdana" w:eastAsia="Verdana" w:hAnsi="Verdana" w:cs="Verdana"/>
                <w:sz w:val="20"/>
                <w:szCs w:val="20"/>
              </w:rPr>
              <w:lastRenderedPageBreak/>
              <w:t xml:space="preserve">Locally targeted projects enabling participation by a diversity of community groups and individuals.  </w:t>
            </w:r>
          </w:p>
        </w:tc>
      </w:tr>
      <w:tr w:rsidR="0B26FF4E" w:rsidRPr="00781FBD" w14:paraId="41AE28ED" w14:textId="77777777" w:rsidTr="00781FBD">
        <w:tc>
          <w:tcPr>
            <w:tcW w:w="2542"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54FF1060" w14:textId="09A3B885" w:rsidR="0B26FF4E" w:rsidRPr="00781FBD" w:rsidRDefault="0B26FF4E">
            <w:pPr>
              <w:rPr>
                <w:sz w:val="20"/>
                <w:szCs w:val="20"/>
              </w:rPr>
            </w:pPr>
            <w:r w:rsidRPr="00781FBD">
              <w:rPr>
                <w:rFonts w:ascii="Verdana" w:eastAsia="Verdana" w:hAnsi="Verdana" w:cs="Verdana"/>
                <w:b/>
                <w:bCs/>
                <w:sz w:val="20"/>
                <w:szCs w:val="20"/>
              </w:rPr>
              <w:lastRenderedPageBreak/>
              <w:t xml:space="preserve">Targeted social media programs </w:t>
            </w:r>
          </w:p>
        </w:tc>
        <w:tc>
          <w:tcPr>
            <w:tcW w:w="2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5958D588" w14:textId="3E8C090F" w:rsidR="0B26FF4E" w:rsidRPr="00781FBD" w:rsidRDefault="0B26FF4E">
            <w:pPr>
              <w:rPr>
                <w:sz w:val="20"/>
                <w:szCs w:val="20"/>
              </w:rPr>
            </w:pPr>
            <w:r w:rsidRPr="00781FBD">
              <w:rPr>
                <w:rFonts w:ascii="Verdana" w:eastAsia="Verdana" w:hAnsi="Verdana" w:cs="Verdana"/>
                <w:sz w:val="20"/>
                <w:szCs w:val="20"/>
              </w:rPr>
              <w:t xml:space="preserve">General community, Engaged community (environmental groups such as ‘Friends of Groups’), </w:t>
            </w:r>
          </w:p>
        </w:tc>
        <w:tc>
          <w:tcPr>
            <w:tcW w:w="4678"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4E6673F1" w14:textId="08FE819F" w:rsidR="0B26FF4E" w:rsidRPr="00781FBD" w:rsidRDefault="0B26FF4E">
            <w:pPr>
              <w:rPr>
                <w:sz w:val="20"/>
                <w:szCs w:val="20"/>
              </w:rPr>
            </w:pPr>
            <w:r w:rsidRPr="00781FBD">
              <w:rPr>
                <w:rFonts w:ascii="Verdana" w:eastAsia="Verdana" w:hAnsi="Verdana" w:cs="Verdana"/>
                <w:sz w:val="20"/>
                <w:szCs w:val="20"/>
              </w:rPr>
              <w:t xml:space="preserve">Enhanced understanding and knowledge of waterways and values, underpinning positive behaviour change such as reduced littering and household pollution and participation in conservation actions.  </w:t>
            </w:r>
          </w:p>
          <w:p w14:paraId="1115F960" w14:textId="01ACF600" w:rsidR="0B26FF4E" w:rsidRPr="00781FBD" w:rsidRDefault="0B26FF4E">
            <w:pPr>
              <w:rPr>
                <w:sz w:val="20"/>
                <w:szCs w:val="20"/>
              </w:rPr>
            </w:pPr>
            <w:r w:rsidRPr="00781FBD">
              <w:rPr>
                <w:rFonts w:ascii="Verdana" w:eastAsia="Verdana" w:hAnsi="Verdana" w:cs="Verdana"/>
                <w:sz w:val="20"/>
                <w:szCs w:val="20"/>
              </w:rPr>
              <w:t xml:space="preserve">Also presenting key opportunity for active contribution to management outcomes and advocacy for waterways through “in the moment” direction to programs and data. </w:t>
            </w:r>
          </w:p>
          <w:p w14:paraId="12086F2C" w14:textId="365820B4" w:rsidR="0B26FF4E" w:rsidRPr="00781FBD" w:rsidRDefault="0B26FF4E">
            <w:pPr>
              <w:rPr>
                <w:sz w:val="20"/>
                <w:szCs w:val="20"/>
              </w:rPr>
            </w:pPr>
            <w:r w:rsidRPr="00781FBD">
              <w:rPr>
                <w:rFonts w:ascii="Verdana" w:eastAsia="Verdana" w:hAnsi="Verdana" w:cs="Verdana"/>
                <w:sz w:val="20"/>
                <w:szCs w:val="20"/>
              </w:rPr>
              <w:t>Creates easy access to shareable content and engagement from anywhere people are. Also enables targeting of harder-to-reach groups.</w:t>
            </w:r>
          </w:p>
        </w:tc>
      </w:tr>
    </w:tbl>
    <w:p w14:paraId="5EC4DC96" w14:textId="5F859FAE" w:rsidR="0B26FF4E" w:rsidRDefault="0B26FF4E" w:rsidP="0B26FF4E">
      <w:pPr>
        <w:spacing w:before="120" w:after="120" w:line="300" w:lineRule="atLeast"/>
        <w:rPr>
          <w:rFonts w:ascii="Verdana" w:eastAsia="Times New Roman" w:hAnsi="Verdana" w:cs="Times New Roman"/>
          <w:b/>
          <w:bCs/>
          <w:szCs w:val="18"/>
        </w:rPr>
      </w:pPr>
    </w:p>
    <w:p w14:paraId="6B5F98F6" w14:textId="77777777" w:rsidR="002908C2" w:rsidRPr="00781FBD" w:rsidRDefault="00432A4C" w:rsidP="002908C2">
      <w:pPr>
        <w:spacing w:before="120" w:after="120" w:line="300" w:lineRule="atLeast"/>
        <w:rPr>
          <w:rFonts w:ascii="Verdana" w:eastAsia="Times New Roman" w:hAnsi="Verdana" w:cs="Times New Roman"/>
          <w:b/>
          <w:bCs/>
          <w:color w:val="2F5496" w:themeColor="accent5" w:themeShade="BF"/>
          <w:sz w:val="28"/>
          <w:szCs w:val="28"/>
        </w:rPr>
      </w:pPr>
      <w:r w:rsidRPr="00781FBD">
        <w:rPr>
          <w:rFonts w:ascii="Verdana" w:eastAsia="Times New Roman" w:hAnsi="Verdana" w:cs="Times New Roman"/>
          <w:b/>
          <w:bCs/>
          <w:color w:val="2F5496" w:themeColor="accent5" w:themeShade="BF"/>
          <w:sz w:val="28"/>
          <w:szCs w:val="28"/>
        </w:rPr>
        <w:t>Options identification and assessment</w:t>
      </w:r>
    </w:p>
    <w:p w14:paraId="66C1387C" w14:textId="1DA5D18D" w:rsidR="00567DE9" w:rsidRPr="00781FBD" w:rsidRDefault="00B52B7D" w:rsidP="005A6436">
      <w:pPr>
        <w:rPr>
          <w:rFonts w:ascii="Verdana" w:hAnsi="Verdana"/>
          <w:sz w:val="24"/>
          <w:szCs w:val="24"/>
        </w:rPr>
      </w:pPr>
      <w:r w:rsidRPr="00781FBD">
        <w:rPr>
          <w:rFonts w:ascii="Verdana" w:hAnsi="Verdana"/>
          <w:sz w:val="24"/>
          <w:szCs w:val="24"/>
        </w:rPr>
        <w:t>Four different levels of overall investment</w:t>
      </w:r>
      <w:r w:rsidR="5E562B27" w:rsidRPr="00781FBD">
        <w:rPr>
          <w:rFonts w:ascii="Verdana" w:hAnsi="Verdana"/>
          <w:sz w:val="24"/>
          <w:szCs w:val="24"/>
        </w:rPr>
        <w:t xml:space="preserve"> (detailed in </w:t>
      </w:r>
      <w:r w:rsidR="732696AB" w:rsidRPr="00781FBD">
        <w:rPr>
          <w:rFonts w:ascii="Verdana" w:hAnsi="Verdana"/>
          <w:sz w:val="24"/>
          <w:szCs w:val="24"/>
        </w:rPr>
        <w:t>T</w:t>
      </w:r>
      <w:r w:rsidR="5E562B27" w:rsidRPr="00781FBD">
        <w:rPr>
          <w:rFonts w:ascii="Verdana" w:hAnsi="Verdana"/>
          <w:sz w:val="24"/>
          <w:szCs w:val="24"/>
        </w:rPr>
        <w:t xml:space="preserve">able </w:t>
      </w:r>
      <w:r w:rsidR="77DFB1DE" w:rsidRPr="00781FBD">
        <w:rPr>
          <w:rFonts w:ascii="Verdana" w:hAnsi="Verdana"/>
          <w:sz w:val="24"/>
          <w:szCs w:val="24"/>
        </w:rPr>
        <w:t>4</w:t>
      </w:r>
      <w:r w:rsidR="5E562B27" w:rsidRPr="00781FBD">
        <w:rPr>
          <w:rFonts w:ascii="Verdana" w:hAnsi="Verdana"/>
          <w:sz w:val="24"/>
          <w:szCs w:val="24"/>
        </w:rPr>
        <w:t xml:space="preserve">) </w:t>
      </w:r>
      <w:r w:rsidRPr="00781FBD">
        <w:rPr>
          <w:rFonts w:ascii="Verdana" w:hAnsi="Verdana"/>
          <w:sz w:val="24"/>
          <w:szCs w:val="24"/>
        </w:rPr>
        <w:t>were considered in the development of this program</w:t>
      </w:r>
      <w:r w:rsidR="00567DE9" w:rsidRPr="00781FBD">
        <w:rPr>
          <w:rFonts w:ascii="Verdana" w:hAnsi="Verdana"/>
          <w:sz w:val="24"/>
          <w:szCs w:val="24"/>
        </w:rPr>
        <w:t>:</w:t>
      </w:r>
    </w:p>
    <w:p w14:paraId="2463EFB0" w14:textId="56559442" w:rsidR="00567DE9" w:rsidRPr="00781FBD" w:rsidRDefault="2B132886" w:rsidP="0B26FF4E">
      <w:pPr>
        <w:pStyle w:val="ListParagraph"/>
        <w:numPr>
          <w:ilvl w:val="1"/>
          <w:numId w:val="37"/>
        </w:numPr>
        <w:rPr>
          <w:rFonts w:ascii="Verdana" w:hAnsi="Verdana"/>
          <w:sz w:val="24"/>
          <w:szCs w:val="24"/>
        </w:rPr>
      </w:pPr>
      <w:r w:rsidRPr="00781FBD">
        <w:rPr>
          <w:rFonts w:ascii="Verdana" w:hAnsi="Verdana"/>
          <w:sz w:val="24"/>
          <w:szCs w:val="24"/>
        </w:rPr>
        <w:t>reducing the current program expenditure</w:t>
      </w:r>
    </w:p>
    <w:p w14:paraId="42C104E2" w14:textId="784AB910" w:rsidR="00567DE9" w:rsidRPr="00781FBD" w:rsidRDefault="0009525F" w:rsidP="0B26FF4E">
      <w:pPr>
        <w:pStyle w:val="ListParagraph"/>
        <w:numPr>
          <w:ilvl w:val="1"/>
          <w:numId w:val="37"/>
        </w:numPr>
        <w:rPr>
          <w:rFonts w:ascii="Verdana" w:hAnsi="Verdana"/>
          <w:sz w:val="24"/>
          <w:szCs w:val="24"/>
        </w:rPr>
      </w:pPr>
      <w:r w:rsidRPr="00781FBD">
        <w:rPr>
          <w:rFonts w:ascii="Verdana" w:hAnsi="Verdana"/>
          <w:sz w:val="24"/>
          <w:szCs w:val="24"/>
        </w:rPr>
        <w:t>maintaining the level of current investment</w:t>
      </w:r>
    </w:p>
    <w:p w14:paraId="365432EE" w14:textId="624D886A" w:rsidR="0009525F" w:rsidRPr="00781FBD" w:rsidRDefault="0009525F" w:rsidP="0B26FF4E">
      <w:pPr>
        <w:pStyle w:val="ListParagraph"/>
        <w:numPr>
          <w:ilvl w:val="1"/>
          <w:numId w:val="37"/>
        </w:numPr>
        <w:rPr>
          <w:rFonts w:eastAsiaTheme="minorEastAsia"/>
          <w:sz w:val="24"/>
          <w:szCs w:val="24"/>
        </w:rPr>
      </w:pPr>
      <w:r w:rsidRPr="00781FBD">
        <w:rPr>
          <w:rFonts w:ascii="Verdana" w:hAnsi="Verdana"/>
          <w:sz w:val="24"/>
          <w:szCs w:val="24"/>
        </w:rPr>
        <w:t>a m</w:t>
      </w:r>
      <w:r w:rsidR="571FA932" w:rsidRPr="00781FBD">
        <w:rPr>
          <w:rFonts w:ascii="Verdana" w:hAnsi="Verdana"/>
          <w:sz w:val="24"/>
          <w:szCs w:val="24"/>
        </w:rPr>
        <w:t xml:space="preserve">oderate </w:t>
      </w:r>
      <w:r w:rsidRPr="00781FBD">
        <w:rPr>
          <w:rFonts w:ascii="Verdana" w:hAnsi="Verdana"/>
          <w:sz w:val="24"/>
          <w:szCs w:val="24"/>
        </w:rPr>
        <w:t>uplift in existing investmen</w:t>
      </w:r>
      <w:r w:rsidR="7C3526CF" w:rsidRPr="00781FBD">
        <w:rPr>
          <w:rFonts w:ascii="Verdana" w:hAnsi="Verdana"/>
          <w:sz w:val="24"/>
          <w:szCs w:val="24"/>
        </w:rPr>
        <w:t>t</w:t>
      </w:r>
    </w:p>
    <w:p w14:paraId="17B8352F" w14:textId="21236051" w:rsidR="0009525F" w:rsidRPr="00781FBD" w:rsidRDefault="3C3D5388" w:rsidP="0B26FF4E">
      <w:pPr>
        <w:pStyle w:val="ListParagraph"/>
        <w:numPr>
          <w:ilvl w:val="1"/>
          <w:numId w:val="37"/>
        </w:numPr>
        <w:rPr>
          <w:sz w:val="24"/>
          <w:szCs w:val="24"/>
        </w:rPr>
      </w:pPr>
      <w:r w:rsidRPr="00781FBD">
        <w:rPr>
          <w:rFonts w:ascii="Verdana" w:hAnsi="Verdana"/>
          <w:sz w:val="24"/>
          <w:szCs w:val="24"/>
        </w:rPr>
        <w:t>a</w:t>
      </w:r>
      <w:r w:rsidR="0009525F" w:rsidRPr="00781FBD">
        <w:rPr>
          <w:rFonts w:ascii="Verdana" w:hAnsi="Verdana"/>
          <w:sz w:val="24"/>
          <w:szCs w:val="24"/>
        </w:rPr>
        <w:t xml:space="preserve"> major uplift in existing investment</w:t>
      </w:r>
    </w:p>
    <w:p w14:paraId="2840E2A8" w14:textId="64FB3F4B" w:rsidR="0009525F" w:rsidRPr="00781FBD" w:rsidRDefault="0009525F" w:rsidP="0B26FF4E">
      <w:pPr>
        <w:rPr>
          <w:rFonts w:ascii="Verdana" w:hAnsi="Verdana"/>
          <w:sz w:val="24"/>
          <w:szCs w:val="24"/>
        </w:rPr>
      </w:pPr>
      <w:r w:rsidRPr="00781FBD">
        <w:rPr>
          <w:rFonts w:ascii="Verdana" w:hAnsi="Verdana"/>
          <w:sz w:val="24"/>
          <w:szCs w:val="24"/>
        </w:rPr>
        <w:t xml:space="preserve">The base level </w:t>
      </w:r>
      <w:r w:rsidR="707F33AB" w:rsidRPr="00781FBD">
        <w:rPr>
          <w:rFonts w:ascii="Verdana" w:hAnsi="Verdana"/>
          <w:sz w:val="24"/>
          <w:szCs w:val="24"/>
        </w:rPr>
        <w:t>reflected a slight reduction in education</w:t>
      </w:r>
      <w:r w:rsidRPr="00781FBD">
        <w:rPr>
          <w:rFonts w:ascii="Verdana" w:hAnsi="Verdana"/>
          <w:sz w:val="24"/>
          <w:szCs w:val="24"/>
        </w:rPr>
        <w:t xml:space="preserve"> investment, </w:t>
      </w:r>
      <w:r w:rsidR="2A134876" w:rsidRPr="00781FBD">
        <w:rPr>
          <w:rFonts w:ascii="Verdana" w:hAnsi="Verdana"/>
          <w:sz w:val="24"/>
          <w:szCs w:val="24"/>
        </w:rPr>
        <w:t>to</w:t>
      </w:r>
      <w:r w:rsidRPr="00781FBD">
        <w:rPr>
          <w:rFonts w:ascii="Verdana" w:hAnsi="Verdana"/>
          <w:sz w:val="24"/>
          <w:szCs w:val="24"/>
        </w:rPr>
        <w:t xml:space="preserve"> meet minimum obligations regarding </w:t>
      </w:r>
      <w:r w:rsidR="43EC9CAD" w:rsidRPr="00781FBD">
        <w:rPr>
          <w:rFonts w:ascii="Verdana" w:hAnsi="Verdana"/>
          <w:sz w:val="24"/>
          <w:szCs w:val="24"/>
        </w:rPr>
        <w:t>school's</w:t>
      </w:r>
      <w:r w:rsidRPr="00781FBD">
        <w:rPr>
          <w:rFonts w:ascii="Verdana" w:hAnsi="Verdana"/>
          <w:sz w:val="24"/>
          <w:szCs w:val="24"/>
        </w:rPr>
        <w:t xml:space="preserve"> education and </w:t>
      </w:r>
      <w:r w:rsidR="23495AC1" w:rsidRPr="00781FBD">
        <w:rPr>
          <w:rFonts w:ascii="Verdana" w:hAnsi="Verdana"/>
          <w:sz w:val="24"/>
          <w:szCs w:val="24"/>
        </w:rPr>
        <w:t xml:space="preserve">maintain our </w:t>
      </w:r>
      <w:r w:rsidRPr="00781FBD">
        <w:rPr>
          <w:rFonts w:ascii="Verdana" w:hAnsi="Verdana"/>
          <w:sz w:val="24"/>
          <w:szCs w:val="24"/>
        </w:rPr>
        <w:t>community engagement programs</w:t>
      </w:r>
      <w:r w:rsidR="6B0B9813" w:rsidRPr="00781FBD">
        <w:rPr>
          <w:rFonts w:ascii="Verdana" w:hAnsi="Verdana"/>
          <w:sz w:val="24"/>
          <w:szCs w:val="24"/>
        </w:rPr>
        <w:t xml:space="preserve"> but resulting in a negative impact on waterway health outcomes from citizen data collection and negative impact on Melbourne Water’s reputation in the community</w:t>
      </w:r>
      <w:r w:rsidRPr="00781FBD">
        <w:rPr>
          <w:rFonts w:ascii="Verdana" w:hAnsi="Verdana"/>
          <w:sz w:val="24"/>
          <w:szCs w:val="24"/>
        </w:rPr>
        <w:t xml:space="preserve">. </w:t>
      </w:r>
    </w:p>
    <w:p w14:paraId="243EBA53" w14:textId="765EC051" w:rsidR="00B52B7D" w:rsidRPr="00781FBD" w:rsidRDefault="317746C9" w:rsidP="37C25321">
      <w:pPr>
        <w:rPr>
          <w:rFonts w:ascii="Verdana" w:hAnsi="Verdana"/>
          <w:sz w:val="24"/>
          <w:szCs w:val="24"/>
        </w:rPr>
      </w:pPr>
      <w:r w:rsidRPr="00781FBD">
        <w:rPr>
          <w:rFonts w:ascii="Verdana" w:hAnsi="Verdana"/>
          <w:sz w:val="24"/>
          <w:szCs w:val="24"/>
        </w:rPr>
        <w:t xml:space="preserve">Option 3 (moderate increase) is the level of investment proposed for this allocation. That proposal considers: </w:t>
      </w:r>
    </w:p>
    <w:p w14:paraId="6D08EB53" w14:textId="78154039" w:rsidR="00B52B7D" w:rsidRPr="00781FBD" w:rsidRDefault="317746C9" w:rsidP="17C1B9B8">
      <w:pPr>
        <w:pStyle w:val="ListParagraph"/>
        <w:numPr>
          <w:ilvl w:val="0"/>
          <w:numId w:val="7"/>
        </w:numPr>
        <w:rPr>
          <w:rFonts w:eastAsiaTheme="minorEastAsia"/>
          <w:sz w:val="24"/>
          <w:szCs w:val="24"/>
        </w:rPr>
      </w:pPr>
      <w:r w:rsidRPr="00781FBD">
        <w:rPr>
          <w:rFonts w:ascii="Verdana" w:hAnsi="Verdana"/>
          <w:sz w:val="24"/>
          <w:szCs w:val="24"/>
        </w:rPr>
        <w:t xml:space="preserve">Preference from the community to increase investment in community involvement, consistent across qualitative feedback from focus groups and Customer Council and quantitative research through the </w:t>
      </w:r>
      <w:r w:rsidR="38D0D7F9" w:rsidRPr="00781FBD">
        <w:rPr>
          <w:rFonts w:ascii="Verdana" w:hAnsi="Verdana"/>
          <w:sz w:val="24"/>
          <w:szCs w:val="24"/>
        </w:rPr>
        <w:t>willingness-to-pay study;</w:t>
      </w:r>
      <w:r w:rsidR="46D604B4" w:rsidRPr="00781FBD">
        <w:rPr>
          <w:rFonts w:ascii="Verdana" w:hAnsi="Verdana"/>
          <w:sz w:val="24"/>
          <w:szCs w:val="24"/>
        </w:rPr>
        <w:t xml:space="preserve"> </w:t>
      </w:r>
    </w:p>
    <w:p w14:paraId="14A5EAD9" w14:textId="5768B6EA" w:rsidR="00B52B7D" w:rsidRPr="00781FBD" w:rsidRDefault="38D0D7F9" w:rsidP="17C1B9B8">
      <w:pPr>
        <w:pStyle w:val="ListParagraph"/>
        <w:numPr>
          <w:ilvl w:val="0"/>
          <w:numId w:val="7"/>
        </w:numPr>
        <w:rPr>
          <w:rFonts w:eastAsiaTheme="minorEastAsia"/>
          <w:sz w:val="24"/>
          <w:szCs w:val="24"/>
        </w:rPr>
      </w:pPr>
      <w:r w:rsidRPr="00781FBD">
        <w:rPr>
          <w:rFonts w:ascii="Verdana" w:hAnsi="Verdana"/>
          <w:sz w:val="24"/>
          <w:szCs w:val="24"/>
        </w:rPr>
        <w:t>Academic literature supporting the individual and public health benefits of greater interactions with natural and blue-green spaces</w:t>
      </w:r>
      <w:r w:rsidR="044BFD8E" w:rsidRPr="00781FBD">
        <w:rPr>
          <w:rFonts w:ascii="Verdana" w:hAnsi="Verdana"/>
          <w:sz w:val="24"/>
          <w:szCs w:val="24"/>
        </w:rPr>
        <w:t xml:space="preserve"> (see Program Benefits section below for detail)</w:t>
      </w:r>
      <w:r w:rsidRPr="00781FBD">
        <w:rPr>
          <w:rFonts w:ascii="Verdana" w:hAnsi="Verdana"/>
          <w:sz w:val="24"/>
          <w:szCs w:val="24"/>
        </w:rPr>
        <w:t>;</w:t>
      </w:r>
      <w:r w:rsidR="04B08C0F" w:rsidRPr="00781FBD">
        <w:rPr>
          <w:rFonts w:ascii="Verdana" w:hAnsi="Verdana"/>
          <w:sz w:val="24"/>
          <w:szCs w:val="24"/>
        </w:rPr>
        <w:t xml:space="preserve"> </w:t>
      </w:r>
    </w:p>
    <w:p w14:paraId="01948BB3" w14:textId="3CEC4B55" w:rsidR="00B52B7D" w:rsidRPr="00781FBD" w:rsidRDefault="38D0D7F9" w:rsidP="17C1B9B8">
      <w:pPr>
        <w:pStyle w:val="ListParagraph"/>
        <w:numPr>
          <w:ilvl w:val="0"/>
          <w:numId w:val="7"/>
        </w:numPr>
        <w:rPr>
          <w:rFonts w:eastAsiaTheme="minorEastAsia"/>
          <w:sz w:val="24"/>
          <w:szCs w:val="24"/>
        </w:rPr>
      </w:pPr>
      <w:r w:rsidRPr="00781FBD">
        <w:rPr>
          <w:rFonts w:ascii="Verdana" w:hAnsi="Verdana"/>
          <w:sz w:val="24"/>
          <w:szCs w:val="24"/>
        </w:rPr>
        <w:lastRenderedPageBreak/>
        <w:t xml:space="preserve">Internal MW analysis of the cost-benefit of supporting citizen science and community volunteering over direct investment (see </w:t>
      </w:r>
      <w:r w:rsidR="53002B4D" w:rsidRPr="00781FBD">
        <w:rPr>
          <w:rFonts w:ascii="Verdana" w:hAnsi="Verdana"/>
          <w:sz w:val="24"/>
          <w:szCs w:val="24"/>
        </w:rPr>
        <w:t xml:space="preserve">Page </w:t>
      </w:r>
      <w:r w:rsidR="00984E9E" w:rsidRPr="00781FBD">
        <w:rPr>
          <w:rFonts w:ascii="Verdana" w:hAnsi="Verdana"/>
          <w:sz w:val="24"/>
          <w:szCs w:val="24"/>
        </w:rPr>
        <w:t>8</w:t>
      </w:r>
      <w:r w:rsidRPr="00781FBD">
        <w:rPr>
          <w:rFonts w:ascii="Verdana" w:hAnsi="Verdana"/>
          <w:sz w:val="24"/>
          <w:szCs w:val="24"/>
        </w:rPr>
        <w:t xml:space="preserve"> in this document for more det</w:t>
      </w:r>
      <w:r w:rsidR="478A849F" w:rsidRPr="00781FBD">
        <w:rPr>
          <w:rFonts w:ascii="Verdana" w:hAnsi="Verdana"/>
          <w:sz w:val="24"/>
          <w:szCs w:val="24"/>
        </w:rPr>
        <w:t>ail);</w:t>
      </w:r>
      <w:r w:rsidRPr="00781FBD">
        <w:rPr>
          <w:rFonts w:ascii="Verdana" w:hAnsi="Verdana"/>
          <w:sz w:val="24"/>
          <w:szCs w:val="24"/>
        </w:rPr>
        <w:t xml:space="preserve"> </w:t>
      </w:r>
      <w:r w:rsidR="1DF775BA" w:rsidRPr="00781FBD">
        <w:rPr>
          <w:rFonts w:ascii="Verdana" w:hAnsi="Verdana"/>
          <w:sz w:val="24"/>
          <w:szCs w:val="24"/>
        </w:rPr>
        <w:t xml:space="preserve">and </w:t>
      </w:r>
    </w:p>
    <w:p w14:paraId="6E28679D" w14:textId="41693EEA" w:rsidR="00B52B7D" w:rsidRPr="00781FBD" w:rsidRDefault="1DF775BA" w:rsidP="17C1B9B8">
      <w:pPr>
        <w:pStyle w:val="ListParagraph"/>
        <w:numPr>
          <w:ilvl w:val="0"/>
          <w:numId w:val="7"/>
        </w:numPr>
        <w:rPr>
          <w:rFonts w:eastAsiaTheme="minorEastAsia"/>
          <w:sz w:val="24"/>
          <w:szCs w:val="24"/>
        </w:rPr>
      </w:pPr>
      <w:r w:rsidRPr="00781FBD">
        <w:rPr>
          <w:rFonts w:ascii="Verdana" w:hAnsi="Verdana"/>
          <w:sz w:val="24"/>
          <w:szCs w:val="24"/>
        </w:rPr>
        <w:t>Practitioner experience</w:t>
      </w:r>
      <w:r w:rsidR="5056A9B3" w:rsidRPr="00781FBD">
        <w:rPr>
          <w:rFonts w:ascii="Verdana" w:hAnsi="Verdana"/>
          <w:sz w:val="24"/>
          <w:szCs w:val="24"/>
        </w:rPr>
        <w:t>,</w:t>
      </w:r>
      <w:r w:rsidRPr="00781FBD">
        <w:rPr>
          <w:rFonts w:ascii="Verdana" w:hAnsi="Verdana"/>
          <w:sz w:val="24"/>
          <w:szCs w:val="24"/>
        </w:rPr>
        <w:t xml:space="preserve"> </w:t>
      </w:r>
      <w:r w:rsidR="2DC9832E" w:rsidRPr="00781FBD">
        <w:rPr>
          <w:rFonts w:ascii="Verdana" w:hAnsi="Verdana"/>
          <w:sz w:val="24"/>
          <w:szCs w:val="24"/>
        </w:rPr>
        <w:t>somewhat</w:t>
      </w:r>
      <w:r w:rsidRPr="00781FBD">
        <w:rPr>
          <w:rFonts w:ascii="Verdana" w:hAnsi="Verdana"/>
          <w:sz w:val="24"/>
          <w:szCs w:val="24"/>
        </w:rPr>
        <w:t xml:space="preserve"> supported by</w:t>
      </w:r>
      <w:r w:rsidR="08584E0A" w:rsidRPr="00781FBD">
        <w:rPr>
          <w:rFonts w:ascii="Verdana" w:hAnsi="Verdana"/>
          <w:sz w:val="24"/>
          <w:szCs w:val="24"/>
        </w:rPr>
        <w:t xml:space="preserve"> emerging</w:t>
      </w:r>
      <w:r w:rsidRPr="00781FBD">
        <w:rPr>
          <w:rFonts w:ascii="Verdana" w:hAnsi="Verdana"/>
          <w:sz w:val="24"/>
          <w:szCs w:val="24"/>
        </w:rPr>
        <w:t xml:space="preserve"> academic literature</w:t>
      </w:r>
      <w:r w:rsidR="5FDD1F20" w:rsidRPr="00781FBD">
        <w:rPr>
          <w:rFonts w:ascii="Verdana" w:hAnsi="Verdana"/>
          <w:sz w:val="24"/>
          <w:szCs w:val="24"/>
        </w:rPr>
        <w:t>,</w:t>
      </w:r>
      <w:r w:rsidRPr="00781FBD">
        <w:rPr>
          <w:rFonts w:ascii="Verdana" w:hAnsi="Verdana"/>
          <w:sz w:val="24"/>
          <w:szCs w:val="24"/>
        </w:rPr>
        <w:t xml:space="preserve"> that greater community involvement with nature results in lower future </w:t>
      </w:r>
      <w:r w:rsidR="38D80857" w:rsidRPr="00781FBD">
        <w:rPr>
          <w:rFonts w:ascii="Verdana" w:hAnsi="Verdana"/>
          <w:sz w:val="24"/>
          <w:szCs w:val="24"/>
        </w:rPr>
        <w:t xml:space="preserve">management and maintenance costs because these spaces are better cared for (again, see Program Benefits section below). </w:t>
      </w:r>
    </w:p>
    <w:p w14:paraId="5C442032" w14:textId="5AD149D1" w:rsidR="00B52B7D" w:rsidRPr="00781FBD" w:rsidRDefault="2954A5F2" w:rsidP="00781FBD">
      <w:pPr>
        <w:spacing w:after="0"/>
        <w:rPr>
          <w:rFonts w:ascii="Verdana" w:hAnsi="Verdana"/>
          <w:sz w:val="24"/>
          <w:szCs w:val="24"/>
        </w:rPr>
      </w:pPr>
      <w:r w:rsidRPr="00781FBD">
        <w:rPr>
          <w:rFonts w:ascii="Verdana" w:hAnsi="Verdana"/>
          <w:sz w:val="24"/>
          <w:szCs w:val="24"/>
        </w:rPr>
        <w:t xml:space="preserve">We recognise that there is little data or academic research to clearly evidence long-term reductions in maintenance costs or </w:t>
      </w:r>
      <w:r w:rsidR="3621D2BA" w:rsidRPr="00781FBD">
        <w:rPr>
          <w:rFonts w:ascii="Verdana" w:hAnsi="Verdana"/>
          <w:sz w:val="24"/>
          <w:szCs w:val="24"/>
        </w:rPr>
        <w:t>avoidance of future renewal costs</w:t>
      </w:r>
      <w:r w:rsidR="1BEAF80E" w:rsidRPr="00781FBD">
        <w:rPr>
          <w:rFonts w:ascii="Verdana" w:hAnsi="Verdana"/>
          <w:sz w:val="24"/>
          <w:szCs w:val="24"/>
        </w:rPr>
        <w:t xml:space="preserve"> as a direct result of greater community involvement in waterways</w:t>
      </w:r>
      <w:r w:rsidR="3621D2BA" w:rsidRPr="00781FBD">
        <w:rPr>
          <w:rFonts w:ascii="Verdana" w:hAnsi="Verdana"/>
          <w:sz w:val="24"/>
          <w:szCs w:val="24"/>
        </w:rPr>
        <w:t>, thus have not</w:t>
      </w:r>
      <w:r w:rsidR="2E94CF69" w:rsidRPr="00781FBD">
        <w:rPr>
          <w:rFonts w:ascii="Verdana" w:hAnsi="Verdana"/>
          <w:sz w:val="24"/>
          <w:szCs w:val="24"/>
        </w:rPr>
        <w:t xml:space="preserve"> sought the highest level of investment considered for this allocation. </w:t>
      </w:r>
      <w:r w:rsidR="77943A3D" w:rsidRPr="00781FBD">
        <w:rPr>
          <w:rFonts w:ascii="Verdana" w:hAnsi="Verdana"/>
          <w:sz w:val="24"/>
          <w:szCs w:val="24"/>
        </w:rPr>
        <w:t>A focus of the next price period will be working with partners to d</w:t>
      </w:r>
      <w:r w:rsidR="2E94CF69" w:rsidRPr="00781FBD">
        <w:rPr>
          <w:rFonts w:ascii="Verdana" w:hAnsi="Verdana"/>
          <w:sz w:val="24"/>
          <w:szCs w:val="24"/>
        </w:rPr>
        <w:t>evelop clearer return-on-investment data for community involvement activities that are less direct than c</w:t>
      </w:r>
      <w:r w:rsidR="2E362A87" w:rsidRPr="00781FBD">
        <w:rPr>
          <w:rFonts w:ascii="Verdana" w:hAnsi="Verdana"/>
          <w:sz w:val="24"/>
          <w:szCs w:val="24"/>
        </w:rPr>
        <w:t xml:space="preserve">itizen science </w:t>
      </w:r>
      <w:r w:rsidR="66BE74AE" w:rsidRPr="00781FBD">
        <w:rPr>
          <w:rFonts w:ascii="Verdana" w:hAnsi="Verdana"/>
          <w:sz w:val="24"/>
          <w:szCs w:val="24"/>
        </w:rPr>
        <w:t xml:space="preserve">or volunteering activities. </w:t>
      </w:r>
      <w:r w:rsidR="2E94CF69" w:rsidRPr="00781FBD">
        <w:rPr>
          <w:rFonts w:ascii="Verdana" w:hAnsi="Verdana"/>
          <w:sz w:val="24"/>
          <w:szCs w:val="24"/>
        </w:rPr>
        <w:t xml:space="preserve"> </w:t>
      </w:r>
      <w:r w:rsidR="3621D2BA" w:rsidRPr="00781FBD">
        <w:rPr>
          <w:rFonts w:ascii="Verdana" w:hAnsi="Verdana"/>
          <w:sz w:val="24"/>
          <w:szCs w:val="24"/>
        </w:rPr>
        <w:t xml:space="preserve"> </w:t>
      </w:r>
      <w:r w:rsidR="0009525F" w:rsidRPr="00781FBD">
        <w:rPr>
          <w:rFonts w:ascii="Verdana" w:hAnsi="Verdana"/>
          <w:sz w:val="24"/>
          <w:szCs w:val="24"/>
        </w:rPr>
        <w:t xml:space="preserve"> </w:t>
      </w:r>
    </w:p>
    <w:p w14:paraId="3A09C2A6" w14:textId="53AAACCE" w:rsidR="0B26FF4E" w:rsidRPr="00781FBD" w:rsidRDefault="0B26FF4E" w:rsidP="00781FBD">
      <w:pPr>
        <w:spacing w:after="0"/>
        <w:rPr>
          <w:rFonts w:ascii="Verdana" w:hAnsi="Verdana"/>
          <w:sz w:val="22"/>
        </w:rPr>
      </w:pPr>
    </w:p>
    <w:p w14:paraId="65AECED3" w14:textId="301EE0FD" w:rsidR="6B0DEE77" w:rsidRPr="00781FBD" w:rsidRDefault="6B0DEE77" w:rsidP="00781FBD">
      <w:pPr>
        <w:spacing w:after="0"/>
        <w:rPr>
          <w:rFonts w:ascii="Verdana" w:hAnsi="Verdana"/>
          <w:bCs/>
          <w:sz w:val="22"/>
        </w:rPr>
      </w:pPr>
      <w:r w:rsidRPr="00781FBD">
        <w:rPr>
          <w:rFonts w:ascii="Verdana" w:hAnsi="Verdana"/>
          <w:b/>
          <w:bCs/>
          <w:sz w:val="22"/>
        </w:rPr>
        <w:t xml:space="preserve">Table </w:t>
      </w:r>
      <w:r w:rsidR="58086E22" w:rsidRPr="00781FBD">
        <w:rPr>
          <w:rFonts w:ascii="Verdana" w:hAnsi="Verdana"/>
          <w:b/>
          <w:bCs/>
          <w:sz w:val="22"/>
        </w:rPr>
        <w:t>4</w:t>
      </w:r>
      <w:r w:rsidRPr="00781FBD">
        <w:rPr>
          <w:rFonts w:ascii="Verdana" w:hAnsi="Verdana"/>
          <w:b/>
          <w:bCs/>
          <w:sz w:val="22"/>
        </w:rPr>
        <w:t xml:space="preserve">: </w:t>
      </w:r>
      <w:r w:rsidRPr="00781FBD">
        <w:rPr>
          <w:rFonts w:ascii="Verdana" w:hAnsi="Verdana"/>
          <w:bCs/>
          <w:sz w:val="22"/>
        </w:rPr>
        <w:t>Community Involvement in Waterways Investment Options</w:t>
      </w:r>
    </w:p>
    <w:tbl>
      <w:tblPr>
        <w:tblStyle w:val="TableGrid"/>
        <w:tblW w:w="9016" w:type="dxa"/>
        <w:tblLook w:val="04A0" w:firstRow="1" w:lastRow="0" w:firstColumn="1" w:lastColumn="0" w:noHBand="0" w:noVBand="1"/>
      </w:tblPr>
      <w:tblGrid>
        <w:gridCol w:w="2415"/>
        <w:gridCol w:w="2271"/>
        <w:gridCol w:w="2164"/>
        <w:gridCol w:w="2166"/>
      </w:tblGrid>
      <w:tr w:rsidR="00B52B7D" w:rsidRPr="00F57C68" w14:paraId="749E9C63" w14:textId="77777777" w:rsidTr="0B26FF4E">
        <w:trPr>
          <w:trHeight w:val="360"/>
        </w:trPr>
        <w:tc>
          <w:tcPr>
            <w:tcW w:w="2415" w:type="dxa"/>
            <w:noWrap/>
            <w:vAlign w:val="center"/>
            <w:hideMark/>
          </w:tcPr>
          <w:p w14:paraId="4B4E4621" w14:textId="0039DBF6" w:rsidR="00B52B7D" w:rsidRPr="00F57C68" w:rsidRDefault="7664D61C" w:rsidP="0B26FF4E">
            <w:pPr>
              <w:rPr>
                <w:rFonts w:ascii="Verdana" w:hAnsi="Verdana"/>
                <w:b/>
                <w:bCs/>
                <w:sz w:val="20"/>
                <w:szCs w:val="20"/>
              </w:rPr>
            </w:pPr>
            <w:r w:rsidRPr="00F57C68">
              <w:rPr>
                <w:rFonts w:ascii="Verdana" w:hAnsi="Verdana"/>
                <w:b/>
                <w:bCs/>
                <w:sz w:val="20"/>
                <w:szCs w:val="20"/>
              </w:rPr>
              <w:t>Highest investment</w:t>
            </w:r>
          </w:p>
        </w:tc>
        <w:tc>
          <w:tcPr>
            <w:tcW w:w="2271" w:type="dxa"/>
            <w:noWrap/>
            <w:vAlign w:val="center"/>
            <w:hideMark/>
          </w:tcPr>
          <w:p w14:paraId="14E54B70" w14:textId="50B38891" w:rsidR="00B52B7D" w:rsidRPr="00F57C68" w:rsidRDefault="7664D61C" w:rsidP="0B26FF4E">
            <w:pPr>
              <w:spacing w:line="259" w:lineRule="auto"/>
              <w:rPr>
                <w:rFonts w:ascii="Verdana" w:hAnsi="Verdana"/>
                <w:b/>
                <w:bCs/>
                <w:sz w:val="20"/>
                <w:szCs w:val="20"/>
              </w:rPr>
            </w:pPr>
            <w:r w:rsidRPr="00F57C68">
              <w:rPr>
                <w:rFonts w:ascii="Verdana" w:hAnsi="Verdana"/>
                <w:b/>
                <w:bCs/>
                <w:sz w:val="20"/>
                <w:szCs w:val="20"/>
              </w:rPr>
              <w:t>Moderate increase</w:t>
            </w:r>
          </w:p>
        </w:tc>
        <w:tc>
          <w:tcPr>
            <w:tcW w:w="2164" w:type="dxa"/>
            <w:noWrap/>
            <w:vAlign w:val="center"/>
            <w:hideMark/>
          </w:tcPr>
          <w:p w14:paraId="3B8BCD4C" w14:textId="4AECA6D8" w:rsidR="00B52B7D" w:rsidRPr="00F57C68" w:rsidRDefault="7664D61C" w:rsidP="0B26FF4E">
            <w:pPr>
              <w:spacing w:line="259" w:lineRule="auto"/>
              <w:rPr>
                <w:rFonts w:ascii="Verdana" w:hAnsi="Verdana"/>
                <w:b/>
                <w:bCs/>
                <w:sz w:val="20"/>
                <w:szCs w:val="20"/>
              </w:rPr>
            </w:pPr>
            <w:r w:rsidRPr="00F57C68">
              <w:rPr>
                <w:rFonts w:ascii="Verdana" w:hAnsi="Verdana"/>
                <w:b/>
                <w:bCs/>
                <w:sz w:val="20"/>
                <w:szCs w:val="20"/>
              </w:rPr>
              <w:t>Current investment</w:t>
            </w:r>
          </w:p>
        </w:tc>
        <w:tc>
          <w:tcPr>
            <w:tcW w:w="2166" w:type="dxa"/>
            <w:noWrap/>
            <w:vAlign w:val="center"/>
            <w:hideMark/>
          </w:tcPr>
          <w:p w14:paraId="7D4FACA1" w14:textId="361C458E" w:rsidR="00B52B7D" w:rsidRPr="00F57C68" w:rsidRDefault="7664D61C" w:rsidP="0B26FF4E">
            <w:pPr>
              <w:spacing w:line="259" w:lineRule="auto"/>
              <w:rPr>
                <w:rFonts w:ascii="Verdana" w:hAnsi="Verdana"/>
                <w:b/>
                <w:bCs/>
                <w:sz w:val="20"/>
                <w:szCs w:val="20"/>
              </w:rPr>
            </w:pPr>
            <w:r w:rsidRPr="00F57C68">
              <w:rPr>
                <w:rFonts w:ascii="Verdana" w:hAnsi="Verdana"/>
                <w:b/>
                <w:bCs/>
                <w:sz w:val="20"/>
                <w:szCs w:val="20"/>
              </w:rPr>
              <w:t>Minimum investment to meet obligations</w:t>
            </w:r>
          </w:p>
        </w:tc>
      </w:tr>
      <w:tr w:rsidR="00B52B7D" w:rsidRPr="00F57C68" w14:paraId="6FF0E0AE" w14:textId="77777777" w:rsidTr="00F57C68">
        <w:trPr>
          <w:trHeight w:val="699"/>
        </w:trPr>
        <w:tc>
          <w:tcPr>
            <w:tcW w:w="2415" w:type="dxa"/>
            <w:hideMark/>
          </w:tcPr>
          <w:p w14:paraId="45493F30" w14:textId="6AC32077" w:rsidR="00B52B7D" w:rsidRPr="00F57C68" w:rsidRDefault="6FE5139C" w:rsidP="0B26FF4E">
            <w:pPr>
              <w:rPr>
                <w:rFonts w:ascii="Verdana" w:hAnsi="Verdana"/>
                <w:sz w:val="20"/>
                <w:szCs w:val="20"/>
              </w:rPr>
            </w:pPr>
            <w:r w:rsidRPr="00F57C68">
              <w:rPr>
                <w:rFonts w:ascii="Verdana" w:hAnsi="Verdana"/>
                <w:sz w:val="20"/>
                <w:szCs w:val="20"/>
              </w:rPr>
              <w:t xml:space="preserve">Melbourne Water provides information about local and major waterways across the region, </w:t>
            </w:r>
            <w:r w:rsidR="3C040341" w:rsidRPr="00F57C68">
              <w:rPr>
                <w:rFonts w:ascii="Verdana" w:hAnsi="Verdana"/>
                <w:sz w:val="20"/>
                <w:szCs w:val="20"/>
              </w:rPr>
              <w:t xml:space="preserve">interactive informational </w:t>
            </w:r>
            <w:r w:rsidRPr="00F57C68">
              <w:rPr>
                <w:rFonts w:ascii="Verdana" w:hAnsi="Verdana"/>
                <w:sz w:val="20"/>
                <w:szCs w:val="20"/>
              </w:rPr>
              <w:t xml:space="preserve">signage and storytelling information around major waterways, </w:t>
            </w:r>
            <w:r w:rsidR="7DD97863" w:rsidRPr="00F57C68">
              <w:rPr>
                <w:rFonts w:ascii="Verdana" w:hAnsi="Verdana"/>
                <w:sz w:val="20"/>
                <w:szCs w:val="20"/>
              </w:rPr>
              <w:t>delivers</w:t>
            </w:r>
            <w:r w:rsidRPr="00F57C68">
              <w:rPr>
                <w:rFonts w:ascii="Verdana" w:hAnsi="Verdana"/>
                <w:sz w:val="20"/>
                <w:szCs w:val="20"/>
              </w:rPr>
              <w:t xml:space="preserve"> </w:t>
            </w:r>
            <w:r w:rsidR="446E0332" w:rsidRPr="00F57C68">
              <w:rPr>
                <w:rFonts w:ascii="Verdana" w:hAnsi="Verdana"/>
                <w:sz w:val="20"/>
                <w:szCs w:val="20"/>
              </w:rPr>
              <w:t xml:space="preserve">extensive </w:t>
            </w:r>
            <w:r w:rsidRPr="00F57C68">
              <w:rPr>
                <w:rFonts w:ascii="Verdana" w:hAnsi="Verdana"/>
                <w:sz w:val="20"/>
                <w:szCs w:val="20"/>
              </w:rPr>
              <w:t xml:space="preserve">community events and </w:t>
            </w:r>
            <w:r w:rsidR="7E0125CC" w:rsidRPr="00F57C68">
              <w:rPr>
                <w:rFonts w:ascii="Verdana" w:hAnsi="Verdana"/>
                <w:sz w:val="20"/>
                <w:szCs w:val="20"/>
              </w:rPr>
              <w:t xml:space="preserve">multi-platform </w:t>
            </w:r>
            <w:r w:rsidRPr="00F57C68">
              <w:rPr>
                <w:rFonts w:ascii="Verdana" w:hAnsi="Verdana"/>
                <w:sz w:val="20"/>
                <w:szCs w:val="20"/>
              </w:rPr>
              <w:t xml:space="preserve">campaigns around waterway health, and supports more than </w:t>
            </w:r>
            <w:r w:rsidR="693E0ECA" w:rsidRPr="00F57C68">
              <w:rPr>
                <w:rFonts w:ascii="Verdana" w:hAnsi="Verdana"/>
                <w:sz w:val="20"/>
                <w:szCs w:val="20"/>
              </w:rPr>
              <w:t>7</w:t>
            </w:r>
            <w:r w:rsidRPr="00F57C68">
              <w:rPr>
                <w:rFonts w:ascii="Verdana" w:hAnsi="Verdana"/>
                <w:sz w:val="20"/>
                <w:szCs w:val="20"/>
              </w:rPr>
              <w:t>,</w:t>
            </w:r>
            <w:r w:rsidR="34D1DD6E" w:rsidRPr="00F57C68">
              <w:rPr>
                <w:rFonts w:ascii="Verdana" w:hAnsi="Verdana"/>
                <w:sz w:val="20"/>
                <w:szCs w:val="20"/>
              </w:rPr>
              <w:t>5</w:t>
            </w:r>
            <w:r w:rsidRPr="00F57C68">
              <w:rPr>
                <w:rFonts w:ascii="Verdana" w:hAnsi="Verdana"/>
                <w:sz w:val="20"/>
                <w:szCs w:val="20"/>
              </w:rPr>
              <w:t xml:space="preserve">00 people to participate in protecting waterway health </w:t>
            </w:r>
            <w:r w:rsidR="22ABF8EF" w:rsidRPr="00F57C68">
              <w:rPr>
                <w:rFonts w:ascii="Verdana" w:hAnsi="Verdana"/>
                <w:sz w:val="20"/>
                <w:szCs w:val="20"/>
              </w:rPr>
              <w:t xml:space="preserve">by extending </w:t>
            </w:r>
            <w:r w:rsidRPr="00F57C68">
              <w:rPr>
                <w:rFonts w:ascii="Verdana" w:hAnsi="Verdana"/>
                <w:sz w:val="20"/>
                <w:szCs w:val="20"/>
              </w:rPr>
              <w:t>citizen science, volunteer activities and school program</w:t>
            </w:r>
            <w:r w:rsidR="39DF2941" w:rsidRPr="00F57C68">
              <w:rPr>
                <w:rFonts w:ascii="Verdana" w:hAnsi="Verdana"/>
                <w:sz w:val="20"/>
                <w:szCs w:val="20"/>
              </w:rPr>
              <w:t>s</w:t>
            </w:r>
            <w:r w:rsidRPr="00F57C68">
              <w:rPr>
                <w:rFonts w:ascii="Verdana" w:hAnsi="Verdana"/>
                <w:sz w:val="20"/>
                <w:szCs w:val="20"/>
              </w:rPr>
              <w:t>.</w:t>
            </w:r>
          </w:p>
        </w:tc>
        <w:tc>
          <w:tcPr>
            <w:tcW w:w="2271" w:type="dxa"/>
            <w:hideMark/>
          </w:tcPr>
          <w:p w14:paraId="2609F64C" w14:textId="2A77C442" w:rsidR="00B52B7D" w:rsidRPr="00F57C68" w:rsidRDefault="0BBED2BD" w:rsidP="2F4D1433">
            <w:pPr>
              <w:rPr>
                <w:rFonts w:ascii="Verdana" w:hAnsi="Verdana"/>
                <w:sz w:val="20"/>
                <w:szCs w:val="20"/>
              </w:rPr>
            </w:pPr>
            <w:r w:rsidRPr="00F57C68">
              <w:rPr>
                <w:rFonts w:ascii="Verdana" w:hAnsi="Verdana"/>
                <w:sz w:val="20"/>
                <w:szCs w:val="20"/>
              </w:rPr>
              <w:t>Melbourne Water provides information about major waterways in the form of informational signage,</w:t>
            </w:r>
            <w:r w:rsidR="767ADBDA" w:rsidRPr="00F57C68">
              <w:rPr>
                <w:rFonts w:ascii="Verdana" w:hAnsi="Verdana"/>
                <w:sz w:val="20"/>
                <w:szCs w:val="20"/>
              </w:rPr>
              <w:t xml:space="preserve"> interactive and</w:t>
            </w:r>
            <w:r w:rsidRPr="00F57C68">
              <w:rPr>
                <w:rFonts w:ascii="Verdana" w:hAnsi="Verdana"/>
                <w:sz w:val="20"/>
                <w:szCs w:val="20"/>
              </w:rPr>
              <w:t xml:space="preserve"> </w:t>
            </w:r>
            <w:r w:rsidR="5CDCBF07" w:rsidRPr="00F57C68">
              <w:rPr>
                <w:rFonts w:ascii="Verdana" w:hAnsi="Verdana"/>
                <w:sz w:val="20"/>
                <w:szCs w:val="20"/>
              </w:rPr>
              <w:t xml:space="preserve">digital </w:t>
            </w:r>
            <w:r w:rsidRPr="00F57C68">
              <w:rPr>
                <w:rFonts w:ascii="Verdana" w:hAnsi="Verdana"/>
                <w:sz w:val="20"/>
                <w:szCs w:val="20"/>
              </w:rPr>
              <w:t xml:space="preserve">content, </w:t>
            </w:r>
            <w:r w:rsidR="0F38A993" w:rsidRPr="00F57C68">
              <w:rPr>
                <w:rFonts w:ascii="Verdana" w:hAnsi="Verdana"/>
                <w:sz w:val="20"/>
                <w:szCs w:val="20"/>
              </w:rPr>
              <w:t xml:space="preserve">provides </w:t>
            </w:r>
            <w:r w:rsidR="7816B0D6" w:rsidRPr="00F57C68">
              <w:rPr>
                <w:rFonts w:ascii="Verdana" w:hAnsi="Verdana"/>
                <w:sz w:val="20"/>
                <w:szCs w:val="20"/>
              </w:rPr>
              <w:t xml:space="preserve">targeted community </w:t>
            </w:r>
            <w:r w:rsidR="3CDBD3E9" w:rsidRPr="00F57C68">
              <w:rPr>
                <w:rFonts w:ascii="Verdana" w:hAnsi="Verdana"/>
                <w:sz w:val="20"/>
                <w:szCs w:val="20"/>
              </w:rPr>
              <w:t xml:space="preserve">involvement </w:t>
            </w:r>
            <w:r w:rsidR="7816B0D6" w:rsidRPr="00F57C68">
              <w:rPr>
                <w:rFonts w:ascii="Verdana" w:hAnsi="Verdana"/>
                <w:sz w:val="20"/>
                <w:szCs w:val="20"/>
              </w:rPr>
              <w:t>events</w:t>
            </w:r>
            <w:r w:rsidR="3D3E876E" w:rsidRPr="00F57C68">
              <w:rPr>
                <w:rFonts w:ascii="Verdana" w:hAnsi="Verdana"/>
                <w:sz w:val="20"/>
                <w:szCs w:val="20"/>
              </w:rPr>
              <w:t xml:space="preserve"> and </w:t>
            </w:r>
            <w:r w:rsidR="6338EDBA" w:rsidRPr="00F57C68">
              <w:rPr>
                <w:rFonts w:ascii="Verdana" w:hAnsi="Verdana"/>
                <w:sz w:val="20"/>
                <w:szCs w:val="20"/>
              </w:rPr>
              <w:t xml:space="preserve">integrated </w:t>
            </w:r>
            <w:r w:rsidR="3D3E876E" w:rsidRPr="00F57C68">
              <w:rPr>
                <w:rFonts w:ascii="Verdana" w:hAnsi="Verdana"/>
                <w:sz w:val="20"/>
                <w:szCs w:val="20"/>
              </w:rPr>
              <w:t>social media</w:t>
            </w:r>
            <w:r w:rsidRPr="00F57C68">
              <w:rPr>
                <w:rFonts w:ascii="Verdana" w:hAnsi="Verdana"/>
                <w:sz w:val="20"/>
                <w:szCs w:val="20"/>
              </w:rPr>
              <w:t xml:space="preserve">, and </w:t>
            </w:r>
            <w:r w:rsidR="42481FD3" w:rsidRPr="00F57C68">
              <w:rPr>
                <w:rFonts w:ascii="Verdana" w:hAnsi="Verdana"/>
                <w:sz w:val="20"/>
                <w:szCs w:val="20"/>
              </w:rPr>
              <w:t>supports more than 6</w:t>
            </w:r>
            <w:r w:rsidR="1DF2BD7D" w:rsidRPr="00F57C68">
              <w:rPr>
                <w:rFonts w:ascii="Verdana" w:hAnsi="Verdana"/>
                <w:sz w:val="20"/>
                <w:szCs w:val="20"/>
              </w:rPr>
              <w:t>,</w:t>
            </w:r>
            <w:r w:rsidR="33652849" w:rsidRPr="00F57C68">
              <w:rPr>
                <w:rFonts w:ascii="Verdana" w:hAnsi="Verdana"/>
                <w:sz w:val="20"/>
                <w:szCs w:val="20"/>
              </w:rPr>
              <w:t>5</w:t>
            </w:r>
            <w:r w:rsidR="42481FD3" w:rsidRPr="00F57C68">
              <w:rPr>
                <w:rFonts w:ascii="Verdana" w:hAnsi="Verdana"/>
                <w:sz w:val="20"/>
                <w:szCs w:val="20"/>
              </w:rPr>
              <w:t xml:space="preserve">00 people to participate in protecting waterway health by </w:t>
            </w:r>
            <w:r w:rsidR="192D9940" w:rsidRPr="00F57C68">
              <w:rPr>
                <w:rFonts w:ascii="Verdana" w:hAnsi="Verdana"/>
                <w:sz w:val="20"/>
                <w:szCs w:val="20"/>
              </w:rPr>
              <w:t>extending</w:t>
            </w:r>
            <w:r w:rsidR="42481FD3" w:rsidRPr="00F57C68">
              <w:rPr>
                <w:rFonts w:ascii="Verdana" w:hAnsi="Verdana"/>
                <w:sz w:val="20"/>
                <w:szCs w:val="20"/>
              </w:rPr>
              <w:t xml:space="preserve"> citizen science, volunteer activities and school programs.</w:t>
            </w:r>
          </w:p>
        </w:tc>
        <w:tc>
          <w:tcPr>
            <w:tcW w:w="2164" w:type="dxa"/>
            <w:hideMark/>
          </w:tcPr>
          <w:p w14:paraId="673A7DA0" w14:textId="7758114A" w:rsidR="00B52B7D" w:rsidRPr="00F57C68" w:rsidRDefault="7CC6AB35" w:rsidP="2F4D1433">
            <w:pPr>
              <w:rPr>
                <w:rFonts w:ascii="Verdana" w:hAnsi="Verdana"/>
                <w:sz w:val="20"/>
                <w:szCs w:val="20"/>
              </w:rPr>
            </w:pPr>
            <w:r w:rsidRPr="00F57C68">
              <w:rPr>
                <w:rFonts w:ascii="Verdana" w:hAnsi="Verdana"/>
                <w:sz w:val="20"/>
                <w:szCs w:val="20"/>
              </w:rPr>
              <w:t>Melbourne Water provides basic information for major waterways across Melbourne</w:t>
            </w:r>
            <w:r w:rsidR="73A6EC8A" w:rsidRPr="00F57C68">
              <w:rPr>
                <w:rFonts w:ascii="Verdana" w:hAnsi="Verdana"/>
                <w:sz w:val="20"/>
                <w:szCs w:val="20"/>
              </w:rPr>
              <w:t xml:space="preserve">, supports select community events and campaigns around waterway health, and supports </w:t>
            </w:r>
            <w:r w:rsidR="450DC610" w:rsidRPr="00F57C68">
              <w:rPr>
                <w:rFonts w:ascii="Verdana" w:hAnsi="Verdana"/>
                <w:sz w:val="20"/>
                <w:szCs w:val="20"/>
              </w:rPr>
              <w:t>5,5</w:t>
            </w:r>
            <w:r w:rsidR="73A6EC8A" w:rsidRPr="00F57C68">
              <w:rPr>
                <w:rFonts w:ascii="Verdana" w:hAnsi="Verdana"/>
                <w:sz w:val="20"/>
                <w:szCs w:val="20"/>
              </w:rPr>
              <w:t>00 people to p</w:t>
            </w:r>
            <w:r w:rsidR="35DD74AF" w:rsidRPr="00F57C68">
              <w:rPr>
                <w:rFonts w:ascii="Verdana" w:hAnsi="Verdana"/>
                <w:sz w:val="20"/>
                <w:szCs w:val="20"/>
              </w:rPr>
              <w:t>a</w:t>
            </w:r>
            <w:r w:rsidR="73A6EC8A" w:rsidRPr="00F57C68">
              <w:rPr>
                <w:rFonts w:ascii="Verdana" w:hAnsi="Verdana"/>
                <w:sz w:val="20"/>
                <w:szCs w:val="20"/>
              </w:rPr>
              <w:t>rticipate in protecting waterway health by maintaining existing citizen science, volunteer activities and school programs.</w:t>
            </w:r>
          </w:p>
        </w:tc>
        <w:tc>
          <w:tcPr>
            <w:tcW w:w="2166" w:type="dxa"/>
            <w:hideMark/>
          </w:tcPr>
          <w:p w14:paraId="2D7A6D8A" w14:textId="46D7E8A9" w:rsidR="00B52B7D" w:rsidRPr="00F57C68" w:rsidRDefault="429AA187" w:rsidP="2F4D1433">
            <w:pPr>
              <w:rPr>
                <w:rFonts w:ascii="Verdana" w:hAnsi="Verdana"/>
                <w:sz w:val="20"/>
                <w:szCs w:val="20"/>
              </w:rPr>
            </w:pPr>
            <w:r w:rsidRPr="00F57C68">
              <w:rPr>
                <w:rFonts w:ascii="Verdana" w:hAnsi="Verdana"/>
                <w:sz w:val="20"/>
                <w:szCs w:val="20"/>
              </w:rPr>
              <w:t>Melbourne Water provides basic information</w:t>
            </w:r>
            <w:r w:rsidR="263B68AF" w:rsidRPr="00F57C68">
              <w:rPr>
                <w:rFonts w:ascii="Verdana" w:hAnsi="Verdana"/>
                <w:sz w:val="20"/>
                <w:szCs w:val="20"/>
              </w:rPr>
              <w:t xml:space="preserve"> </w:t>
            </w:r>
            <w:r w:rsidR="795378B4" w:rsidRPr="00F57C68">
              <w:rPr>
                <w:rFonts w:ascii="Verdana" w:hAnsi="Verdana"/>
                <w:sz w:val="20"/>
                <w:szCs w:val="20"/>
              </w:rPr>
              <w:t xml:space="preserve">for </w:t>
            </w:r>
            <w:r w:rsidRPr="00F57C68">
              <w:rPr>
                <w:rFonts w:ascii="Verdana" w:hAnsi="Verdana"/>
                <w:sz w:val="20"/>
                <w:szCs w:val="20"/>
              </w:rPr>
              <w:t xml:space="preserve">major waterways </w:t>
            </w:r>
            <w:r w:rsidR="1D2CD5C8" w:rsidRPr="00F57C68">
              <w:rPr>
                <w:rFonts w:ascii="Verdana" w:hAnsi="Verdana"/>
                <w:sz w:val="20"/>
                <w:szCs w:val="20"/>
              </w:rPr>
              <w:t>across Melbourne</w:t>
            </w:r>
            <w:r w:rsidRPr="00F57C68">
              <w:rPr>
                <w:rFonts w:ascii="Verdana" w:hAnsi="Verdana"/>
                <w:sz w:val="20"/>
                <w:szCs w:val="20"/>
              </w:rPr>
              <w:t>, educational resources</w:t>
            </w:r>
            <w:r w:rsidR="4DC6C681" w:rsidRPr="00F57C68">
              <w:rPr>
                <w:rFonts w:ascii="Verdana" w:hAnsi="Verdana"/>
                <w:sz w:val="20"/>
                <w:szCs w:val="20"/>
              </w:rPr>
              <w:t>, event attendance and citizen science programs reduce</w:t>
            </w:r>
            <w:r w:rsidRPr="00F57C68">
              <w:rPr>
                <w:rFonts w:ascii="Verdana" w:hAnsi="Verdana"/>
                <w:sz w:val="20"/>
                <w:szCs w:val="20"/>
              </w:rPr>
              <w:t xml:space="preserve"> and support less than 5</w:t>
            </w:r>
            <w:r w:rsidR="644F83C5" w:rsidRPr="00F57C68">
              <w:rPr>
                <w:rFonts w:ascii="Verdana" w:hAnsi="Verdana"/>
                <w:sz w:val="20"/>
                <w:szCs w:val="20"/>
              </w:rPr>
              <w:t>,</w:t>
            </w:r>
            <w:r w:rsidRPr="00F57C68">
              <w:rPr>
                <w:rFonts w:ascii="Verdana" w:hAnsi="Verdana"/>
                <w:sz w:val="20"/>
                <w:szCs w:val="20"/>
              </w:rPr>
              <w:t>000 people to participate in</w:t>
            </w:r>
            <w:r w:rsidR="718A6C82" w:rsidRPr="00F57C68">
              <w:rPr>
                <w:rFonts w:ascii="Verdana" w:hAnsi="Verdana"/>
                <w:sz w:val="20"/>
                <w:szCs w:val="20"/>
              </w:rPr>
              <w:t xml:space="preserve"> programs</w:t>
            </w:r>
            <w:r w:rsidRPr="00F57C68">
              <w:rPr>
                <w:rFonts w:ascii="Verdana" w:hAnsi="Verdana"/>
                <w:sz w:val="20"/>
                <w:szCs w:val="20"/>
              </w:rPr>
              <w:t xml:space="preserve"> protecting waterway health per year.</w:t>
            </w:r>
          </w:p>
          <w:p w14:paraId="49F24FEC" w14:textId="1A24839B" w:rsidR="00B52B7D" w:rsidRPr="00F57C68" w:rsidRDefault="00B52B7D" w:rsidP="2F4D1433">
            <w:pPr>
              <w:rPr>
                <w:rFonts w:ascii="Verdana" w:hAnsi="Verdana"/>
                <w:sz w:val="20"/>
                <w:szCs w:val="20"/>
              </w:rPr>
            </w:pPr>
          </w:p>
        </w:tc>
      </w:tr>
      <w:tr w:rsidR="2F4D1433" w:rsidRPr="00F57C68" w14:paraId="469B4A5A" w14:textId="77777777" w:rsidTr="0001641D">
        <w:trPr>
          <w:trHeight w:val="300"/>
        </w:trPr>
        <w:tc>
          <w:tcPr>
            <w:tcW w:w="2415" w:type="dxa"/>
            <w:hideMark/>
          </w:tcPr>
          <w:p w14:paraId="3DDBD150" w14:textId="306DEC4A" w:rsidR="68476D79" w:rsidRPr="00F57C68" w:rsidRDefault="68476D79" w:rsidP="2F4D1433">
            <w:pPr>
              <w:rPr>
                <w:rFonts w:ascii="Verdana" w:hAnsi="Verdana"/>
                <w:sz w:val="20"/>
                <w:szCs w:val="20"/>
              </w:rPr>
            </w:pPr>
            <w:r w:rsidRPr="00F57C68">
              <w:rPr>
                <w:rFonts w:ascii="Verdana" w:hAnsi="Verdana"/>
                <w:sz w:val="20"/>
                <w:szCs w:val="20"/>
              </w:rPr>
              <w:t>$710K/year</w:t>
            </w:r>
          </w:p>
        </w:tc>
        <w:tc>
          <w:tcPr>
            <w:tcW w:w="2271" w:type="dxa"/>
            <w:hideMark/>
          </w:tcPr>
          <w:p w14:paraId="1F22E603" w14:textId="4B236DF8" w:rsidR="1B2059C9" w:rsidRPr="00F57C68" w:rsidRDefault="1B2059C9" w:rsidP="2F4D1433">
            <w:pPr>
              <w:rPr>
                <w:rFonts w:ascii="Verdana" w:hAnsi="Verdana"/>
                <w:sz w:val="20"/>
                <w:szCs w:val="20"/>
              </w:rPr>
            </w:pPr>
            <w:r w:rsidRPr="00F57C68">
              <w:rPr>
                <w:rFonts w:ascii="Verdana" w:hAnsi="Verdana"/>
                <w:sz w:val="20"/>
                <w:szCs w:val="20"/>
              </w:rPr>
              <w:t>$54</w:t>
            </w:r>
            <w:r w:rsidR="1DC8564C" w:rsidRPr="00F57C68">
              <w:rPr>
                <w:rFonts w:ascii="Verdana" w:hAnsi="Verdana"/>
                <w:sz w:val="20"/>
                <w:szCs w:val="20"/>
              </w:rPr>
              <w:t>5</w:t>
            </w:r>
            <w:r w:rsidRPr="00F57C68">
              <w:rPr>
                <w:rFonts w:ascii="Verdana" w:hAnsi="Verdana"/>
                <w:sz w:val="20"/>
                <w:szCs w:val="20"/>
              </w:rPr>
              <w:t>K/year</w:t>
            </w:r>
          </w:p>
        </w:tc>
        <w:tc>
          <w:tcPr>
            <w:tcW w:w="2164" w:type="dxa"/>
            <w:hideMark/>
          </w:tcPr>
          <w:p w14:paraId="05027DFF" w14:textId="59CE3733" w:rsidR="46BAF94B" w:rsidRPr="00F57C68" w:rsidRDefault="40660CDE" w:rsidP="37C25321">
            <w:pPr>
              <w:rPr>
                <w:rFonts w:ascii="Verdana" w:hAnsi="Verdana"/>
                <w:sz w:val="20"/>
                <w:szCs w:val="20"/>
                <w:highlight w:val="yellow"/>
              </w:rPr>
            </w:pPr>
            <w:r w:rsidRPr="00F57C68">
              <w:rPr>
                <w:rFonts w:ascii="Verdana" w:hAnsi="Verdana"/>
                <w:sz w:val="20"/>
                <w:szCs w:val="20"/>
              </w:rPr>
              <w:t>$1</w:t>
            </w:r>
            <w:r w:rsidR="7D039153" w:rsidRPr="00F57C68">
              <w:rPr>
                <w:rFonts w:ascii="Verdana" w:hAnsi="Verdana"/>
                <w:sz w:val="20"/>
                <w:szCs w:val="20"/>
              </w:rPr>
              <w:t>7</w:t>
            </w:r>
            <w:r w:rsidR="7E646C05" w:rsidRPr="00F57C68">
              <w:rPr>
                <w:rFonts w:ascii="Verdana" w:hAnsi="Verdana"/>
                <w:sz w:val="20"/>
                <w:szCs w:val="20"/>
              </w:rPr>
              <w:t>5</w:t>
            </w:r>
            <w:r w:rsidRPr="00F57C68">
              <w:rPr>
                <w:rFonts w:ascii="Verdana" w:hAnsi="Verdana"/>
                <w:sz w:val="20"/>
                <w:szCs w:val="20"/>
              </w:rPr>
              <w:t>K/year</w:t>
            </w:r>
          </w:p>
        </w:tc>
        <w:tc>
          <w:tcPr>
            <w:tcW w:w="2166" w:type="dxa"/>
            <w:hideMark/>
          </w:tcPr>
          <w:p w14:paraId="2E5764BB" w14:textId="7A8D4964" w:rsidR="7B0858BC" w:rsidRPr="00F57C68" w:rsidRDefault="7B0858BC" w:rsidP="2F4D1433">
            <w:pPr>
              <w:rPr>
                <w:rFonts w:ascii="Verdana" w:hAnsi="Verdana"/>
                <w:sz w:val="20"/>
                <w:szCs w:val="20"/>
              </w:rPr>
            </w:pPr>
            <w:r w:rsidRPr="00F57C68">
              <w:rPr>
                <w:rFonts w:ascii="Verdana" w:hAnsi="Verdana"/>
                <w:sz w:val="20"/>
                <w:szCs w:val="20"/>
              </w:rPr>
              <w:t>$</w:t>
            </w:r>
            <w:r w:rsidR="534A0D51" w:rsidRPr="00F57C68">
              <w:rPr>
                <w:rFonts w:ascii="Verdana" w:hAnsi="Verdana"/>
                <w:sz w:val="20"/>
                <w:szCs w:val="20"/>
              </w:rPr>
              <w:t>140</w:t>
            </w:r>
            <w:r w:rsidRPr="00F57C68">
              <w:rPr>
                <w:rFonts w:ascii="Verdana" w:hAnsi="Verdana"/>
                <w:sz w:val="20"/>
                <w:szCs w:val="20"/>
              </w:rPr>
              <w:t>K/year</w:t>
            </w:r>
          </w:p>
        </w:tc>
      </w:tr>
    </w:tbl>
    <w:p w14:paraId="1853BF14" w14:textId="77777777" w:rsidR="00B52B7D" w:rsidRPr="00781FBD" w:rsidRDefault="00B52B7D" w:rsidP="005A6436">
      <w:pPr>
        <w:rPr>
          <w:rFonts w:ascii="Verdana" w:hAnsi="Verdana"/>
          <w:sz w:val="24"/>
          <w:szCs w:val="24"/>
        </w:rPr>
      </w:pPr>
    </w:p>
    <w:p w14:paraId="1BD77220" w14:textId="77777777" w:rsidR="005A6436" w:rsidRPr="00781FBD" w:rsidRDefault="005A6436" w:rsidP="713F58FC">
      <w:pPr>
        <w:rPr>
          <w:rFonts w:ascii="Verdana" w:eastAsiaTheme="minorEastAsia" w:hAnsi="Verdana"/>
          <w:sz w:val="24"/>
          <w:szCs w:val="24"/>
        </w:rPr>
      </w:pPr>
      <w:r w:rsidRPr="00781FBD">
        <w:rPr>
          <w:rFonts w:ascii="Verdana" w:eastAsiaTheme="minorEastAsia" w:hAnsi="Verdana"/>
          <w:sz w:val="24"/>
          <w:szCs w:val="24"/>
        </w:rPr>
        <w:lastRenderedPageBreak/>
        <w:t>This increase in funding is required as part of the 2021 Price Determination period</w:t>
      </w:r>
      <w:r w:rsidRPr="00781FBD">
        <w:rPr>
          <w:rFonts w:ascii="Verdana" w:eastAsiaTheme="minorEastAsia" w:hAnsi="Verdana"/>
          <w:color w:val="2B579A"/>
          <w:sz w:val="24"/>
          <w:szCs w:val="24"/>
          <w:shd w:val="clear" w:color="auto" w:fill="E6E6E6"/>
        </w:rPr>
        <w:t xml:space="preserve"> </w:t>
      </w:r>
      <w:r w:rsidRPr="00781FBD">
        <w:rPr>
          <w:rFonts w:ascii="Verdana" w:eastAsiaTheme="minorEastAsia" w:hAnsi="Verdana"/>
          <w:sz w:val="24"/>
          <w:szCs w:val="24"/>
        </w:rPr>
        <w:t xml:space="preserve">because: </w:t>
      </w:r>
    </w:p>
    <w:p w14:paraId="3341EB80" w14:textId="35111DA0" w:rsidR="005A6436" w:rsidRPr="00781FBD" w:rsidRDefault="005A6436" w:rsidP="005A6436">
      <w:pPr>
        <w:pStyle w:val="ListParagraph"/>
        <w:numPr>
          <w:ilvl w:val="0"/>
          <w:numId w:val="26"/>
        </w:numPr>
        <w:rPr>
          <w:rFonts w:ascii="Verdana" w:hAnsi="Verdana"/>
          <w:sz w:val="24"/>
          <w:szCs w:val="24"/>
        </w:rPr>
      </w:pPr>
      <w:r w:rsidRPr="00781FBD">
        <w:rPr>
          <w:rFonts w:ascii="Verdana" w:hAnsi="Verdana"/>
          <w:sz w:val="24"/>
          <w:szCs w:val="24"/>
        </w:rPr>
        <w:t>Significant increase in people visiting waterways for emotional and mental wellbeing through COVID period; associated opportunity to capitalise on this increased connection, and need to meet increased community expectations of the social values waterways offer (see Community Perceptions of Waterways Survey 2020, Melbourne Water)</w:t>
      </w:r>
      <w:r w:rsidR="00F22BF1">
        <w:rPr>
          <w:rFonts w:ascii="Verdana" w:hAnsi="Verdana"/>
          <w:sz w:val="24"/>
          <w:szCs w:val="24"/>
        </w:rPr>
        <w:t>.</w:t>
      </w:r>
    </w:p>
    <w:p w14:paraId="02F457FC" w14:textId="6CAA6488" w:rsidR="005A6436" w:rsidRPr="00781FBD" w:rsidRDefault="005A6436" w:rsidP="005A6436">
      <w:pPr>
        <w:pStyle w:val="ListParagraph"/>
        <w:numPr>
          <w:ilvl w:val="0"/>
          <w:numId w:val="26"/>
        </w:numPr>
        <w:rPr>
          <w:rFonts w:ascii="Verdana" w:hAnsi="Verdana"/>
          <w:sz w:val="24"/>
          <w:szCs w:val="24"/>
        </w:rPr>
      </w:pPr>
      <w:r w:rsidRPr="00781FBD">
        <w:rPr>
          <w:rFonts w:ascii="Verdana" w:hAnsi="Verdana"/>
          <w:sz w:val="24"/>
          <w:szCs w:val="24"/>
        </w:rPr>
        <w:t xml:space="preserve">Rapidly evolving and increased uptake of digital engagement and education technology, and associated community expectation to be able to engage with public resources through these platforms (see </w:t>
      </w:r>
      <w:r w:rsidR="2F055F30" w:rsidRPr="00781FBD">
        <w:rPr>
          <w:rFonts w:ascii="Verdana" w:hAnsi="Verdana"/>
          <w:sz w:val="24"/>
          <w:szCs w:val="24"/>
        </w:rPr>
        <w:t xml:space="preserve">MELD </w:t>
      </w:r>
      <w:r w:rsidRPr="00781FBD">
        <w:rPr>
          <w:rFonts w:ascii="Verdana" w:hAnsi="Verdana"/>
          <w:sz w:val="24"/>
          <w:szCs w:val="24"/>
        </w:rPr>
        <w:t>research</w:t>
      </w:r>
      <w:r w:rsidR="1DA87DDF" w:rsidRPr="00781FBD">
        <w:rPr>
          <w:rFonts w:ascii="Verdana" w:hAnsi="Verdana"/>
          <w:sz w:val="24"/>
          <w:szCs w:val="24"/>
        </w:rPr>
        <w:t xml:space="preserve"> </w:t>
      </w:r>
      <w:r w:rsidR="5863D2A6" w:rsidRPr="00781FBD">
        <w:rPr>
          <w:rFonts w:ascii="Verdana" w:hAnsi="Verdana"/>
          <w:sz w:val="24"/>
          <w:szCs w:val="24"/>
        </w:rPr>
        <w:t>(</w:t>
      </w:r>
      <w:r w:rsidR="0974AA35" w:rsidRPr="00781FBD">
        <w:rPr>
          <w:rFonts w:ascii="Verdana" w:hAnsi="Verdana"/>
          <w:sz w:val="24"/>
          <w:szCs w:val="24"/>
        </w:rPr>
        <w:t xml:space="preserve">2021) </w:t>
      </w:r>
      <w:r w:rsidRPr="00781FBD">
        <w:rPr>
          <w:rFonts w:ascii="Verdana" w:hAnsi="Verdana"/>
          <w:sz w:val="24"/>
          <w:szCs w:val="24"/>
        </w:rPr>
        <w:t>within MW’s Digital Education &amp; Engagement Roadmap</w:t>
      </w:r>
      <w:r w:rsidR="1A3F4B00" w:rsidRPr="00781FBD">
        <w:rPr>
          <w:rFonts w:ascii="Verdana" w:hAnsi="Verdana"/>
          <w:sz w:val="24"/>
          <w:szCs w:val="24"/>
        </w:rPr>
        <w:t>)</w:t>
      </w:r>
      <w:r w:rsidR="00F22BF1">
        <w:rPr>
          <w:rFonts w:ascii="Verdana" w:hAnsi="Verdana"/>
          <w:sz w:val="24"/>
          <w:szCs w:val="24"/>
        </w:rPr>
        <w:t>.</w:t>
      </w:r>
    </w:p>
    <w:p w14:paraId="72E000C9" w14:textId="5FDF9457" w:rsidR="005A6436" w:rsidRPr="00781FBD" w:rsidRDefault="005A6436" w:rsidP="005A6436">
      <w:pPr>
        <w:pStyle w:val="ListParagraph"/>
        <w:numPr>
          <w:ilvl w:val="0"/>
          <w:numId w:val="26"/>
        </w:numPr>
        <w:rPr>
          <w:rFonts w:ascii="Verdana" w:hAnsi="Verdana"/>
          <w:sz w:val="24"/>
          <w:szCs w:val="24"/>
        </w:rPr>
      </w:pPr>
      <w:r w:rsidRPr="00781FBD">
        <w:rPr>
          <w:rFonts w:ascii="Verdana" w:eastAsiaTheme="minorEastAsia" w:hAnsi="Verdana"/>
          <w:sz w:val="24"/>
          <w:szCs w:val="24"/>
        </w:rPr>
        <w:t>Investing in community involvement now also helps ensure waterways remain valued and healthy for future generations (inter-generational equity)</w:t>
      </w:r>
      <w:r w:rsidR="00F22BF1">
        <w:rPr>
          <w:rFonts w:ascii="Verdana" w:eastAsiaTheme="minorEastAsia" w:hAnsi="Verdana"/>
          <w:sz w:val="24"/>
          <w:szCs w:val="24"/>
        </w:rPr>
        <w:t>.</w:t>
      </w:r>
      <w:r w:rsidRPr="00781FBD">
        <w:rPr>
          <w:rFonts w:ascii="Verdana" w:eastAsiaTheme="minorEastAsia" w:hAnsi="Verdana"/>
          <w:sz w:val="24"/>
          <w:szCs w:val="24"/>
        </w:rPr>
        <w:t xml:space="preserve"> </w:t>
      </w:r>
    </w:p>
    <w:p w14:paraId="168B1F9A" w14:textId="49535E23" w:rsidR="00432A4C" w:rsidRPr="00781FBD" w:rsidRDefault="005A6436" w:rsidP="713F58FC">
      <w:pPr>
        <w:pStyle w:val="ListParagraph"/>
        <w:numPr>
          <w:ilvl w:val="0"/>
          <w:numId w:val="26"/>
        </w:numPr>
        <w:rPr>
          <w:rFonts w:ascii="Verdana" w:eastAsiaTheme="minorEastAsia" w:hAnsi="Verdana"/>
          <w:sz w:val="24"/>
          <w:szCs w:val="24"/>
        </w:rPr>
      </w:pPr>
      <w:r w:rsidRPr="00781FBD">
        <w:rPr>
          <w:rFonts w:ascii="Verdana" w:eastAsiaTheme="minorEastAsia" w:hAnsi="Verdana"/>
          <w:sz w:val="24"/>
          <w:szCs w:val="24"/>
        </w:rPr>
        <w:t>Threats of climate change and urbanisation are putting increasing pressure on Melbourne’s threatened species, which the community play a key role in monitoring and protecting.</w:t>
      </w:r>
    </w:p>
    <w:p w14:paraId="1E4F2F0C" w14:textId="77777777" w:rsidR="004E7C87" w:rsidRPr="004E7C87" w:rsidRDefault="004E7C87" w:rsidP="004E7C87">
      <w:pPr>
        <w:rPr>
          <w:rFonts w:ascii="Verdana" w:eastAsiaTheme="minorEastAsia" w:hAnsi="Verdana"/>
          <w:sz w:val="20"/>
          <w:szCs w:val="20"/>
        </w:rPr>
      </w:pPr>
    </w:p>
    <w:p w14:paraId="724815CF" w14:textId="25E7A063" w:rsidR="002908C2" w:rsidRPr="00781FBD" w:rsidRDefault="002908C2" w:rsidP="002908C2">
      <w:pPr>
        <w:spacing w:before="120" w:after="120" w:line="300" w:lineRule="atLeast"/>
        <w:rPr>
          <w:rFonts w:ascii="Verdana" w:eastAsia="Times New Roman" w:hAnsi="Verdana" w:cs="Times New Roman"/>
          <w:b/>
          <w:bCs/>
          <w:color w:val="2F5496" w:themeColor="accent5" w:themeShade="BF"/>
          <w:sz w:val="28"/>
          <w:szCs w:val="28"/>
        </w:rPr>
      </w:pPr>
      <w:r w:rsidRPr="00781FBD">
        <w:rPr>
          <w:rFonts w:ascii="Verdana" w:eastAsia="Times New Roman" w:hAnsi="Verdana" w:cs="Times New Roman"/>
          <w:b/>
          <w:bCs/>
          <w:color w:val="2F5496" w:themeColor="accent5" w:themeShade="BF"/>
          <w:sz w:val="28"/>
          <w:szCs w:val="28"/>
        </w:rPr>
        <w:t>Program costs</w:t>
      </w:r>
    </w:p>
    <w:tbl>
      <w:tblPr>
        <w:tblStyle w:val="TableGrid"/>
        <w:tblW w:w="8926" w:type="dxa"/>
        <w:tblLook w:val="04A0" w:firstRow="1" w:lastRow="0" w:firstColumn="1" w:lastColumn="0" w:noHBand="0" w:noVBand="1"/>
      </w:tblPr>
      <w:tblGrid>
        <w:gridCol w:w="3675"/>
        <w:gridCol w:w="5251"/>
      </w:tblGrid>
      <w:tr w:rsidR="006225C6" w:rsidRPr="00781FBD" w14:paraId="654A24A2" w14:textId="77777777" w:rsidTr="347BE6D7">
        <w:tc>
          <w:tcPr>
            <w:tcW w:w="3675" w:type="dxa"/>
          </w:tcPr>
          <w:p w14:paraId="742FD47E" w14:textId="77777777" w:rsidR="006225C6" w:rsidRPr="00781FBD" w:rsidRDefault="76DEEC1A" w:rsidP="347BE6D7">
            <w:pPr>
              <w:rPr>
                <w:rFonts w:ascii="Verdana" w:hAnsi="Verdana"/>
                <w:b/>
                <w:bCs/>
                <w:sz w:val="22"/>
              </w:rPr>
            </w:pPr>
            <w:r w:rsidRPr="00781FBD">
              <w:rPr>
                <w:rFonts w:ascii="Verdana" w:hAnsi="Verdana"/>
                <w:b/>
                <w:bCs/>
                <w:sz w:val="22"/>
              </w:rPr>
              <w:t>Program</w:t>
            </w:r>
          </w:p>
        </w:tc>
        <w:tc>
          <w:tcPr>
            <w:tcW w:w="5251" w:type="dxa"/>
          </w:tcPr>
          <w:p w14:paraId="69F7DF9B" w14:textId="77777777" w:rsidR="006225C6" w:rsidRPr="00781FBD" w:rsidRDefault="006225C6" w:rsidP="006E4701">
            <w:pPr>
              <w:rPr>
                <w:rFonts w:ascii="Verdana" w:hAnsi="Verdana"/>
                <w:b/>
                <w:sz w:val="22"/>
              </w:rPr>
            </w:pPr>
            <w:r w:rsidRPr="00781FBD">
              <w:rPr>
                <w:rFonts w:ascii="Verdana" w:hAnsi="Verdana"/>
                <w:b/>
                <w:sz w:val="22"/>
              </w:rPr>
              <w:t>Uplift</w:t>
            </w:r>
          </w:p>
        </w:tc>
      </w:tr>
      <w:tr w:rsidR="006225C6" w:rsidRPr="00781FBD" w14:paraId="28B7F7E2" w14:textId="77777777" w:rsidTr="347BE6D7">
        <w:tc>
          <w:tcPr>
            <w:tcW w:w="3675" w:type="dxa"/>
          </w:tcPr>
          <w:p w14:paraId="686C4732" w14:textId="77777777" w:rsidR="006225C6" w:rsidRPr="00781FBD" w:rsidRDefault="006225C6" w:rsidP="006E4701">
            <w:pPr>
              <w:rPr>
                <w:rFonts w:ascii="Verdana" w:hAnsi="Verdana"/>
                <w:sz w:val="22"/>
              </w:rPr>
            </w:pPr>
            <w:r w:rsidRPr="00781FBD">
              <w:rPr>
                <w:rFonts w:ascii="Verdana" w:hAnsi="Verdana"/>
                <w:sz w:val="22"/>
              </w:rPr>
              <w:t>New community engagement programs and activities</w:t>
            </w:r>
            <w:r w:rsidRPr="00781FBD">
              <w:rPr>
                <w:rFonts w:ascii="Verdana" w:hAnsi="Verdana"/>
                <w:b/>
                <w:bCs/>
                <w:sz w:val="22"/>
              </w:rPr>
              <w:t xml:space="preserve"> </w:t>
            </w:r>
            <w:r w:rsidRPr="00781FBD">
              <w:rPr>
                <w:rFonts w:ascii="Verdana" w:hAnsi="Verdana"/>
                <w:sz w:val="22"/>
              </w:rPr>
              <w:br/>
            </w:r>
            <w:r w:rsidRPr="00781FBD">
              <w:rPr>
                <w:rFonts w:ascii="Verdana" w:hAnsi="Verdana"/>
                <w:b/>
                <w:bCs/>
                <w:sz w:val="22"/>
              </w:rPr>
              <w:t>(uplift only)</w:t>
            </w:r>
          </w:p>
          <w:p w14:paraId="1CF43C08" w14:textId="77777777" w:rsidR="006225C6" w:rsidRPr="00781FBD" w:rsidRDefault="006225C6" w:rsidP="006E4701">
            <w:pPr>
              <w:rPr>
                <w:rFonts w:ascii="Verdana" w:hAnsi="Verdana"/>
                <w:b/>
                <w:sz w:val="22"/>
              </w:rPr>
            </w:pPr>
            <w:r w:rsidRPr="00781FBD">
              <w:rPr>
                <w:rFonts w:ascii="Verdana" w:hAnsi="Verdana"/>
                <w:b/>
                <w:sz w:val="22"/>
              </w:rPr>
              <w:t>$400K per year</w:t>
            </w:r>
          </w:p>
          <w:p w14:paraId="60AFC3D7" w14:textId="77777777" w:rsidR="006225C6" w:rsidRPr="00781FBD" w:rsidRDefault="006225C6" w:rsidP="006E4701">
            <w:pPr>
              <w:rPr>
                <w:rFonts w:ascii="Verdana" w:hAnsi="Verdana"/>
                <w:i/>
                <w:iCs/>
                <w:sz w:val="22"/>
              </w:rPr>
            </w:pPr>
          </w:p>
        </w:tc>
        <w:tc>
          <w:tcPr>
            <w:tcW w:w="5251" w:type="dxa"/>
          </w:tcPr>
          <w:p w14:paraId="51F8ED24" w14:textId="77777777" w:rsidR="006225C6" w:rsidRPr="00781FBD" w:rsidRDefault="006225C6" w:rsidP="006E4701">
            <w:pPr>
              <w:rPr>
                <w:rFonts w:ascii="Verdana" w:eastAsiaTheme="minorEastAsia" w:hAnsi="Verdana"/>
                <w:b/>
                <w:bCs/>
                <w:sz w:val="22"/>
              </w:rPr>
            </w:pPr>
            <w:r w:rsidRPr="00781FBD">
              <w:rPr>
                <w:rFonts w:ascii="Verdana" w:eastAsiaTheme="minorEastAsia" w:hAnsi="Verdana"/>
                <w:sz w:val="22"/>
              </w:rPr>
              <w:t xml:space="preserve">Waterway informational signage and infographics (including on-site interactive digital elements e.g. augmented reality) </w:t>
            </w:r>
            <w:r w:rsidRPr="00781FBD">
              <w:rPr>
                <w:rFonts w:ascii="Verdana" w:eastAsiaTheme="minorEastAsia" w:hAnsi="Verdana"/>
                <w:b/>
                <w:bCs/>
                <w:sz w:val="22"/>
              </w:rPr>
              <w:t>$230K</w:t>
            </w:r>
          </w:p>
          <w:p w14:paraId="55AE5658" w14:textId="77777777" w:rsidR="006225C6" w:rsidRPr="00781FBD" w:rsidRDefault="006225C6" w:rsidP="006E4701">
            <w:pPr>
              <w:rPr>
                <w:rFonts w:ascii="Verdana" w:eastAsiaTheme="minorEastAsia" w:hAnsi="Verdana"/>
                <w:sz w:val="22"/>
              </w:rPr>
            </w:pPr>
            <w:r w:rsidRPr="00781FBD">
              <w:rPr>
                <w:rFonts w:ascii="Verdana" w:eastAsiaTheme="minorEastAsia" w:hAnsi="Verdana"/>
                <w:sz w:val="22"/>
              </w:rPr>
              <w:t xml:space="preserve">Web-based interactive digital media (e.g. virtual tours) </w:t>
            </w:r>
            <w:r w:rsidRPr="00781FBD">
              <w:rPr>
                <w:rFonts w:ascii="Verdana" w:eastAsiaTheme="minorEastAsia" w:hAnsi="Verdana"/>
                <w:b/>
                <w:bCs/>
                <w:sz w:val="22"/>
              </w:rPr>
              <w:t>$100K</w:t>
            </w:r>
          </w:p>
          <w:p w14:paraId="1C3346C3" w14:textId="77777777" w:rsidR="006225C6" w:rsidRPr="00781FBD" w:rsidRDefault="006225C6" w:rsidP="006E4701">
            <w:pPr>
              <w:rPr>
                <w:rFonts w:ascii="Verdana" w:eastAsiaTheme="minorEastAsia" w:hAnsi="Verdana"/>
                <w:sz w:val="22"/>
              </w:rPr>
            </w:pPr>
            <w:r w:rsidRPr="00781FBD">
              <w:rPr>
                <w:rFonts w:ascii="Verdana" w:eastAsiaTheme="minorEastAsia" w:hAnsi="Verdana"/>
                <w:sz w:val="22"/>
              </w:rPr>
              <w:t xml:space="preserve">Community events (e.g. waterway litter blitz) </w:t>
            </w:r>
            <w:r w:rsidRPr="00781FBD">
              <w:rPr>
                <w:rFonts w:ascii="Verdana" w:eastAsiaTheme="minorEastAsia" w:hAnsi="Verdana"/>
                <w:b/>
                <w:bCs/>
                <w:sz w:val="22"/>
              </w:rPr>
              <w:t>$40K</w:t>
            </w:r>
          </w:p>
          <w:p w14:paraId="6CB2F6EE" w14:textId="7257CB59" w:rsidR="006225C6" w:rsidRPr="00781FBD" w:rsidRDefault="006225C6" w:rsidP="2F4D1433">
            <w:pPr>
              <w:spacing w:line="259" w:lineRule="auto"/>
              <w:rPr>
                <w:rFonts w:ascii="Verdana" w:eastAsiaTheme="minorEastAsia" w:hAnsi="Verdana"/>
                <w:sz w:val="22"/>
              </w:rPr>
            </w:pPr>
            <w:r w:rsidRPr="00781FBD">
              <w:rPr>
                <w:rFonts w:ascii="Verdana" w:eastAsiaTheme="minorEastAsia" w:hAnsi="Verdana"/>
                <w:sz w:val="22"/>
              </w:rPr>
              <w:t xml:space="preserve">Targeted social media </w:t>
            </w:r>
            <w:r w:rsidR="04BBEA3D" w:rsidRPr="00781FBD">
              <w:rPr>
                <w:rFonts w:ascii="Verdana" w:eastAsiaTheme="minorEastAsia" w:hAnsi="Verdana"/>
                <w:sz w:val="22"/>
              </w:rPr>
              <w:t xml:space="preserve">program </w:t>
            </w:r>
            <w:r w:rsidRPr="00781FBD">
              <w:rPr>
                <w:rFonts w:ascii="Verdana" w:eastAsiaTheme="minorEastAsia" w:hAnsi="Verdana"/>
                <w:b/>
                <w:bCs/>
                <w:sz w:val="22"/>
              </w:rPr>
              <w:t>$30K</w:t>
            </w:r>
          </w:p>
        </w:tc>
      </w:tr>
    </w:tbl>
    <w:p w14:paraId="790672E0" w14:textId="23F0D9F0" w:rsidR="00432A4C" w:rsidRDefault="00432A4C" w:rsidP="002908C2">
      <w:pPr>
        <w:spacing w:before="120" w:after="120" w:line="300" w:lineRule="atLeast"/>
        <w:rPr>
          <w:rFonts w:ascii="Verdana" w:eastAsia="Times New Roman" w:hAnsi="Verdana" w:cs="Times New Roman"/>
          <w:b/>
          <w:bCs/>
          <w:sz w:val="24"/>
          <w:szCs w:val="24"/>
        </w:rPr>
      </w:pPr>
    </w:p>
    <w:p w14:paraId="0771F849" w14:textId="77777777" w:rsidR="002908C2" w:rsidRPr="00781FBD" w:rsidRDefault="002908C2" w:rsidP="37C25321">
      <w:pPr>
        <w:spacing w:before="120" w:after="120" w:line="300" w:lineRule="atLeast"/>
        <w:rPr>
          <w:rFonts w:ascii="Verdana" w:eastAsia="Times New Roman" w:hAnsi="Verdana" w:cs="Times New Roman"/>
          <w:b/>
          <w:bCs/>
          <w:color w:val="2F5496" w:themeColor="accent5" w:themeShade="BF"/>
          <w:sz w:val="28"/>
          <w:szCs w:val="28"/>
        </w:rPr>
      </w:pPr>
      <w:r w:rsidRPr="00781FBD">
        <w:rPr>
          <w:rFonts w:ascii="Verdana" w:eastAsia="Times New Roman" w:hAnsi="Verdana" w:cs="Times New Roman"/>
          <w:b/>
          <w:bCs/>
          <w:color w:val="2F5496" w:themeColor="accent5" w:themeShade="BF"/>
          <w:sz w:val="28"/>
          <w:szCs w:val="28"/>
        </w:rPr>
        <w:t>Program benefits</w:t>
      </w:r>
    </w:p>
    <w:p w14:paraId="60768F75" w14:textId="06585655" w:rsidR="38E0BF08" w:rsidRPr="00781FBD" w:rsidRDefault="38E0BF08" w:rsidP="7A6E1FB3">
      <w:pPr>
        <w:rPr>
          <w:rFonts w:ascii="Verdana" w:eastAsiaTheme="minorEastAsia" w:hAnsi="Verdana"/>
          <w:b/>
          <w:color w:val="2F5496" w:themeColor="accent5" w:themeShade="BF"/>
          <w:sz w:val="24"/>
          <w:szCs w:val="24"/>
        </w:rPr>
      </w:pPr>
      <w:r w:rsidRPr="00781FBD">
        <w:rPr>
          <w:rFonts w:ascii="Verdana" w:eastAsiaTheme="minorEastAsia" w:hAnsi="Verdana"/>
          <w:b/>
          <w:color w:val="2F5496" w:themeColor="accent5" w:themeShade="BF"/>
          <w:sz w:val="24"/>
          <w:szCs w:val="24"/>
        </w:rPr>
        <w:t>Primary benefit</w:t>
      </w:r>
    </w:p>
    <w:p w14:paraId="306BEB02" w14:textId="5078C25F" w:rsidR="001A16BA" w:rsidRPr="00781FBD" w:rsidRDefault="001A16BA" w:rsidP="713F58FC">
      <w:pPr>
        <w:rPr>
          <w:rFonts w:ascii="Verdana" w:hAnsi="Verdana"/>
          <w:sz w:val="24"/>
          <w:szCs w:val="24"/>
        </w:rPr>
      </w:pPr>
      <w:r w:rsidRPr="00781FBD">
        <w:rPr>
          <w:rFonts w:ascii="Verdana" w:eastAsiaTheme="minorEastAsia" w:hAnsi="Verdana"/>
          <w:sz w:val="24"/>
          <w:szCs w:val="24"/>
        </w:rPr>
        <w:t xml:space="preserve">The </w:t>
      </w:r>
      <w:r w:rsidRPr="00781FBD">
        <w:rPr>
          <w:rFonts w:ascii="Verdana" w:hAnsi="Verdana"/>
          <w:sz w:val="24"/>
          <w:szCs w:val="24"/>
        </w:rPr>
        <w:t>primary benefit expected</w:t>
      </w:r>
      <w:r w:rsidRPr="00781FBD">
        <w:rPr>
          <w:rFonts w:ascii="Verdana" w:eastAsiaTheme="minorEastAsia" w:hAnsi="Verdana"/>
          <w:sz w:val="24"/>
          <w:szCs w:val="24"/>
        </w:rPr>
        <w:t xml:space="preserve"> to be delivered through this allocation is </w:t>
      </w:r>
      <w:r w:rsidR="00205B7E" w:rsidRPr="00781FBD">
        <w:rPr>
          <w:rFonts w:ascii="Verdana" w:eastAsiaTheme="minorEastAsia" w:hAnsi="Verdana"/>
          <w:sz w:val="24"/>
          <w:szCs w:val="24"/>
        </w:rPr>
        <w:t xml:space="preserve">the </w:t>
      </w:r>
      <w:r w:rsidR="7B961DAA" w:rsidRPr="00781FBD">
        <w:rPr>
          <w:rFonts w:ascii="Verdana" w:eastAsiaTheme="minorEastAsia" w:hAnsi="Verdana"/>
          <w:sz w:val="24"/>
          <w:szCs w:val="24"/>
        </w:rPr>
        <w:t>reduction</w:t>
      </w:r>
      <w:r w:rsidR="00205B7E" w:rsidRPr="00781FBD">
        <w:rPr>
          <w:rFonts w:ascii="Verdana" w:eastAsiaTheme="minorEastAsia" w:hAnsi="Verdana"/>
          <w:sz w:val="24"/>
          <w:szCs w:val="24"/>
        </w:rPr>
        <w:t xml:space="preserve"> of</w:t>
      </w:r>
      <w:r w:rsidR="00205B7E" w:rsidRPr="00781FBD">
        <w:rPr>
          <w:rFonts w:ascii="Verdana" w:hAnsi="Verdana"/>
          <w:sz w:val="24"/>
          <w:szCs w:val="24"/>
        </w:rPr>
        <w:t xml:space="preserve"> </w:t>
      </w:r>
      <w:r w:rsidR="15612257" w:rsidRPr="00781FBD">
        <w:rPr>
          <w:rFonts w:ascii="Verdana" w:hAnsi="Verdana"/>
          <w:sz w:val="24"/>
          <w:szCs w:val="24"/>
        </w:rPr>
        <w:t xml:space="preserve">environmental management costs including data collection and maintenance activities such as </w:t>
      </w:r>
      <w:r w:rsidR="3D97D5B9" w:rsidRPr="00781FBD">
        <w:rPr>
          <w:rFonts w:ascii="Verdana" w:hAnsi="Verdana"/>
          <w:sz w:val="24"/>
          <w:szCs w:val="24"/>
        </w:rPr>
        <w:t>revegetation</w:t>
      </w:r>
      <w:r w:rsidR="15612257" w:rsidRPr="00781FBD">
        <w:rPr>
          <w:rFonts w:ascii="Verdana" w:hAnsi="Verdana"/>
          <w:sz w:val="24"/>
          <w:szCs w:val="24"/>
        </w:rPr>
        <w:t xml:space="preserve"> and litter collect</w:t>
      </w:r>
      <w:r w:rsidR="66B59892" w:rsidRPr="00781FBD">
        <w:rPr>
          <w:rFonts w:ascii="Verdana" w:hAnsi="Verdana"/>
          <w:sz w:val="24"/>
          <w:szCs w:val="24"/>
        </w:rPr>
        <w:t>i</w:t>
      </w:r>
      <w:r w:rsidR="15612257" w:rsidRPr="00781FBD">
        <w:rPr>
          <w:rFonts w:ascii="Verdana" w:hAnsi="Verdana"/>
          <w:sz w:val="24"/>
          <w:szCs w:val="24"/>
        </w:rPr>
        <w:t xml:space="preserve">on. </w:t>
      </w:r>
    </w:p>
    <w:p w14:paraId="2FF1CEE1" w14:textId="723C8537" w:rsidR="001A16BA" w:rsidRPr="00781FBD" w:rsidRDefault="574E382D" w:rsidP="713F58FC">
      <w:pPr>
        <w:rPr>
          <w:rFonts w:ascii="Verdana" w:hAnsi="Verdana"/>
          <w:sz w:val="24"/>
          <w:szCs w:val="24"/>
        </w:rPr>
      </w:pPr>
      <w:r w:rsidRPr="00781FBD">
        <w:rPr>
          <w:rFonts w:ascii="Verdana" w:hAnsi="Verdana"/>
          <w:sz w:val="24"/>
          <w:szCs w:val="24"/>
        </w:rPr>
        <w:lastRenderedPageBreak/>
        <w:t>That reduction in costs is achieved through d</w:t>
      </w:r>
      <w:r w:rsidR="15612257" w:rsidRPr="00781FBD">
        <w:rPr>
          <w:rFonts w:ascii="Verdana" w:hAnsi="Verdana"/>
          <w:sz w:val="24"/>
          <w:szCs w:val="24"/>
        </w:rPr>
        <w:t>irect communit</w:t>
      </w:r>
      <w:r w:rsidR="30B07D9E" w:rsidRPr="00781FBD">
        <w:rPr>
          <w:rFonts w:ascii="Verdana" w:hAnsi="Verdana"/>
          <w:sz w:val="24"/>
          <w:szCs w:val="24"/>
        </w:rPr>
        <w:t>y involvement in waterway management activities such as citizen science and volunteering</w:t>
      </w:r>
      <w:r w:rsidR="6BCB3EDF" w:rsidRPr="00781FBD">
        <w:rPr>
          <w:rFonts w:ascii="Verdana" w:hAnsi="Verdana"/>
          <w:sz w:val="24"/>
          <w:szCs w:val="24"/>
        </w:rPr>
        <w:t xml:space="preserve"> activities, saving Melbourne Water paying contractors or conducting these activities directly (see </w:t>
      </w:r>
      <w:r w:rsidR="23827B9F" w:rsidRPr="00781FBD">
        <w:rPr>
          <w:rFonts w:ascii="Verdana" w:hAnsi="Verdana"/>
          <w:sz w:val="24"/>
          <w:szCs w:val="24"/>
        </w:rPr>
        <w:t xml:space="preserve">Frog Census, </w:t>
      </w:r>
      <w:r w:rsidR="6BCB3EDF" w:rsidRPr="00781FBD">
        <w:rPr>
          <w:rFonts w:ascii="Verdana" w:hAnsi="Verdana"/>
          <w:sz w:val="24"/>
          <w:szCs w:val="24"/>
        </w:rPr>
        <w:t xml:space="preserve">Platypus </w:t>
      </w:r>
      <w:r w:rsidR="48166530" w:rsidRPr="00781FBD">
        <w:rPr>
          <w:rFonts w:ascii="Verdana" w:hAnsi="Verdana"/>
          <w:sz w:val="24"/>
          <w:szCs w:val="24"/>
        </w:rPr>
        <w:t xml:space="preserve">Census </w:t>
      </w:r>
      <w:r w:rsidR="6BCB3EDF" w:rsidRPr="00781FBD">
        <w:rPr>
          <w:rFonts w:ascii="Verdana" w:hAnsi="Verdana"/>
          <w:sz w:val="24"/>
          <w:szCs w:val="24"/>
        </w:rPr>
        <w:t xml:space="preserve">and </w:t>
      </w:r>
      <w:r w:rsidR="6B08B5C5" w:rsidRPr="00781FBD">
        <w:rPr>
          <w:rFonts w:ascii="Verdana" w:hAnsi="Verdana"/>
          <w:sz w:val="24"/>
          <w:szCs w:val="24"/>
        </w:rPr>
        <w:t>L</w:t>
      </w:r>
      <w:r w:rsidR="6BCB3EDF" w:rsidRPr="00781FBD">
        <w:rPr>
          <w:rFonts w:ascii="Verdana" w:hAnsi="Verdana"/>
          <w:sz w:val="24"/>
          <w:szCs w:val="24"/>
        </w:rPr>
        <w:t xml:space="preserve">itter </w:t>
      </w:r>
      <w:r w:rsidR="4E972C63" w:rsidRPr="00781FBD">
        <w:rPr>
          <w:rFonts w:ascii="Verdana" w:hAnsi="Verdana"/>
          <w:sz w:val="24"/>
          <w:szCs w:val="24"/>
        </w:rPr>
        <w:t xml:space="preserve">case study </w:t>
      </w:r>
      <w:r w:rsidR="6BCB3EDF" w:rsidRPr="00781FBD">
        <w:rPr>
          <w:rFonts w:ascii="Verdana" w:hAnsi="Verdana"/>
          <w:sz w:val="24"/>
          <w:szCs w:val="24"/>
        </w:rPr>
        <w:t xml:space="preserve">examples). </w:t>
      </w:r>
    </w:p>
    <w:p w14:paraId="16AA6306" w14:textId="4F4E373F" w:rsidR="001A16BA" w:rsidRPr="00781FBD" w:rsidRDefault="007F8DD2" w:rsidP="713F58FC">
      <w:pPr>
        <w:rPr>
          <w:rFonts w:ascii="Verdana" w:hAnsi="Verdana"/>
          <w:sz w:val="24"/>
          <w:szCs w:val="24"/>
        </w:rPr>
      </w:pPr>
      <w:r w:rsidRPr="00781FBD">
        <w:rPr>
          <w:rFonts w:ascii="Verdana" w:hAnsi="Verdana"/>
          <w:sz w:val="24"/>
          <w:szCs w:val="24"/>
        </w:rPr>
        <w:t xml:space="preserve">The Community Involvement allocation contributes to these management cost savings by supporting citizen science and volunteer groups, and by engaging </w:t>
      </w:r>
      <w:r w:rsidR="245949DE" w:rsidRPr="00781FBD">
        <w:rPr>
          <w:rFonts w:ascii="Verdana" w:hAnsi="Verdana"/>
          <w:sz w:val="24"/>
          <w:szCs w:val="24"/>
        </w:rPr>
        <w:t xml:space="preserve">people in their natural environment to recruit more active participants. </w:t>
      </w:r>
    </w:p>
    <w:p w14:paraId="58781990" w14:textId="1609C18B" w:rsidR="001A16BA" w:rsidRPr="00781FBD" w:rsidRDefault="007F8DD2" w:rsidP="17C1B9B8">
      <w:pPr>
        <w:rPr>
          <w:rFonts w:ascii="Verdana" w:hAnsi="Verdana"/>
          <w:sz w:val="24"/>
          <w:szCs w:val="24"/>
        </w:rPr>
      </w:pPr>
      <w:r w:rsidRPr="00781FBD">
        <w:rPr>
          <w:rFonts w:ascii="Verdana" w:hAnsi="Verdana"/>
          <w:sz w:val="24"/>
          <w:szCs w:val="24"/>
        </w:rPr>
        <w:t xml:space="preserve">A reduction in </w:t>
      </w:r>
      <w:r w:rsidR="0BDCBE0A" w:rsidRPr="00781FBD">
        <w:rPr>
          <w:rFonts w:ascii="Verdana" w:hAnsi="Verdana"/>
          <w:sz w:val="24"/>
          <w:szCs w:val="24"/>
        </w:rPr>
        <w:t xml:space="preserve">future management </w:t>
      </w:r>
      <w:r w:rsidRPr="00781FBD">
        <w:rPr>
          <w:rFonts w:ascii="Verdana" w:hAnsi="Verdana"/>
          <w:sz w:val="24"/>
          <w:szCs w:val="24"/>
        </w:rPr>
        <w:t xml:space="preserve">costs </w:t>
      </w:r>
      <w:r w:rsidR="4AF06BE5" w:rsidRPr="00781FBD">
        <w:rPr>
          <w:rFonts w:ascii="Verdana" w:hAnsi="Verdana"/>
          <w:sz w:val="24"/>
          <w:szCs w:val="24"/>
        </w:rPr>
        <w:t xml:space="preserve">is also </w:t>
      </w:r>
      <w:r w:rsidRPr="00781FBD">
        <w:rPr>
          <w:rFonts w:ascii="Verdana" w:hAnsi="Verdana"/>
          <w:sz w:val="24"/>
          <w:szCs w:val="24"/>
        </w:rPr>
        <w:t xml:space="preserve">achieved </w:t>
      </w:r>
      <w:r w:rsidR="27F2455D" w:rsidRPr="00781FBD">
        <w:rPr>
          <w:rFonts w:ascii="Verdana" w:hAnsi="Verdana"/>
          <w:sz w:val="24"/>
          <w:szCs w:val="24"/>
        </w:rPr>
        <w:t xml:space="preserve">through </w:t>
      </w:r>
      <w:r w:rsidR="22960F0D" w:rsidRPr="00781FBD">
        <w:rPr>
          <w:rFonts w:ascii="Verdana" w:hAnsi="Verdana"/>
          <w:sz w:val="24"/>
          <w:szCs w:val="24"/>
        </w:rPr>
        <w:t xml:space="preserve">more experiential </w:t>
      </w:r>
      <w:r w:rsidR="27F2455D" w:rsidRPr="00781FBD">
        <w:rPr>
          <w:rFonts w:ascii="Verdana" w:hAnsi="Verdana"/>
          <w:sz w:val="24"/>
          <w:szCs w:val="24"/>
        </w:rPr>
        <w:t>community involvement activities like virtual tours, interpretive signage and other elements that involve the community in experiencing – directly or digitally – greater Melbourne’s waterways</w:t>
      </w:r>
      <w:r w:rsidR="76A0BAE5" w:rsidRPr="00781FBD">
        <w:rPr>
          <w:rFonts w:ascii="Verdana" w:hAnsi="Verdana"/>
          <w:sz w:val="24"/>
          <w:szCs w:val="24"/>
        </w:rPr>
        <w:t>.</w:t>
      </w:r>
      <w:r w:rsidR="27F2455D" w:rsidRPr="00781FBD">
        <w:rPr>
          <w:rFonts w:ascii="Verdana" w:hAnsi="Verdana"/>
          <w:sz w:val="24"/>
          <w:szCs w:val="24"/>
        </w:rPr>
        <w:t xml:space="preserve"> </w:t>
      </w:r>
      <w:r w:rsidR="24AE1E2F" w:rsidRPr="00781FBD">
        <w:rPr>
          <w:rFonts w:ascii="Verdana" w:hAnsi="Verdana"/>
          <w:sz w:val="24"/>
          <w:szCs w:val="24"/>
        </w:rPr>
        <w:t xml:space="preserve">Greater community connection to their environment leads to improved behaviours, which results in less vandalism, people respecting and ‘adopting’ local natural environments, and reduced stormwater pollution. </w:t>
      </w:r>
    </w:p>
    <w:p w14:paraId="08BD6662" w14:textId="14A1CC31" w:rsidR="001A16BA" w:rsidRPr="00781FBD" w:rsidRDefault="34C89E53" w:rsidP="17C1B9B8">
      <w:pPr>
        <w:rPr>
          <w:rFonts w:ascii="Verdana" w:hAnsi="Verdana"/>
          <w:sz w:val="24"/>
          <w:szCs w:val="24"/>
        </w:rPr>
      </w:pPr>
      <w:r w:rsidRPr="00781FBD">
        <w:rPr>
          <w:rFonts w:ascii="Verdana" w:hAnsi="Verdana"/>
          <w:sz w:val="24"/>
          <w:szCs w:val="24"/>
        </w:rPr>
        <w:t>Positive behaviour change resulting from experience of the environment or participation in events in or relating to nature is supported by a significant body of research (Duerden &amp; Witt 2010; Boyes &amp; Stanisstreet 2012; Gould et. al. 2019).</w:t>
      </w:r>
    </w:p>
    <w:p w14:paraId="7CADFBD5" w14:textId="5638B387" w:rsidR="001A16BA" w:rsidRPr="00781FBD" w:rsidRDefault="34C89E53" w:rsidP="17C1B9B8">
      <w:pPr>
        <w:rPr>
          <w:rFonts w:ascii="Verdana" w:hAnsi="Verdana"/>
          <w:sz w:val="24"/>
          <w:szCs w:val="24"/>
        </w:rPr>
      </w:pPr>
      <w:r w:rsidRPr="00781FBD">
        <w:rPr>
          <w:rFonts w:ascii="Verdana" w:hAnsi="Verdana"/>
          <w:sz w:val="24"/>
          <w:szCs w:val="24"/>
        </w:rPr>
        <w:t xml:space="preserve">However, </w:t>
      </w:r>
      <w:r w:rsidRPr="00781FBD">
        <w:rPr>
          <w:rFonts w:ascii="Verdana" w:hAnsi="Verdana"/>
          <w:i/>
          <w:iCs/>
          <w:sz w:val="24"/>
          <w:szCs w:val="24"/>
        </w:rPr>
        <w:t>q</w:t>
      </w:r>
      <w:r w:rsidR="24AE1E2F" w:rsidRPr="00781FBD">
        <w:rPr>
          <w:rFonts w:ascii="Verdana" w:hAnsi="Verdana"/>
          <w:i/>
          <w:iCs/>
          <w:sz w:val="24"/>
          <w:szCs w:val="24"/>
        </w:rPr>
        <w:t>uantifying</w:t>
      </w:r>
      <w:r w:rsidR="24AE1E2F" w:rsidRPr="00781FBD">
        <w:rPr>
          <w:rFonts w:ascii="Verdana" w:hAnsi="Verdana"/>
          <w:sz w:val="24"/>
          <w:szCs w:val="24"/>
        </w:rPr>
        <w:t xml:space="preserve"> a </w:t>
      </w:r>
      <w:r w:rsidR="2321718D" w:rsidRPr="00781FBD">
        <w:rPr>
          <w:rFonts w:ascii="Verdana" w:hAnsi="Verdana"/>
          <w:sz w:val="24"/>
          <w:szCs w:val="24"/>
        </w:rPr>
        <w:t xml:space="preserve">specific </w:t>
      </w:r>
      <w:r w:rsidR="24AE1E2F" w:rsidRPr="00781FBD">
        <w:rPr>
          <w:rFonts w:ascii="Verdana" w:hAnsi="Verdana"/>
          <w:sz w:val="24"/>
          <w:szCs w:val="24"/>
        </w:rPr>
        <w:t xml:space="preserve">reduction of </w:t>
      </w:r>
      <w:r w:rsidR="40949735" w:rsidRPr="00781FBD">
        <w:rPr>
          <w:rFonts w:ascii="Verdana" w:hAnsi="Verdana"/>
          <w:sz w:val="24"/>
          <w:szCs w:val="24"/>
        </w:rPr>
        <w:t xml:space="preserve">future </w:t>
      </w:r>
      <w:r w:rsidR="5E5C9C16" w:rsidRPr="00781FBD">
        <w:rPr>
          <w:rFonts w:ascii="Verdana" w:hAnsi="Verdana"/>
          <w:sz w:val="24"/>
          <w:szCs w:val="24"/>
        </w:rPr>
        <w:t xml:space="preserve">environmental </w:t>
      </w:r>
      <w:r w:rsidR="24AE1E2F" w:rsidRPr="00781FBD">
        <w:rPr>
          <w:rFonts w:ascii="Verdana" w:hAnsi="Verdana"/>
          <w:sz w:val="24"/>
          <w:szCs w:val="24"/>
        </w:rPr>
        <w:t xml:space="preserve">management costs </w:t>
      </w:r>
      <w:r w:rsidR="614954FA" w:rsidRPr="00781FBD">
        <w:rPr>
          <w:rFonts w:ascii="Verdana" w:hAnsi="Verdana"/>
          <w:sz w:val="24"/>
          <w:szCs w:val="24"/>
        </w:rPr>
        <w:t>because of</w:t>
      </w:r>
      <w:r w:rsidR="7A00B63A" w:rsidRPr="00781FBD">
        <w:rPr>
          <w:rFonts w:ascii="Verdana" w:hAnsi="Verdana"/>
          <w:sz w:val="24"/>
          <w:szCs w:val="24"/>
        </w:rPr>
        <w:t xml:space="preserve"> </w:t>
      </w:r>
      <w:r w:rsidR="24AE1E2F" w:rsidRPr="00781FBD">
        <w:rPr>
          <w:rFonts w:ascii="Verdana" w:hAnsi="Verdana"/>
          <w:sz w:val="24"/>
          <w:szCs w:val="24"/>
        </w:rPr>
        <w:t xml:space="preserve">improved community behaviour is </w:t>
      </w:r>
      <w:r w:rsidR="703A4C23" w:rsidRPr="00781FBD">
        <w:rPr>
          <w:rFonts w:ascii="Verdana" w:hAnsi="Verdana"/>
          <w:sz w:val="24"/>
          <w:szCs w:val="24"/>
        </w:rPr>
        <w:t>only an emerging field of research, represented in only a few studies f</w:t>
      </w:r>
      <w:r w:rsidR="0DFC18C0" w:rsidRPr="00781FBD">
        <w:rPr>
          <w:rFonts w:ascii="Verdana" w:hAnsi="Verdana"/>
          <w:sz w:val="24"/>
          <w:szCs w:val="24"/>
        </w:rPr>
        <w:t>rom other parts of the world</w:t>
      </w:r>
      <w:r w:rsidR="43CEFEF4" w:rsidRPr="00781FBD">
        <w:rPr>
          <w:rFonts w:ascii="Verdana" w:hAnsi="Verdana"/>
          <w:sz w:val="24"/>
          <w:szCs w:val="24"/>
        </w:rPr>
        <w:t xml:space="preserve">. </w:t>
      </w:r>
      <w:r w:rsidR="116C0BAD" w:rsidRPr="00781FBD">
        <w:rPr>
          <w:rFonts w:ascii="Verdana" w:hAnsi="Verdana"/>
          <w:sz w:val="24"/>
          <w:szCs w:val="24"/>
        </w:rPr>
        <w:t xml:space="preserve">One of those studies was </w:t>
      </w:r>
      <w:r w:rsidR="0DFF9620" w:rsidRPr="00781FBD">
        <w:rPr>
          <w:rFonts w:ascii="Verdana" w:hAnsi="Verdana"/>
          <w:sz w:val="24"/>
          <w:szCs w:val="24"/>
        </w:rPr>
        <w:t xml:space="preserve">a longitudinal </w:t>
      </w:r>
      <w:r w:rsidR="14140830" w:rsidRPr="00781FBD">
        <w:rPr>
          <w:rFonts w:ascii="Verdana" w:hAnsi="Verdana"/>
          <w:sz w:val="24"/>
          <w:szCs w:val="24"/>
        </w:rPr>
        <w:t>study</w:t>
      </w:r>
      <w:r w:rsidR="0DFF9620" w:rsidRPr="00781FBD">
        <w:rPr>
          <w:rFonts w:ascii="Verdana" w:hAnsi="Verdana"/>
          <w:sz w:val="24"/>
          <w:szCs w:val="24"/>
        </w:rPr>
        <w:t xml:space="preserve"> of costs and benefits of volunteering programs in the public sector</w:t>
      </w:r>
      <w:r w:rsidR="09FAA7CE" w:rsidRPr="00781FBD">
        <w:rPr>
          <w:rFonts w:ascii="Verdana" w:hAnsi="Verdana"/>
          <w:sz w:val="24"/>
          <w:szCs w:val="24"/>
        </w:rPr>
        <w:t xml:space="preserve"> across the United States</w:t>
      </w:r>
      <w:r w:rsidR="0DFF9620" w:rsidRPr="00781FBD">
        <w:rPr>
          <w:rFonts w:ascii="Verdana" w:hAnsi="Verdana"/>
          <w:sz w:val="24"/>
          <w:szCs w:val="24"/>
        </w:rPr>
        <w:t xml:space="preserve"> (Ivonchyk 2019). This study provides evidence that</w:t>
      </w:r>
      <w:r w:rsidR="6071E497" w:rsidRPr="00781FBD">
        <w:rPr>
          <w:rFonts w:ascii="Verdana" w:hAnsi="Verdana"/>
          <w:sz w:val="24"/>
          <w:szCs w:val="24"/>
        </w:rPr>
        <w:t xml:space="preserve"> </w:t>
      </w:r>
      <w:r w:rsidR="0DFF9620" w:rsidRPr="00781FBD">
        <w:rPr>
          <w:rFonts w:ascii="Verdana" w:hAnsi="Verdana"/>
          <w:sz w:val="24"/>
          <w:szCs w:val="24"/>
        </w:rPr>
        <w:t>suppor</w:t>
      </w:r>
      <w:r w:rsidR="52B8ED61" w:rsidRPr="00781FBD">
        <w:rPr>
          <w:rFonts w:ascii="Verdana" w:hAnsi="Verdana"/>
          <w:sz w:val="24"/>
          <w:szCs w:val="24"/>
        </w:rPr>
        <w:t>t</w:t>
      </w:r>
      <w:r w:rsidR="0F0069BD" w:rsidRPr="00781FBD">
        <w:rPr>
          <w:rFonts w:ascii="Verdana" w:hAnsi="Verdana"/>
          <w:sz w:val="24"/>
          <w:szCs w:val="24"/>
        </w:rPr>
        <w:t xml:space="preserve">ing </w:t>
      </w:r>
      <w:r w:rsidR="1AFED0B6" w:rsidRPr="00781FBD">
        <w:rPr>
          <w:rFonts w:ascii="Verdana" w:hAnsi="Verdana"/>
          <w:sz w:val="24"/>
          <w:szCs w:val="24"/>
        </w:rPr>
        <w:t xml:space="preserve">volunteer </w:t>
      </w:r>
      <w:r w:rsidR="0DFF9620" w:rsidRPr="00781FBD">
        <w:rPr>
          <w:rFonts w:ascii="Verdana" w:hAnsi="Verdana"/>
          <w:sz w:val="24"/>
          <w:szCs w:val="24"/>
        </w:rPr>
        <w:t xml:space="preserve">programs (rather than short-term projects), backed up by broader education programs, is an efficient and effective method for producing public sector value and reducing the direct costs of ongoing </w:t>
      </w:r>
      <w:r w:rsidR="3558A70C" w:rsidRPr="00781FBD">
        <w:rPr>
          <w:rFonts w:ascii="Verdana" w:hAnsi="Verdana"/>
          <w:sz w:val="24"/>
          <w:szCs w:val="24"/>
        </w:rPr>
        <w:t>management</w:t>
      </w:r>
      <w:r w:rsidR="0DFF9620" w:rsidRPr="00781FBD">
        <w:rPr>
          <w:rFonts w:ascii="Verdana" w:hAnsi="Verdana"/>
          <w:sz w:val="24"/>
          <w:szCs w:val="24"/>
        </w:rPr>
        <w:t xml:space="preserve"> (pp. 699-700).</w:t>
      </w:r>
    </w:p>
    <w:p w14:paraId="4DBDDFDA" w14:textId="6DA6F813" w:rsidR="11E204B5" w:rsidRPr="00781FBD" w:rsidRDefault="11E204B5" w:rsidP="7A6E1FB3">
      <w:pPr>
        <w:rPr>
          <w:rFonts w:ascii="Verdana" w:hAnsi="Verdana"/>
          <w:b/>
          <w:color w:val="2F5496" w:themeColor="accent5" w:themeShade="BF"/>
          <w:sz w:val="24"/>
          <w:szCs w:val="24"/>
        </w:rPr>
      </w:pPr>
      <w:r w:rsidRPr="00781FBD">
        <w:rPr>
          <w:rFonts w:ascii="Verdana" w:hAnsi="Verdana"/>
          <w:b/>
          <w:color w:val="2F5496" w:themeColor="accent5" w:themeShade="BF"/>
          <w:sz w:val="24"/>
          <w:szCs w:val="24"/>
        </w:rPr>
        <w:t>Additional benefits</w:t>
      </w:r>
    </w:p>
    <w:p w14:paraId="3A4C0C42" w14:textId="6A678032" w:rsidR="001A16BA" w:rsidRPr="00781FBD" w:rsidRDefault="001A16BA" w:rsidP="001A16BA">
      <w:pPr>
        <w:rPr>
          <w:rFonts w:ascii="Verdana" w:hAnsi="Verdana"/>
          <w:sz w:val="24"/>
          <w:szCs w:val="24"/>
        </w:rPr>
      </w:pPr>
      <w:r w:rsidRPr="00781FBD">
        <w:rPr>
          <w:rFonts w:ascii="Verdana" w:hAnsi="Verdana"/>
          <w:sz w:val="24"/>
          <w:szCs w:val="24"/>
        </w:rPr>
        <w:t xml:space="preserve">There are further economic benefits of community involvement in waterways through realised public health benefits of people increasingly utilising and interacting with green/blue open space. A 2019 economic study by Frontier Economics quantified in financial terms the range of benefits from water sector investments including improved amenity of spaces along waterways. Focusing just on the mental health benefits of ‘passive’ interaction with or exposure to blue-green spaces reveals notable financial benefits to people engaging more regularly with these spaces, even if that ‘engagement’ was only on the level of digital </w:t>
      </w:r>
      <w:r w:rsidRPr="00781FBD">
        <w:rPr>
          <w:rFonts w:ascii="Verdana" w:hAnsi="Verdana"/>
          <w:sz w:val="24"/>
          <w:szCs w:val="24"/>
        </w:rPr>
        <w:lastRenderedPageBreak/>
        <w:t>interaction. The study considered both direct costs deferred because of interaction with open space reducing public health costs of treating depression and stress, and indirect costs deferred by saving productivity</w:t>
      </w:r>
      <w:r w:rsidR="256B916B" w:rsidRPr="00781FBD">
        <w:rPr>
          <w:rFonts w:ascii="Verdana" w:hAnsi="Verdana"/>
          <w:sz w:val="24"/>
          <w:szCs w:val="24"/>
        </w:rPr>
        <w:t xml:space="preserve">. </w:t>
      </w:r>
      <w:r w:rsidRPr="00781FBD">
        <w:rPr>
          <w:rFonts w:ascii="Verdana" w:hAnsi="Verdana"/>
          <w:sz w:val="24"/>
          <w:szCs w:val="24"/>
        </w:rPr>
        <w:t xml:space="preserve">The uplift in this allocation would contribute to these reduced direct and indirect public health costs by connecting more Melburnians with the open space of waterways more regularly. </w:t>
      </w:r>
    </w:p>
    <w:p w14:paraId="127F0716" w14:textId="77777777" w:rsidR="001A16BA" w:rsidRPr="00781FBD" w:rsidRDefault="001A16BA" w:rsidP="001A16BA">
      <w:pPr>
        <w:rPr>
          <w:rFonts w:ascii="Verdana" w:hAnsi="Verdana"/>
          <w:sz w:val="24"/>
          <w:szCs w:val="24"/>
        </w:rPr>
      </w:pPr>
      <w:r w:rsidRPr="00781FBD">
        <w:rPr>
          <w:rFonts w:ascii="Verdana" w:hAnsi="Verdana"/>
          <w:sz w:val="24"/>
          <w:szCs w:val="24"/>
        </w:rPr>
        <w:t xml:space="preserve">Additionally, there are significant non-economic benefits to community involvement in waterways that include: </w:t>
      </w:r>
    </w:p>
    <w:p w14:paraId="2E3F98EE" w14:textId="785A1DB5" w:rsidR="001A16BA" w:rsidRPr="00781FBD" w:rsidRDefault="001A16BA" w:rsidP="001A16BA">
      <w:pPr>
        <w:pStyle w:val="ListBullet"/>
        <w:numPr>
          <w:ilvl w:val="0"/>
          <w:numId w:val="31"/>
        </w:numPr>
        <w:rPr>
          <w:rFonts w:ascii="Verdana" w:hAnsi="Verdana"/>
          <w:sz w:val="24"/>
          <w:szCs w:val="24"/>
        </w:rPr>
      </w:pPr>
      <w:r w:rsidRPr="00781FBD">
        <w:rPr>
          <w:rFonts w:ascii="Verdana" w:hAnsi="Verdana"/>
          <w:sz w:val="24"/>
          <w:szCs w:val="24"/>
        </w:rPr>
        <w:t>Improved individual wellbeing through connection to nature</w:t>
      </w:r>
      <w:r w:rsidR="33436D15" w:rsidRPr="00781FBD">
        <w:rPr>
          <w:rFonts w:ascii="Verdana" w:hAnsi="Verdana"/>
          <w:sz w:val="24"/>
          <w:szCs w:val="24"/>
        </w:rPr>
        <w:t xml:space="preserve"> (Perceptions of Waterways survey, 2020)</w:t>
      </w:r>
      <w:r w:rsidRPr="00781FBD">
        <w:rPr>
          <w:rFonts w:ascii="Verdana" w:hAnsi="Verdana"/>
          <w:sz w:val="24"/>
          <w:szCs w:val="24"/>
        </w:rPr>
        <w:t xml:space="preserve">. </w:t>
      </w:r>
    </w:p>
    <w:p w14:paraId="58DAB64E" w14:textId="69AC9A13" w:rsidR="001A16BA" w:rsidRPr="00781FBD" w:rsidRDefault="001A16BA" w:rsidP="001A16BA">
      <w:pPr>
        <w:pStyle w:val="ListBullet"/>
        <w:numPr>
          <w:ilvl w:val="0"/>
          <w:numId w:val="31"/>
        </w:numPr>
        <w:rPr>
          <w:rFonts w:ascii="Verdana" w:hAnsi="Verdana"/>
          <w:sz w:val="24"/>
          <w:szCs w:val="24"/>
        </w:rPr>
      </w:pPr>
      <w:r w:rsidRPr="00781FBD">
        <w:rPr>
          <w:rFonts w:ascii="Verdana" w:hAnsi="Verdana"/>
          <w:sz w:val="24"/>
          <w:szCs w:val="24"/>
        </w:rPr>
        <w:t xml:space="preserve">Improved understanding of and belief in the value of waterways as environmental assets, solidifying support for agencies to invest in their ongoing management, </w:t>
      </w:r>
      <w:r w:rsidR="558F49DD" w:rsidRPr="00781FBD">
        <w:rPr>
          <w:rFonts w:ascii="Verdana" w:hAnsi="Verdana"/>
          <w:sz w:val="24"/>
          <w:szCs w:val="24"/>
        </w:rPr>
        <w:t>i.e.,</w:t>
      </w:r>
      <w:r w:rsidRPr="00781FBD">
        <w:rPr>
          <w:rFonts w:ascii="Verdana" w:hAnsi="Verdana"/>
          <w:sz w:val="24"/>
          <w:szCs w:val="24"/>
        </w:rPr>
        <w:t xml:space="preserve"> securing social license for future direct investments. </w:t>
      </w:r>
    </w:p>
    <w:p w14:paraId="5990B1FD" w14:textId="77777777" w:rsidR="001A16BA" w:rsidRPr="00781FBD" w:rsidRDefault="001A16BA" w:rsidP="001A16BA">
      <w:pPr>
        <w:pStyle w:val="ListBullet"/>
        <w:numPr>
          <w:ilvl w:val="0"/>
          <w:numId w:val="31"/>
        </w:numPr>
        <w:rPr>
          <w:rFonts w:ascii="Verdana" w:hAnsi="Verdana"/>
          <w:sz w:val="24"/>
          <w:szCs w:val="24"/>
        </w:rPr>
      </w:pPr>
      <w:r w:rsidRPr="00781FBD">
        <w:rPr>
          <w:rFonts w:ascii="Verdana" w:hAnsi="Verdana"/>
          <w:sz w:val="24"/>
          <w:szCs w:val="24"/>
        </w:rPr>
        <w:t>Participation in waterway management decision-making – as reflected in the ESC’s own PREMO model – which requires a degree of literacy with water issues that will be supported by this program.</w:t>
      </w:r>
    </w:p>
    <w:p w14:paraId="3DF36475" w14:textId="421D1744" w:rsidR="610A3527" w:rsidRDefault="610A3527" w:rsidP="300993F5">
      <w:pPr>
        <w:rPr>
          <w:rFonts w:ascii="Verdana" w:hAnsi="Verdana"/>
          <w:sz w:val="20"/>
          <w:szCs w:val="20"/>
        </w:rPr>
      </w:pPr>
      <w:r w:rsidRPr="00781FBD">
        <w:rPr>
          <w:rFonts w:ascii="Verdana" w:hAnsi="Verdana"/>
          <w:sz w:val="24"/>
          <w:szCs w:val="24"/>
        </w:rPr>
        <w:t>This allocation also delivers on Melbourne Water’s stated goal of improving water literacy. Water literacy is knowledge of water sources, water management and water-related issues. Higher water literacy is linked to higher acceptance of alternative water sources and higher uptake of water saving behaviours (research for South East Queensland Water; KANTAR, 2020). We need to equip communities with this knowledge to enable them to participate in decision-making about our desired future services. Research by the CRC for Water Sensitive Cities indicates Victorian’s have low levels of water literacy, compared to other states</w:t>
      </w:r>
      <w:r w:rsidRPr="0B26FF4E">
        <w:rPr>
          <w:rFonts w:ascii="Verdana" w:hAnsi="Verdana"/>
          <w:sz w:val="20"/>
          <w:szCs w:val="20"/>
        </w:rPr>
        <w:t>.</w:t>
      </w:r>
    </w:p>
    <w:p w14:paraId="7E979380" w14:textId="176B8BDB" w:rsidR="300993F5" w:rsidRDefault="300993F5" w:rsidP="300993F5">
      <w:pPr>
        <w:spacing w:before="120" w:after="120" w:line="300" w:lineRule="atLeast"/>
        <w:rPr>
          <w:rFonts w:ascii="Verdana" w:eastAsia="Times New Roman" w:hAnsi="Verdana" w:cs="Times New Roman"/>
          <w:szCs w:val="18"/>
          <w:lang w:val="en-US" w:eastAsia="en-AU"/>
        </w:rPr>
      </w:pPr>
    </w:p>
    <w:p w14:paraId="4D2BE1B1" w14:textId="77777777" w:rsidR="00432A4C" w:rsidRPr="00781FBD" w:rsidRDefault="00432A4C" w:rsidP="00432A4C">
      <w:pPr>
        <w:spacing w:before="120" w:after="120" w:line="300" w:lineRule="atLeast"/>
        <w:rPr>
          <w:rFonts w:ascii="Verdana" w:eastAsia="Times New Roman" w:hAnsi="Verdana" w:cs="Times New Roman"/>
          <w:b/>
          <w:bCs/>
          <w:color w:val="2F5496" w:themeColor="accent5" w:themeShade="BF"/>
          <w:sz w:val="28"/>
          <w:szCs w:val="28"/>
        </w:rPr>
      </w:pPr>
      <w:r w:rsidRPr="00781FBD">
        <w:rPr>
          <w:rFonts w:ascii="Verdana" w:eastAsia="Times New Roman" w:hAnsi="Verdana" w:cs="Times New Roman"/>
          <w:b/>
          <w:bCs/>
          <w:color w:val="2F5496" w:themeColor="accent5" w:themeShade="BF"/>
          <w:sz w:val="28"/>
          <w:szCs w:val="28"/>
        </w:rPr>
        <w:t>Risks</w:t>
      </w:r>
    </w:p>
    <w:p w14:paraId="78604281" w14:textId="77777777" w:rsidR="001A16BA" w:rsidRPr="00781FBD" w:rsidRDefault="001A16BA" w:rsidP="001A16BA">
      <w:pPr>
        <w:pStyle w:val="ListBullet"/>
        <w:numPr>
          <w:ilvl w:val="0"/>
          <w:numId w:val="32"/>
        </w:numPr>
        <w:rPr>
          <w:rFonts w:ascii="Verdana" w:hAnsi="Verdana"/>
          <w:sz w:val="24"/>
          <w:szCs w:val="24"/>
        </w:rPr>
      </w:pPr>
      <w:r w:rsidRPr="00781FBD">
        <w:rPr>
          <w:rFonts w:ascii="Verdana" w:hAnsi="Verdana"/>
          <w:sz w:val="24"/>
          <w:szCs w:val="24"/>
        </w:rPr>
        <w:t xml:space="preserve">There is a limit to the amount of data and monitoring that can be done by agencies alone. </w:t>
      </w:r>
    </w:p>
    <w:p w14:paraId="73F9AFF7" w14:textId="12F5E1D0" w:rsidR="688FDD97" w:rsidRPr="00781FBD" w:rsidRDefault="688FDD97" w:rsidP="0B26FF4E">
      <w:pPr>
        <w:pStyle w:val="ListBullet"/>
        <w:numPr>
          <w:ilvl w:val="0"/>
          <w:numId w:val="32"/>
        </w:numPr>
        <w:rPr>
          <w:sz w:val="24"/>
          <w:szCs w:val="24"/>
        </w:rPr>
      </w:pPr>
      <w:r w:rsidRPr="00781FBD">
        <w:rPr>
          <w:rFonts w:ascii="Verdana" w:hAnsi="Verdana"/>
          <w:sz w:val="24"/>
          <w:szCs w:val="24"/>
        </w:rPr>
        <w:t>Without continuing to sup</w:t>
      </w:r>
      <w:r w:rsidR="77963E38" w:rsidRPr="00781FBD">
        <w:rPr>
          <w:rFonts w:ascii="Verdana" w:hAnsi="Verdana"/>
          <w:sz w:val="24"/>
          <w:szCs w:val="24"/>
        </w:rPr>
        <w:t>p</w:t>
      </w:r>
      <w:r w:rsidRPr="00781FBD">
        <w:rPr>
          <w:rFonts w:ascii="Verdana" w:hAnsi="Verdana"/>
          <w:sz w:val="24"/>
          <w:szCs w:val="24"/>
        </w:rPr>
        <w:t xml:space="preserve">ort data collection by community, monitoring on </w:t>
      </w:r>
      <w:r w:rsidR="4F7D5AD8" w:rsidRPr="00781FBD">
        <w:rPr>
          <w:rFonts w:ascii="Verdana" w:hAnsi="Verdana"/>
          <w:sz w:val="24"/>
          <w:szCs w:val="24"/>
        </w:rPr>
        <w:t xml:space="preserve">waterway </w:t>
      </w:r>
      <w:r w:rsidRPr="00781FBD">
        <w:rPr>
          <w:rFonts w:ascii="Verdana" w:hAnsi="Verdana"/>
          <w:sz w:val="24"/>
          <w:szCs w:val="24"/>
        </w:rPr>
        <w:t>species will di</w:t>
      </w:r>
      <w:r w:rsidR="7D78A27A" w:rsidRPr="00781FBD">
        <w:rPr>
          <w:rFonts w:ascii="Verdana" w:hAnsi="Verdana"/>
          <w:sz w:val="24"/>
          <w:szCs w:val="24"/>
        </w:rPr>
        <w:t>m</w:t>
      </w:r>
      <w:r w:rsidR="436E8C09" w:rsidRPr="00781FBD">
        <w:rPr>
          <w:rFonts w:ascii="Verdana" w:hAnsi="Verdana"/>
          <w:sz w:val="24"/>
          <w:szCs w:val="24"/>
        </w:rPr>
        <w:t>in</w:t>
      </w:r>
      <w:r w:rsidR="7D78A27A" w:rsidRPr="00781FBD">
        <w:rPr>
          <w:rFonts w:ascii="Verdana" w:hAnsi="Verdana"/>
          <w:sz w:val="24"/>
          <w:szCs w:val="24"/>
        </w:rPr>
        <w:t>ish</w:t>
      </w:r>
      <w:r w:rsidRPr="00781FBD">
        <w:rPr>
          <w:rFonts w:ascii="Verdana" w:hAnsi="Verdana"/>
          <w:sz w:val="24"/>
          <w:szCs w:val="24"/>
        </w:rPr>
        <w:t xml:space="preserve"> </w:t>
      </w:r>
      <w:r w:rsidR="553892F2" w:rsidRPr="00781FBD">
        <w:rPr>
          <w:rFonts w:ascii="Verdana" w:hAnsi="Verdana"/>
          <w:sz w:val="24"/>
          <w:szCs w:val="24"/>
        </w:rPr>
        <w:t xml:space="preserve">increasing the </w:t>
      </w:r>
      <w:r w:rsidRPr="00781FBD">
        <w:rPr>
          <w:rFonts w:ascii="Verdana" w:hAnsi="Verdana"/>
          <w:sz w:val="24"/>
          <w:szCs w:val="24"/>
        </w:rPr>
        <w:t>risk</w:t>
      </w:r>
      <w:r w:rsidR="2ECFCD71" w:rsidRPr="00781FBD">
        <w:rPr>
          <w:rFonts w:ascii="Verdana" w:hAnsi="Verdana"/>
          <w:sz w:val="24"/>
          <w:szCs w:val="24"/>
        </w:rPr>
        <w:t xml:space="preserve"> of</w:t>
      </w:r>
      <w:r w:rsidRPr="00781FBD">
        <w:rPr>
          <w:rFonts w:ascii="Verdana" w:hAnsi="Verdana"/>
          <w:sz w:val="24"/>
          <w:szCs w:val="24"/>
        </w:rPr>
        <w:t xml:space="preserve"> local extinctions of threatened species.</w:t>
      </w:r>
    </w:p>
    <w:p w14:paraId="134D0146" w14:textId="77777777" w:rsidR="001A16BA" w:rsidRPr="00781FBD" w:rsidRDefault="001A16BA" w:rsidP="001A16BA">
      <w:pPr>
        <w:pStyle w:val="ListBullet"/>
        <w:numPr>
          <w:ilvl w:val="0"/>
          <w:numId w:val="32"/>
        </w:numPr>
        <w:rPr>
          <w:rFonts w:ascii="Verdana" w:hAnsi="Verdana"/>
          <w:sz w:val="24"/>
          <w:szCs w:val="24"/>
        </w:rPr>
      </w:pPr>
      <w:r w:rsidRPr="00781FBD">
        <w:rPr>
          <w:rFonts w:ascii="Verdana" w:hAnsi="Verdana"/>
          <w:sz w:val="24"/>
          <w:szCs w:val="24"/>
        </w:rPr>
        <w:t xml:space="preserve">Without increasing understanding of the water cycle and the importance of healthy waterways for habitat and human wellbeing, the community is ill-equipped to participate in management decision making. </w:t>
      </w:r>
    </w:p>
    <w:p w14:paraId="0C36A61C" w14:textId="4D465967" w:rsidR="001A16BA" w:rsidRPr="00781FBD" w:rsidRDefault="001A16BA" w:rsidP="0B26FF4E">
      <w:pPr>
        <w:pStyle w:val="ListBullet"/>
        <w:numPr>
          <w:ilvl w:val="0"/>
          <w:numId w:val="32"/>
        </w:numPr>
        <w:rPr>
          <w:rFonts w:ascii="Verdana" w:eastAsiaTheme="minorEastAsia" w:hAnsi="Verdana"/>
          <w:sz w:val="24"/>
          <w:szCs w:val="24"/>
        </w:rPr>
      </w:pPr>
      <w:r w:rsidRPr="00781FBD">
        <w:rPr>
          <w:rFonts w:ascii="Verdana" w:hAnsi="Verdana"/>
          <w:sz w:val="24"/>
          <w:szCs w:val="24"/>
        </w:rPr>
        <w:t xml:space="preserve">Without an uplift in </w:t>
      </w:r>
      <w:r w:rsidR="6AF192B0" w:rsidRPr="00781FBD">
        <w:rPr>
          <w:rFonts w:ascii="Verdana" w:hAnsi="Verdana"/>
          <w:sz w:val="24"/>
          <w:szCs w:val="24"/>
        </w:rPr>
        <w:t>investment,</w:t>
      </w:r>
      <w:r w:rsidRPr="00781FBD">
        <w:rPr>
          <w:rFonts w:ascii="Verdana" w:hAnsi="Verdana"/>
          <w:sz w:val="24"/>
          <w:szCs w:val="24"/>
        </w:rPr>
        <w:t xml:space="preserve"> it is difficult to target engagement and education, which risks leaving CALD and other diverse communities behind.  </w:t>
      </w:r>
    </w:p>
    <w:p w14:paraId="46CDDFD7" w14:textId="13DBC254" w:rsidR="3064BE1C" w:rsidRPr="00781FBD" w:rsidRDefault="3064BE1C" w:rsidP="0B26FF4E">
      <w:pPr>
        <w:pStyle w:val="ListBullet"/>
        <w:numPr>
          <w:ilvl w:val="0"/>
          <w:numId w:val="32"/>
        </w:numPr>
        <w:rPr>
          <w:sz w:val="24"/>
          <w:szCs w:val="24"/>
        </w:rPr>
      </w:pPr>
      <w:r w:rsidRPr="00781FBD">
        <w:rPr>
          <w:rFonts w:ascii="Verdana" w:hAnsi="Verdana"/>
          <w:sz w:val="24"/>
          <w:szCs w:val="24"/>
        </w:rPr>
        <w:lastRenderedPageBreak/>
        <w:t xml:space="preserve">Failing to deliver on community expectations </w:t>
      </w:r>
      <w:r w:rsidR="35337C35" w:rsidRPr="00781FBD">
        <w:rPr>
          <w:rFonts w:ascii="Verdana" w:hAnsi="Verdana"/>
          <w:sz w:val="24"/>
          <w:szCs w:val="24"/>
        </w:rPr>
        <w:t>as demonstrated in HWS targets is a risk to Melbourne Water’s reputation.</w:t>
      </w:r>
    </w:p>
    <w:p w14:paraId="278F452F" w14:textId="5D7D4DA9" w:rsidR="001A16BA" w:rsidRPr="00781FBD" w:rsidRDefault="001A16BA" w:rsidP="001A16BA">
      <w:pPr>
        <w:pStyle w:val="ListBullet"/>
        <w:numPr>
          <w:ilvl w:val="0"/>
          <w:numId w:val="32"/>
        </w:numPr>
        <w:rPr>
          <w:rFonts w:ascii="Verdana" w:hAnsi="Verdana"/>
          <w:sz w:val="24"/>
          <w:szCs w:val="24"/>
        </w:rPr>
      </w:pPr>
      <w:r w:rsidRPr="00781FBD">
        <w:rPr>
          <w:rFonts w:ascii="Verdana" w:hAnsi="Verdana"/>
          <w:sz w:val="24"/>
          <w:szCs w:val="24"/>
        </w:rPr>
        <w:t>Without increased investment in education,</w:t>
      </w:r>
      <w:r w:rsidR="77421797" w:rsidRPr="00781FBD">
        <w:rPr>
          <w:rFonts w:ascii="Verdana" w:hAnsi="Verdana"/>
          <w:sz w:val="24"/>
          <w:szCs w:val="24"/>
        </w:rPr>
        <w:t xml:space="preserve"> which is a key </w:t>
      </w:r>
      <w:r w:rsidR="6516B8AF" w:rsidRPr="00781FBD">
        <w:rPr>
          <w:rFonts w:ascii="Verdana" w:hAnsi="Verdana"/>
          <w:sz w:val="24"/>
          <w:szCs w:val="24"/>
        </w:rPr>
        <w:t xml:space="preserve">complement and </w:t>
      </w:r>
      <w:r w:rsidR="77421797" w:rsidRPr="00781FBD">
        <w:rPr>
          <w:rFonts w:ascii="Verdana" w:hAnsi="Verdana"/>
          <w:sz w:val="24"/>
          <w:szCs w:val="24"/>
        </w:rPr>
        <w:t xml:space="preserve">support for </w:t>
      </w:r>
      <w:r w:rsidRPr="00781FBD">
        <w:rPr>
          <w:rFonts w:ascii="Verdana" w:hAnsi="Verdana"/>
          <w:sz w:val="24"/>
          <w:szCs w:val="24"/>
        </w:rPr>
        <w:t>infrastructure and enforcement</w:t>
      </w:r>
      <w:r w:rsidR="2801FA0A" w:rsidRPr="00781FBD">
        <w:rPr>
          <w:rFonts w:ascii="Verdana" w:hAnsi="Verdana"/>
          <w:sz w:val="24"/>
          <w:szCs w:val="24"/>
        </w:rPr>
        <w:t xml:space="preserve"> approaches</w:t>
      </w:r>
      <w:r w:rsidRPr="00781FBD">
        <w:rPr>
          <w:rFonts w:ascii="Verdana" w:hAnsi="Verdana"/>
          <w:sz w:val="24"/>
          <w:szCs w:val="24"/>
        </w:rPr>
        <w:t xml:space="preserve">, it is expected that the volume of litter </w:t>
      </w:r>
      <w:r w:rsidR="28314C7B" w:rsidRPr="00781FBD">
        <w:rPr>
          <w:rFonts w:ascii="Verdana" w:hAnsi="Verdana"/>
          <w:sz w:val="24"/>
          <w:szCs w:val="24"/>
        </w:rPr>
        <w:t xml:space="preserve">and pollution </w:t>
      </w:r>
      <w:r w:rsidRPr="00781FBD">
        <w:rPr>
          <w:rFonts w:ascii="Verdana" w:hAnsi="Verdana"/>
          <w:sz w:val="24"/>
          <w:szCs w:val="24"/>
        </w:rPr>
        <w:t xml:space="preserve">in our waterways will continue to increase </w:t>
      </w:r>
      <w:r w:rsidR="6410769C" w:rsidRPr="00781FBD">
        <w:rPr>
          <w:rFonts w:ascii="Verdana" w:hAnsi="Verdana"/>
          <w:sz w:val="24"/>
          <w:szCs w:val="24"/>
        </w:rPr>
        <w:t>because of</w:t>
      </w:r>
      <w:r w:rsidRPr="00781FBD">
        <w:rPr>
          <w:rFonts w:ascii="Verdana" w:hAnsi="Verdana"/>
          <w:sz w:val="24"/>
          <w:szCs w:val="24"/>
        </w:rPr>
        <w:t xml:space="preserve"> population growth and urbanisation.</w:t>
      </w:r>
    </w:p>
    <w:p w14:paraId="08B7D903" w14:textId="30ECF783" w:rsidR="002908C2" w:rsidRPr="00781FBD" w:rsidRDefault="002908C2" w:rsidP="002908C2">
      <w:pPr>
        <w:spacing w:before="120" w:after="120" w:line="300" w:lineRule="atLeast"/>
        <w:rPr>
          <w:rFonts w:ascii="Verdana" w:eastAsia="Times New Roman" w:hAnsi="Verdana" w:cs="Times New Roman"/>
          <w:b/>
          <w:bCs/>
          <w:color w:val="2F5496" w:themeColor="accent5" w:themeShade="BF"/>
          <w:sz w:val="28"/>
          <w:szCs w:val="28"/>
        </w:rPr>
      </w:pPr>
      <w:bookmarkStart w:id="0" w:name="_GoBack"/>
      <w:bookmarkEnd w:id="0"/>
      <w:r w:rsidRPr="00781FBD">
        <w:rPr>
          <w:rFonts w:ascii="Verdana" w:eastAsia="Times New Roman" w:hAnsi="Verdana" w:cs="Times New Roman"/>
          <w:b/>
          <w:bCs/>
          <w:color w:val="2F5496" w:themeColor="accent5" w:themeShade="BF"/>
          <w:sz w:val="28"/>
          <w:szCs w:val="28"/>
        </w:rPr>
        <w:t xml:space="preserve">Program implementation </w:t>
      </w:r>
    </w:p>
    <w:p w14:paraId="653DDF8A" w14:textId="166AE9FC" w:rsidR="001A16BA" w:rsidRPr="00781FBD" w:rsidRDefault="23584AC2" w:rsidP="00781FBD">
      <w:pPr>
        <w:spacing w:after="0" w:line="300" w:lineRule="atLeast"/>
        <w:rPr>
          <w:rFonts w:ascii="Verdana" w:eastAsia="Times New Roman" w:hAnsi="Verdana" w:cs="Times New Roman"/>
          <w:sz w:val="24"/>
          <w:szCs w:val="24"/>
          <w:lang w:val="en-US" w:eastAsia="en-AU"/>
        </w:rPr>
      </w:pPr>
      <w:r w:rsidRPr="00781FBD">
        <w:rPr>
          <w:rFonts w:ascii="Verdana" w:eastAsia="Times New Roman" w:hAnsi="Verdana" w:cs="Times New Roman"/>
          <w:sz w:val="24"/>
          <w:szCs w:val="24"/>
          <w:lang w:val="en-US" w:eastAsia="en-AU"/>
        </w:rPr>
        <w:t>Program implementation will be delivered through existing teams within Melbourne Water with a strong history of working together on projects and utilising the</w:t>
      </w:r>
      <w:r w:rsidR="001A16BA" w:rsidRPr="00781FBD">
        <w:rPr>
          <w:rFonts w:ascii="Verdana" w:eastAsia="Times New Roman" w:hAnsi="Verdana" w:cs="Times New Roman"/>
          <w:sz w:val="24"/>
          <w:szCs w:val="24"/>
          <w:lang w:val="en-US" w:eastAsia="en-AU"/>
        </w:rPr>
        <w:t xml:space="preserve"> Healthy Waterways Strategy </w:t>
      </w:r>
      <w:r w:rsidR="530C38CA" w:rsidRPr="00781FBD">
        <w:rPr>
          <w:rFonts w:ascii="Verdana" w:eastAsia="Times New Roman" w:hAnsi="Verdana" w:cs="Times New Roman"/>
          <w:sz w:val="24"/>
          <w:szCs w:val="24"/>
          <w:lang w:val="en-US" w:eastAsia="en-AU"/>
        </w:rPr>
        <w:t>a</w:t>
      </w:r>
      <w:r w:rsidR="001A16BA" w:rsidRPr="00781FBD">
        <w:rPr>
          <w:rFonts w:ascii="Verdana" w:eastAsia="Times New Roman" w:hAnsi="Verdana" w:cs="Times New Roman"/>
          <w:sz w:val="24"/>
          <w:szCs w:val="24"/>
          <w:lang w:val="en-US" w:eastAsia="en-AU"/>
        </w:rPr>
        <w:t>s a framework for prioritizing delivery of the program across the region</w:t>
      </w:r>
      <w:r w:rsidR="3E153ACD" w:rsidRPr="00781FBD">
        <w:rPr>
          <w:rFonts w:ascii="Verdana" w:eastAsia="Times New Roman" w:hAnsi="Verdana" w:cs="Times New Roman"/>
          <w:sz w:val="24"/>
          <w:szCs w:val="24"/>
          <w:lang w:val="en-US" w:eastAsia="en-AU"/>
        </w:rPr>
        <w:t xml:space="preserve">. Audience / social research to inform targeting of activities will be a key element of new activities to be delivered as part of this allocation. </w:t>
      </w:r>
      <w:r w:rsidR="001A16BA" w:rsidRPr="00781FBD">
        <w:rPr>
          <w:rFonts w:ascii="Verdana" w:eastAsia="Times New Roman" w:hAnsi="Verdana" w:cs="Times New Roman"/>
          <w:sz w:val="24"/>
          <w:szCs w:val="24"/>
          <w:lang w:val="en-US" w:eastAsia="en-AU"/>
        </w:rPr>
        <w:t xml:space="preserve"> </w:t>
      </w:r>
    </w:p>
    <w:p w14:paraId="768CBA9F" w14:textId="77777777" w:rsidR="00781FBD" w:rsidRDefault="00781FBD" w:rsidP="00781FBD">
      <w:pPr>
        <w:spacing w:after="0" w:line="300" w:lineRule="atLeast"/>
        <w:rPr>
          <w:rFonts w:ascii="Verdana" w:eastAsia="Times New Roman" w:hAnsi="Verdana" w:cs="Times New Roman"/>
          <w:sz w:val="24"/>
          <w:szCs w:val="24"/>
          <w:lang w:val="en-US" w:eastAsia="en-AU"/>
        </w:rPr>
      </w:pPr>
    </w:p>
    <w:p w14:paraId="6E6738C2" w14:textId="51319778" w:rsidR="001A16BA" w:rsidRPr="00781FBD" w:rsidRDefault="1793823E" w:rsidP="00781FBD">
      <w:pPr>
        <w:spacing w:after="0" w:line="300" w:lineRule="atLeast"/>
        <w:rPr>
          <w:rFonts w:ascii="Verdana" w:eastAsia="Times New Roman" w:hAnsi="Verdana" w:cs="Times New Roman"/>
          <w:sz w:val="24"/>
          <w:szCs w:val="24"/>
          <w:lang w:val="en-US" w:eastAsia="en-AU"/>
        </w:rPr>
      </w:pPr>
      <w:r w:rsidRPr="00781FBD">
        <w:rPr>
          <w:rFonts w:ascii="Verdana" w:eastAsia="Times New Roman" w:hAnsi="Verdana" w:cs="Times New Roman"/>
          <w:sz w:val="24"/>
          <w:szCs w:val="24"/>
          <w:lang w:val="en-US" w:eastAsia="en-AU"/>
        </w:rPr>
        <w:t>In relation to monitoring and evaluation of the program’s success, t</w:t>
      </w:r>
      <w:r w:rsidR="6EB061DB" w:rsidRPr="00781FBD">
        <w:rPr>
          <w:rFonts w:ascii="Verdana" w:eastAsia="Times New Roman" w:hAnsi="Verdana" w:cs="Times New Roman"/>
          <w:sz w:val="24"/>
          <w:szCs w:val="24"/>
          <w:lang w:val="en-US" w:eastAsia="en-AU"/>
        </w:rPr>
        <w:t xml:space="preserve">he </w:t>
      </w:r>
      <w:r w:rsidR="001A16BA" w:rsidRPr="00781FBD">
        <w:rPr>
          <w:rFonts w:ascii="Verdana" w:eastAsia="Times New Roman" w:hAnsi="Verdana" w:cs="Times New Roman"/>
          <w:sz w:val="24"/>
          <w:szCs w:val="24"/>
          <w:lang w:val="en-US" w:eastAsia="en-AU"/>
        </w:rPr>
        <w:t xml:space="preserve">Community Perceptions of Waterways bi-annual survey </w:t>
      </w:r>
      <w:r w:rsidR="00EC5581" w:rsidRPr="00781FBD">
        <w:rPr>
          <w:rFonts w:ascii="Verdana" w:eastAsia="Times New Roman" w:hAnsi="Verdana" w:cs="Times New Roman"/>
          <w:sz w:val="24"/>
          <w:szCs w:val="24"/>
          <w:lang w:val="en-US" w:eastAsia="en-AU"/>
        </w:rPr>
        <w:t>provide</w:t>
      </w:r>
      <w:r w:rsidR="1E4FDE8B" w:rsidRPr="00781FBD">
        <w:rPr>
          <w:rFonts w:ascii="Verdana" w:eastAsia="Times New Roman" w:hAnsi="Verdana" w:cs="Times New Roman"/>
          <w:sz w:val="24"/>
          <w:szCs w:val="24"/>
          <w:lang w:val="en-US" w:eastAsia="en-AU"/>
        </w:rPr>
        <w:t>s</w:t>
      </w:r>
      <w:r w:rsidR="00EC5581" w:rsidRPr="00781FBD">
        <w:rPr>
          <w:rFonts w:ascii="Verdana" w:eastAsia="Times New Roman" w:hAnsi="Verdana" w:cs="Times New Roman"/>
          <w:sz w:val="24"/>
          <w:szCs w:val="24"/>
          <w:lang w:val="en-US" w:eastAsia="en-AU"/>
        </w:rPr>
        <w:t xml:space="preserve"> some </w:t>
      </w:r>
      <w:r w:rsidR="001A16BA" w:rsidRPr="00781FBD">
        <w:rPr>
          <w:rFonts w:ascii="Verdana" w:eastAsia="Times New Roman" w:hAnsi="Verdana" w:cs="Times New Roman"/>
          <w:sz w:val="24"/>
          <w:szCs w:val="24"/>
          <w:lang w:val="en-US" w:eastAsia="en-AU"/>
        </w:rPr>
        <w:t>existing baseline metrics (in particular questions on ‘Incidence of waterway visitation’, ‘Overall satisfaction’, and ‘Experience attributes – community connection, amenity, recreation’)</w:t>
      </w:r>
      <w:r w:rsidR="45C37977" w:rsidRPr="00781FBD">
        <w:rPr>
          <w:rFonts w:ascii="Verdana" w:eastAsia="Times New Roman" w:hAnsi="Verdana" w:cs="Times New Roman"/>
          <w:sz w:val="24"/>
          <w:szCs w:val="24"/>
          <w:lang w:val="en-US" w:eastAsia="en-AU"/>
        </w:rPr>
        <w:t xml:space="preserve">, which will underpin measurement of improvement through the Community Involvement allocation. </w:t>
      </w:r>
      <w:r w:rsidR="20A21525" w:rsidRPr="00781FBD">
        <w:rPr>
          <w:rFonts w:ascii="Verdana" w:eastAsia="Times New Roman" w:hAnsi="Verdana" w:cs="Times New Roman"/>
          <w:sz w:val="24"/>
          <w:szCs w:val="24"/>
          <w:lang w:val="en-US" w:eastAsia="en-AU"/>
        </w:rPr>
        <w:t>Historical p</w:t>
      </w:r>
      <w:r w:rsidR="00EC5581" w:rsidRPr="00781FBD">
        <w:rPr>
          <w:rFonts w:ascii="Verdana" w:eastAsia="Times New Roman" w:hAnsi="Verdana" w:cs="Times New Roman"/>
          <w:sz w:val="24"/>
          <w:szCs w:val="24"/>
          <w:lang w:val="en-US" w:eastAsia="en-AU"/>
        </w:rPr>
        <w:t xml:space="preserve">articipation rates in citizen science and community events </w:t>
      </w:r>
      <w:r w:rsidR="4388D665" w:rsidRPr="00781FBD">
        <w:rPr>
          <w:rFonts w:ascii="Verdana" w:eastAsia="Times New Roman" w:hAnsi="Verdana" w:cs="Times New Roman"/>
          <w:sz w:val="24"/>
          <w:szCs w:val="24"/>
          <w:lang w:val="en-US" w:eastAsia="en-AU"/>
        </w:rPr>
        <w:t xml:space="preserve">can </w:t>
      </w:r>
      <w:r w:rsidR="00EC5581" w:rsidRPr="00781FBD">
        <w:rPr>
          <w:rFonts w:ascii="Verdana" w:eastAsia="Times New Roman" w:hAnsi="Verdana" w:cs="Times New Roman"/>
          <w:sz w:val="24"/>
          <w:szCs w:val="24"/>
          <w:lang w:val="en-US" w:eastAsia="en-AU"/>
        </w:rPr>
        <w:t xml:space="preserve">also </w:t>
      </w:r>
      <w:r w:rsidR="7D8ED7D7" w:rsidRPr="00781FBD">
        <w:rPr>
          <w:rFonts w:ascii="Verdana" w:eastAsia="Times New Roman" w:hAnsi="Verdana" w:cs="Times New Roman"/>
          <w:sz w:val="24"/>
          <w:szCs w:val="24"/>
          <w:lang w:val="en-US" w:eastAsia="en-AU"/>
        </w:rPr>
        <w:t xml:space="preserve">be </w:t>
      </w:r>
      <w:r w:rsidR="00EC5581" w:rsidRPr="00781FBD">
        <w:rPr>
          <w:rFonts w:ascii="Verdana" w:eastAsia="Times New Roman" w:hAnsi="Verdana" w:cs="Times New Roman"/>
          <w:sz w:val="24"/>
          <w:szCs w:val="24"/>
          <w:lang w:val="en-US" w:eastAsia="en-AU"/>
        </w:rPr>
        <w:t xml:space="preserve">used as </w:t>
      </w:r>
      <w:r w:rsidR="0584A2B9" w:rsidRPr="00781FBD">
        <w:rPr>
          <w:rFonts w:ascii="Verdana" w:eastAsia="Times New Roman" w:hAnsi="Verdana" w:cs="Times New Roman"/>
          <w:sz w:val="24"/>
          <w:szCs w:val="24"/>
          <w:lang w:val="en-US" w:eastAsia="en-AU"/>
        </w:rPr>
        <w:t xml:space="preserve">indicators in monitoring and evaluation. </w:t>
      </w:r>
      <w:r w:rsidR="32507249" w:rsidRPr="00781FBD">
        <w:rPr>
          <w:rFonts w:ascii="Verdana" w:eastAsia="Times New Roman" w:hAnsi="Verdana" w:cs="Times New Roman"/>
          <w:sz w:val="24"/>
          <w:szCs w:val="24"/>
          <w:lang w:val="en-US" w:eastAsia="en-AU"/>
        </w:rPr>
        <w:t xml:space="preserve">As discussed above, we will actively seek out ways to better quantify the cost-benefits of community involvement in relation to management expenditure over the delivery of this program. </w:t>
      </w:r>
    </w:p>
    <w:p w14:paraId="1CE016B4" w14:textId="77777777" w:rsidR="00781FBD" w:rsidRDefault="00781FBD" w:rsidP="00781FBD">
      <w:pPr>
        <w:spacing w:after="0" w:line="300" w:lineRule="atLeast"/>
        <w:rPr>
          <w:rFonts w:ascii="Verdana" w:eastAsia="Times New Roman" w:hAnsi="Verdana" w:cs="Times New Roman"/>
          <w:sz w:val="24"/>
          <w:szCs w:val="24"/>
          <w:lang w:val="en-US" w:eastAsia="en-AU"/>
        </w:rPr>
      </w:pPr>
    </w:p>
    <w:p w14:paraId="3B2E10B6" w14:textId="068AFB87" w:rsidR="00D22D5F" w:rsidRPr="00781FBD" w:rsidRDefault="0584A2B9" w:rsidP="00781FBD">
      <w:pPr>
        <w:spacing w:after="0" w:line="300" w:lineRule="atLeast"/>
        <w:rPr>
          <w:rFonts w:ascii="Verdana" w:eastAsia="Times New Roman" w:hAnsi="Verdana" w:cs="Times New Roman"/>
          <w:sz w:val="24"/>
          <w:szCs w:val="24"/>
          <w:lang w:val="en-US" w:eastAsia="en-AU"/>
        </w:rPr>
      </w:pPr>
      <w:r w:rsidRPr="00781FBD">
        <w:rPr>
          <w:rFonts w:ascii="Verdana" w:eastAsia="Times New Roman" w:hAnsi="Verdana" w:cs="Times New Roman"/>
          <w:sz w:val="24"/>
          <w:szCs w:val="24"/>
          <w:lang w:val="en-US" w:eastAsia="en-AU"/>
        </w:rPr>
        <w:t>D</w:t>
      </w:r>
      <w:r w:rsidR="001A16BA" w:rsidRPr="00781FBD">
        <w:rPr>
          <w:rFonts w:ascii="Verdana" w:eastAsia="Times New Roman" w:hAnsi="Verdana" w:cs="Times New Roman"/>
          <w:sz w:val="24"/>
          <w:szCs w:val="24"/>
          <w:lang w:val="en-US" w:eastAsia="en-AU"/>
        </w:rPr>
        <w:t xml:space="preserve">elivery of the program will be coordinated by Community Engagement team, but also include Customer Experience, Marketing &amp; Corporate Communications, and Regional Services teams, who have already collaborated on HWS engagement and Waterway Blitz events. </w:t>
      </w:r>
    </w:p>
    <w:p w14:paraId="7E8C0002" w14:textId="278E4D47" w:rsidR="004240BD" w:rsidRDefault="004240BD" w:rsidP="004240BD">
      <w:pPr>
        <w:spacing w:before="120" w:after="120" w:line="300" w:lineRule="atLeast"/>
        <w:rPr>
          <w:rFonts w:ascii="Verdana" w:eastAsia="Times New Roman" w:hAnsi="Verdana" w:cs="Times New Roman"/>
          <w:szCs w:val="18"/>
          <w:lang w:val="en-US" w:eastAsia="en-AU"/>
        </w:rPr>
      </w:pPr>
    </w:p>
    <w:p w14:paraId="6124025D" w14:textId="7BF512F8" w:rsidR="00D22D5F" w:rsidRPr="00781FBD" w:rsidRDefault="177193CE" w:rsidP="2F4D1433">
      <w:pPr>
        <w:spacing w:before="120" w:after="120" w:line="300" w:lineRule="atLeast"/>
        <w:rPr>
          <w:rFonts w:ascii="Verdana" w:eastAsia="Times New Roman" w:hAnsi="Verdana" w:cs="Times New Roman"/>
          <w:b/>
          <w:bCs/>
          <w:color w:val="2F5496" w:themeColor="accent5" w:themeShade="BF"/>
          <w:szCs w:val="18"/>
        </w:rPr>
      </w:pPr>
      <w:r w:rsidRPr="00781FBD">
        <w:rPr>
          <w:rFonts w:ascii="Verdana" w:eastAsia="Times New Roman" w:hAnsi="Verdana" w:cs="Times New Roman"/>
          <w:b/>
          <w:bCs/>
          <w:color w:val="2F5496" w:themeColor="accent5" w:themeShade="BF"/>
          <w:sz w:val="28"/>
          <w:szCs w:val="28"/>
        </w:rPr>
        <w:t>COVID considerations</w:t>
      </w:r>
    </w:p>
    <w:p w14:paraId="19D3A562" w14:textId="6D1CF6FD" w:rsidR="00D22D5F" w:rsidRPr="00781FBD" w:rsidRDefault="177193CE" w:rsidP="2F4D1433">
      <w:pPr>
        <w:spacing w:line="257" w:lineRule="auto"/>
        <w:rPr>
          <w:color w:val="2F5496" w:themeColor="accent5" w:themeShade="BF"/>
        </w:rPr>
      </w:pPr>
      <w:r w:rsidRPr="00781FBD">
        <w:rPr>
          <w:rFonts w:ascii="Verdana" w:eastAsia="Verdana" w:hAnsi="Verdana" w:cs="Verdana"/>
          <w:b/>
          <w:bCs/>
          <w:color w:val="2F5496" w:themeColor="accent5" w:themeShade="BF"/>
          <w:sz w:val="24"/>
          <w:szCs w:val="24"/>
        </w:rPr>
        <w:t xml:space="preserve">Impacts to program </w:t>
      </w:r>
      <w:r w:rsidRPr="00781FBD">
        <w:rPr>
          <w:rFonts w:ascii="Verdana" w:eastAsia="Verdana" w:hAnsi="Verdana" w:cs="Verdana"/>
          <w:color w:val="2F5496" w:themeColor="accent5" w:themeShade="BF"/>
        </w:rPr>
        <w:t xml:space="preserve"> </w:t>
      </w:r>
    </w:p>
    <w:p w14:paraId="54FE41E9" w14:textId="47912CA6" w:rsidR="00D22D5F" w:rsidRDefault="177193CE" w:rsidP="2F4D1433">
      <w:pPr>
        <w:spacing w:line="257" w:lineRule="auto"/>
        <w:rPr>
          <w:rFonts w:ascii="Verdana" w:eastAsia="Verdana" w:hAnsi="Verdana" w:cs="Verdana"/>
          <w:color w:val="000000" w:themeColor="text1"/>
          <w:sz w:val="24"/>
          <w:szCs w:val="24"/>
        </w:rPr>
      </w:pPr>
      <w:r w:rsidRPr="00781FBD">
        <w:rPr>
          <w:rFonts w:ascii="Verdana" w:eastAsia="Verdana" w:hAnsi="Verdana" w:cs="Verdana"/>
          <w:sz w:val="24"/>
          <w:szCs w:val="24"/>
        </w:rPr>
        <w:t>The need for this program is uniquely influenced by the COVID-19 pandemic as community use and access to waterways and other open space was directly impacted by the pandemic. Experience through 2020 and early 2021 have shown that community use of and connection</w:t>
      </w:r>
      <w:r w:rsidR="283B22A5" w:rsidRPr="00781FBD">
        <w:rPr>
          <w:rFonts w:ascii="Verdana" w:eastAsia="Verdana" w:hAnsi="Verdana" w:cs="Verdana"/>
          <w:sz w:val="24"/>
          <w:szCs w:val="24"/>
        </w:rPr>
        <w:t xml:space="preserve"> to</w:t>
      </w:r>
      <w:r w:rsidRPr="00781FBD">
        <w:rPr>
          <w:rFonts w:ascii="Verdana" w:eastAsia="Verdana" w:hAnsi="Verdana" w:cs="Verdana"/>
          <w:sz w:val="24"/>
          <w:szCs w:val="24"/>
        </w:rPr>
        <w:t xml:space="preserve"> waterway environments increased through lockdown periods</w:t>
      </w:r>
      <w:r w:rsidR="2E9D682C" w:rsidRPr="00781FBD">
        <w:rPr>
          <w:rFonts w:ascii="Verdana" w:eastAsia="Verdana" w:hAnsi="Verdana" w:cs="Verdana"/>
          <w:sz w:val="24"/>
          <w:szCs w:val="24"/>
        </w:rPr>
        <w:t>. For example, internal Melbourne Water an</w:t>
      </w:r>
      <w:r w:rsidR="5AAD5EF1" w:rsidRPr="00781FBD">
        <w:rPr>
          <w:rFonts w:ascii="Verdana" w:eastAsia="Verdana" w:hAnsi="Verdana" w:cs="Verdana"/>
          <w:sz w:val="24"/>
          <w:szCs w:val="24"/>
        </w:rPr>
        <w:t>alysis</w:t>
      </w:r>
      <w:r w:rsidR="2E9D682C" w:rsidRPr="00781FBD">
        <w:rPr>
          <w:rFonts w:ascii="Verdana" w:eastAsia="Verdana" w:hAnsi="Verdana" w:cs="Verdana"/>
          <w:sz w:val="24"/>
          <w:szCs w:val="24"/>
        </w:rPr>
        <w:t xml:space="preserve"> has shown that </w:t>
      </w:r>
      <w:r w:rsidR="2E9D682C" w:rsidRPr="00781FBD">
        <w:rPr>
          <w:rFonts w:ascii="Verdana" w:eastAsia="Verdana" w:hAnsi="Verdana" w:cs="Verdana"/>
          <w:color w:val="000000" w:themeColor="text1"/>
          <w:sz w:val="24"/>
          <w:szCs w:val="24"/>
        </w:rPr>
        <w:t xml:space="preserve">during the </w:t>
      </w:r>
      <w:r w:rsidR="77B3B327" w:rsidRPr="00781FBD">
        <w:rPr>
          <w:rFonts w:ascii="Verdana" w:eastAsia="Verdana" w:hAnsi="Verdana" w:cs="Verdana"/>
          <w:color w:val="000000" w:themeColor="text1"/>
          <w:sz w:val="24"/>
          <w:szCs w:val="24"/>
        </w:rPr>
        <w:t xml:space="preserve">2020 </w:t>
      </w:r>
      <w:r w:rsidR="2E9D682C" w:rsidRPr="00781FBD">
        <w:rPr>
          <w:rFonts w:ascii="Verdana" w:eastAsia="Verdana" w:hAnsi="Verdana" w:cs="Verdana"/>
          <w:color w:val="000000" w:themeColor="text1"/>
          <w:sz w:val="24"/>
          <w:szCs w:val="24"/>
        </w:rPr>
        <w:t>lockdown period</w:t>
      </w:r>
      <w:r w:rsidR="0059D857" w:rsidRPr="00781FBD">
        <w:rPr>
          <w:rFonts w:ascii="Verdana" w:eastAsia="Verdana" w:hAnsi="Verdana" w:cs="Verdana"/>
          <w:color w:val="000000" w:themeColor="text1"/>
          <w:sz w:val="24"/>
          <w:szCs w:val="24"/>
        </w:rPr>
        <w:t>s</w:t>
      </w:r>
      <w:r w:rsidR="2E9D682C" w:rsidRPr="00781FBD">
        <w:rPr>
          <w:rFonts w:ascii="Verdana" w:eastAsia="Verdana" w:hAnsi="Verdana" w:cs="Verdana"/>
          <w:color w:val="000000" w:themeColor="text1"/>
          <w:sz w:val="24"/>
          <w:szCs w:val="24"/>
        </w:rPr>
        <w:t>, public use of Melbourne Water land tripled</w:t>
      </w:r>
      <w:r w:rsidR="0E1CF9B4" w:rsidRPr="00781FBD">
        <w:rPr>
          <w:rFonts w:ascii="Verdana" w:eastAsia="Verdana" w:hAnsi="Verdana" w:cs="Verdana"/>
          <w:color w:val="000000" w:themeColor="text1"/>
          <w:sz w:val="24"/>
          <w:szCs w:val="24"/>
        </w:rPr>
        <w:t xml:space="preserve"> compared to the same period in the year prior</w:t>
      </w:r>
      <w:r w:rsidR="77AB735C" w:rsidRPr="00781FBD">
        <w:rPr>
          <w:rFonts w:ascii="Verdana" w:eastAsia="Verdana" w:hAnsi="Verdana" w:cs="Verdana"/>
          <w:color w:val="000000" w:themeColor="text1"/>
          <w:sz w:val="24"/>
          <w:szCs w:val="24"/>
        </w:rPr>
        <w:t>, whilst i</w:t>
      </w:r>
      <w:r w:rsidR="2E9D682C" w:rsidRPr="00781FBD">
        <w:rPr>
          <w:rFonts w:ascii="Verdana" w:eastAsia="Verdana" w:hAnsi="Verdana" w:cs="Verdana"/>
          <w:color w:val="000000" w:themeColor="text1"/>
          <w:sz w:val="24"/>
          <w:szCs w:val="24"/>
        </w:rPr>
        <w:t>n October</w:t>
      </w:r>
      <w:r w:rsidR="6D994CA2" w:rsidRPr="00781FBD">
        <w:rPr>
          <w:rFonts w:ascii="Verdana" w:eastAsia="Verdana" w:hAnsi="Verdana" w:cs="Verdana"/>
          <w:color w:val="000000" w:themeColor="text1"/>
          <w:sz w:val="24"/>
          <w:szCs w:val="24"/>
        </w:rPr>
        <w:t xml:space="preserve"> 2020</w:t>
      </w:r>
      <w:r w:rsidR="2E9D682C" w:rsidRPr="00781FBD">
        <w:rPr>
          <w:rFonts w:ascii="Verdana" w:eastAsia="Verdana" w:hAnsi="Verdana" w:cs="Verdana"/>
          <w:color w:val="000000" w:themeColor="text1"/>
          <w:sz w:val="24"/>
          <w:szCs w:val="24"/>
        </w:rPr>
        <w:t xml:space="preserve">, </w:t>
      </w:r>
      <w:r w:rsidR="2E9D682C" w:rsidRPr="00781FBD">
        <w:rPr>
          <w:rFonts w:ascii="Verdana" w:eastAsia="Verdana" w:hAnsi="Verdana" w:cs="Verdana"/>
          <w:color w:val="000000" w:themeColor="text1"/>
          <w:sz w:val="24"/>
          <w:szCs w:val="24"/>
        </w:rPr>
        <w:lastRenderedPageBreak/>
        <w:t>public use of Melbourne Water land almost quadrupled</w:t>
      </w:r>
      <w:r w:rsidR="7A32BD9D" w:rsidRPr="00781FBD">
        <w:rPr>
          <w:rFonts w:ascii="Verdana" w:eastAsia="Verdana" w:hAnsi="Verdana" w:cs="Verdana"/>
          <w:color w:val="000000" w:themeColor="text1"/>
          <w:sz w:val="24"/>
          <w:szCs w:val="24"/>
        </w:rPr>
        <w:t xml:space="preserve"> compared to October 2019</w:t>
      </w:r>
      <w:r w:rsidR="66E3AD8C" w:rsidRPr="00781FBD">
        <w:rPr>
          <w:rFonts w:ascii="Verdana" w:eastAsia="Verdana" w:hAnsi="Verdana" w:cs="Verdana"/>
          <w:color w:val="000000" w:themeColor="text1"/>
          <w:sz w:val="24"/>
          <w:szCs w:val="24"/>
        </w:rPr>
        <w:t xml:space="preserve">. </w:t>
      </w:r>
    </w:p>
    <w:p w14:paraId="276AAC41" w14:textId="77777777" w:rsidR="00781FBD" w:rsidRPr="00781FBD" w:rsidRDefault="00781FBD" w:rsidP="2F4D1433">
      <w:pPr>
        <w:spacing w:line="257" w:lineRule="auto"/>
        <w:rPr>
          <w:sz w:val="24"/>
          <w:szCs w:val="24"/>
        </w:rPr>
      </w:pPr>
    </w:p>
    <w:p w14:paraId="7434DA3F" w14:textId="0231427B" w:rsidR="00D22D5F" w:rsidRPr="002908C2" w:rsidRDefault="1E5F000F" w:rsidP="2F4D1433">
      <w:pPr>
        <w:spacing w:line="257" w:lineRule="auto"/>
        <w:jc w:val="center"/>
      </w:pPr>
      <w:r>
        <w:rPr>
          <w:noProof/>
          <w:color w:val="2B579A"/>
          <w:shd w:val="clear" w:color="auto" w:fill="E6E6E6"/>
          <w:lang w:eastAsia="en-AU"/>
        </w:rPr>
        <w:drawing>
          <wp:inline distT="0" distB="0" distL="0" distR="0" wp14:anchorId="57797262" wp14:editId="646DA342">
            <wp:extent cx="4572000" cy="3429000"/>
            <wp:effectExtent l="0" t="0" r="0" b="0"/>
            <wp:docPr id="1565231576" name="Picture 156523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231576"/>
                    <pic:cNvPicPr/>
                  </pic:nvPicPr>
                  <pic:blipFill>
                    <a:blip r:embed="rId13">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42D481B5" w14:textId="0CCCE711" w:rsidR="00D22D5F" w:rsidRPr="00781FBD" w:rsidRDefault="2706E8AE" w:rsidP="2F4D1433">
      <w:pPr>
        <w:spacing w:line="257" w:lineRule="auto"/>
        <w:rPr>
          <w:rFonts w:ascii="Verdana" w:eastAsia="Verdana" w:hAnsi="Verdana" w:cs="Verdana"/>
          <w:color w:val="000000" w:themeColor="text1"/>
          <w:sz w:val="24"/>
          <w:szCs w:val="24"/>
        </w:rPr>
      </w:pPr>
      <w:r w:rsidRPr="00781FBD">
        <w:rPr>
          <w:rFonts w:ascii="Verdana" w:eastAsia="Verdana" w:hAnsi="Verdana" w:cs="Verdana"/>
          <w:color w:val="000000" w:themeColor="text1"/>
          <w:sz w:val="24"/>
          <w:szCs w:val="24"/>
        </w:rPr>
        <w:t>This data highlights Melbourne Water’s role in providing open space as a multiple benefit alongside our role in water, sewerage, drainage and waterway health.</w:t>
      </w:r>
      <w:r w:rsidRPr="00781FBD">
        <w:rPr>
          <w:rFonts w:ascii="Verdana" w:eastAsia="Verdana" w:hAnsi="Verdana" w:cs="Verdana"/>
          <w:i/>
          <w:iCs/>
          <w:sz w:val="24"/>
          <w:szCs w:val="24"/>
        </w:rPr>
        <w:t xml:space="preserve"> </w:t>
      </w:r>
    </w:p>
    <w:p w14:paraId="30356244" w14:textId="58EE8136" w:rsidR="00D22D5F" w:rsidRPr="00781FBD" w:rsidRDefault="56BC3C3A" w:rsidP="2F4D1433">
      <w:pPr>
        <w:spacing w:line="257" w:lineRule="auto"/>
        <w:rPr>
          <w:rFonts w:ascii="Verdana" w:eastAsia="Verdana" w:hAnsi="Verdana" w:cs="Verdana"/>
          <w:i/>
          <w:iCs/>
          <w:color w:val="000000" w:themeColor="text1"/>
          <w:sz w:val="24"/>
          <w:szCs w:val="24"/>
        </w:rPr>
      </w:pPr>
      <w:r w:rsidRPr="00781FBD">
        <w:rPr>
          <w:rFonts w:ascii="Verdana" w:eastAsia="Verdana" w:hAnsi="Verdana" w:cs="Verdana"/>
          <w:i/>
          <w:iCs/>
          <w:sz w:val="24"/>
          <w:szCs w:val="24"/>
        </w:rPr>
        <w:t>(Note:</w:t>
      </w:r>
      <w:r w:rsidRPr="00781FBD">
        <w:rPr>
          <w:rFonts w:ascii="Verdana" w:eastAsia="Verdana" w:hAnsi="Verdana" w:cs="Verdana"/>
          <w:i/>
          <w:iCs/>
          <w:color w:val="000000" w:themeColor="text1"/>
          <w:sz w:val="24"/>
          <w:szCs w:val="24"/>
        </w:rPr>
        <w:t xml:space="preserve"> Human Movement data is based on anonymised mobile phone pings, aggregated from telco’s and provided by third party vendor Map Data Services</w:t>
      </w:r>
      <w:r w:rsidR="3BEFAD91" w:rsidRPr="00781FBD">
        <w:rPr>
          <w:rFonts w:ascii="Verdana" w:eastAsia="Verdana" w:hAnsi="Verdana" w:cs="Verdana"/>
          <w:i/>
          <w:iCs/>
          <w:color w:val="000000" w:themeColor="text1"/>
          <w:sz w:val="24"/>
          <w:szCs w:val="24"/>
        </w:rPr>
        <w:t xml:space="preserve"> - raw data and mapping available on request</w:t>
      </w:r>
      <w:r w:rsidRPr="00781FBD">
        <w:rPr>
          <w:rFonts w:ascii="Verdana" w:eastAsia="Verdana" w:hAnsi="Verdana" w:cs="Verdana"/>
          <w:i/>
          <w:iCs/>
          <w:color w:val="000000" w:themeColor="text1"/>
          <w:sz w:val="24"/>
          <w:szCs w:val="24"/>
        </w:rPr>
        <w:t>)</w:t>
      </w:r>
    </w:p>
    <w:p w14:paraId="3DC13BBF" w14:textId="0418BE17" w:rsidR="00D22D5F" w:rsidRPr="00781FBD" w:rsidRDefault="177193CE" w:rsidP="2F4D1433">
      <w:pPr>
        <w:spacing w:line="257" w:lineRule="auto"/>
        <w:rPr>
          <w:rFonts w:ascii="Verdana" w:eastAsia="Verdana" w:hAnsi="Verdana" w:cs="Verdana"/>
          <w:sz w:val="24"/>
          <w:szCs w:val="24"/>
        </w:rPr>
      </w:pPr>
      <w:r w:rsidRPr="00781FBD">
        <w:rPr>
          <w:rFonts w:ascii="Verdana" w:eastAsia="Verdana" w:hAnsi="Verdana" w:cs="Verdana"/>
          <w:sz w:val="24"/>
          <w:szCs w:val="24"/>
        </w:rPr>
        <w:t>Melbourne Water’s Community Perceptions of Waterways survey has</w:t>
      </w:r>
      <w:r w:rsidR="216FD376" w:rsidRPr="00781FBD">
        <w:rPr>
          <w:rFonts w:ascii="Verdana" w:eastAsia="Verdana" w:hAnsi="Verdana" w:cs="Verdana"/>
          <w:sz w:val="24"/>
          <w:szCs w:val="24"/>
        </w:rPr>
        <w:t xml:space="preserve"> also</w:t>
      </w:r>
      <w:r w:rsidRPr="00781FBD">
        <w:rPr>
          <w:rFonts w:ascii="Verdana" w:eastAsia="Verdana" w:hAnsi="Verdana" w:cs="Verdana"/>
          <w:sz w:val="24"/>
          <w:szCs w:val="24"/>
        </w:rPr>
        <w:t xml:space="preserve"> shown that 2020 saw a marked increase in the number of Melburnians seeking to ‘escape to a relaxing place’, whilst our COVID-tracker survey showed that the number of people visiting waterways less frequently fell during late 2020 driven by more favourable weather and the removal of COVID</w:t>
      </w:r>
      <w:r w:rsidR="2670B776" w:rsidRPr="00781FBD">
        <w:rPr>
          <w:rFonts w:ascii="Verdana" w:eastAsia="Verdana" w:hAnsi="Verdana" w:cs="Verdana"/>
          <w:sz w:val="24"/>
          <w:szCs w:val="24"/>
        </w:rPr>
        <w:t>-19</w:t>
      </w:r>
      <w:r w:rsidRPr="00781FBD">
        <w:rPr>
          <w:rFonts w:ascii="Verdana" w:eastAsia="Verdana" w:hAnsi="Verdana" w:cs="Verdana"/>
          <w:sz w:val="24"/>
          <w:szCs w:val="24"/>
        </w:rPr>
        <w:t xml:space="preserve"> restrictions</w:t>
      </w:r>
      <w:r w:rsidR="47904BC0" w:rsidRPr="00781FBD">
        <w:rPr>
          <w:rFonts w:ascii="Verdana" w:eastAsia="Verdana" w:hAnsi="Verdana" w:cs="Verdana"/>
          <w:sz w:val="24"/>
          <w:szCs w:val="24"/>
        </w:rPr>
        <w:t xml:space="preserve">. </w:t>
      </w:r>
      <w:r w:rsidRPr="00781FBD">
        <w:rPr>
          <w:rFonts w:ascii="Verdana" w:eastAsia="Verdana" w:hAnsi="Verdana" w:cs="Verdana"/>
          <w:sz w:val="24"/>
          <w:szCs w:val="24"/>
        </w:rPr>
        <w:t xml:space="preserve">Of those who are visiting waterways more frequently, </w:t>
      </w:r>
      <w:r w:rsidR="78F93B7F" w:rsidRPr="00781FBD">
        <w:rPr>
          <w:rFonts w:ascii="Verdana" w:eastAsia="Verdana" w:hAnsi="Verdana" w:cs="Verdana"/>
          <w:sz w:val="24"/>
          <w:szCs w:val="24"/>
        </w:rPr>
        <w:t>two-thirds</w:t>
      </w:r>
      <w:r w:rsidRPr="00781FBD">
        <w:rPr>
          <w:rFonts w:ascii="Verdana" w:eastAsia="Verdana" w:hAnsi="Verdana" w:cs="Verdana"/>
          <w:sz w:val="24"/>
          <w:szCs w:val="24"/>
        </w:rPr>
        <w:t xml:space="preserve"> indicate that </w:t>
      </w:r>
      <w:r w:rsidR="605B94DF" w:rsidRPr="00781FBD">
        <w:rPr>
          <w:rFonts w:ascii="Verdana" w:eastAsia="Verdana" w:hAnsi="Verdana" w:cs="Verdana"/>
          <w:sz w:val="24"/>
          <w:szCs w:val="24"/>
        </w:rPr>
        <w:t>they have</w:t>
      </w:r>
      <w:r w:rsidRPr="00781FBD">
        <w:rPr>
          <w:rFonts w:ascii="Verdana" w:eastAsia="Verdana" w:hAnsi="Verdana" w:cs="Verdana"/>
          <w:sz w:val="24"/>
          <w:szCs w:val="24"/>
        </w:rPr>
        <w:t xml:space="preserve"> visited a new waterway which they had previously not been to. Importantly, the AustraliaNOW </w:t>
      </w:r>
      <w:r w:rsidR="438CECEB" w:rsidRPr="00781FBD">
        <w:rPr>
          <w:rFonts w:ascii="Verdana" w:eastAsia="Verdana" w:hAnsi="Verdana" w:cs="Verdana"/>
          <w:sz w:val="24"/>
          <w:szCs w:val="24"/>
        </w:rPr>
        <w:t xml:space="preserve">(2020) </w:t>
      </w:r>
      <w:r w:rsidRPr="00781FBD">
        <w:rPr>
          <w:rFonts w:ascii="Verdana" w:eastAsia="Verdana" w:hAnsi="Verdana" w:cs="Verdana"/>
          <w:sz w:val="24"/>
          <w:szCs w:val="24"/>
        </w:rPr>
        <w:t xml:space="preserve">survey has shown that as hope and optimism returned post-lockdowns, Australians looked to the future, with family and health the main areas of focus. Of </w:t>
      </w:r>
      <w:r w:rsidR="797D6DA1" w:rsidRPr="00781FBD">
        <w:rPr>
          <w:rFonts w:ascii="Verdana" w:eastAsia="Verdana" w:hAnsi="Verdana" w:cs="Verdana"/>
          <w:sz w:val="24"/>
          <w:szCs w:val="24"/>
        </w:rPr>
        <w:t>relevance</w:t>
      </w:r>
      <w:r w:rsidRPr="00781FBD">
        <w:rPr>
          <w:rFonts w:ascii="Verdana" w:eastAsia="Verdana" w:hAnsi="Verdana" w:cs="Verdana"/>
          <w:sz w:val="24"/>
          <w:szCs w:val="24"/>
        </w:rPr>
        <w:t xml:space="preserve"> is the focus on the intent to engage with nature &amp; natural surrounds (28% more often). This priority presents an opportunity to engage with Melburnians looking to spend time more outside.</w:t>
      </w:r>
    </w:p>
    <w:p w14:paraId="6DD01F58" w14:textId="7123BEC0" w:rsidR="00D22D5F" w:rsidRPr="002908C2" w:rsidRDefault="709A657F" w:rsidP="2F4D1433">
      <w:pPr>
        <w:spacing w:line="257" w:lineRule="auto"/>
        <w:jc w:val="center"/>
        <w:rPr>
          <w:sz w:val="20"/>
          <w:szCs w:val="20"/>
        </w:rPr>
      </w:pPr>
      <w:r>
        <w:rPr>
          <w:noProof/>
          <w:color w:val="2B579A"/>
          <w:shd w:val="clear" w:color="auto" w:fill="E6E6E6"/>
          <w:lang w:eastAsia="en-AU"/>
        </w:rPr>
        <w:lastRenderedPageBreak/>
        <w:drawing>
          <wp:inline distT="0" distB="0" distL="0" distR="0" wp14:anchorId="63172F92" wp14:editId="3BAB0289">
            <wp:extent cx="4572000" cy="2905125"/>
            <wp:effectExtent l="0" t="0" r="0" b="0"/>
            <wp:docPr id="918465594" name="Picture 91846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465594"/>
                    <pic:cNvPicPr/>
                  </pic:nvPicPr>
                  <pic:blipFill>
                    <a:blip r:embed="rId14">
                      <a:extLst>
                        <a:ext uri="{28A0092B-C50C-407E-A947-70E740481C1C}">
                          <a14:useLocalDpi xmlns:a14="http://schemas.microsoft.com/office/drawing/2010/main" val="0"/>
                        </a:ext>
                      </a:extLst>
                    </a:blip>
                    <a:stretch>
                      <a:fillRect/>
                    </a:stretch>
                  </pic:blipFill>
                  <pic:spPr>
                    <a:xfrm>
                      <a:off x="0" y="0"/>
                      <a:ext cx="4572000" cy="2905125"/>
                    </a:xfrm>
                    <a:prstGeom prst="rect">
                      <a:avLst/>
                    </a:prstGeom>
                  </pic:spPr>
                </pic:pic>
              </a:graphicData>
            </a:graphic>
          </wp:inline>
        </w:drawing>
      </w:r>
    </w:p>
    <w:p w14:paraId="539A12FB" w14:textId="710C8952" w:rsidR="00D22D5F" w:rsidRPr="00781FBD" w:rsidRDefault="177193CE" w:rsidP="2F4D1433">
      <w:pPr>
        <w:spacing w:line="257" w:lineRule="auto"/>
        <w:rPr>
          <w:rFonts w:ascii="Verdana" w:eastAsia="Verdana" w:hAnsi="Verdana" w:cs="Verdana"/>
          <w:b/>
          <w:bCs/>
          <w:sz w:val="24"/>
          <w:szCs w:val="24"/>
          <w:highlight w:val="yellow"/>
        </w:rPr>
      </w:pPr>
      <w:r w:rsidRPr="00781FBD">
        <w:rPr>
          <w:rFonts w:ascii="Verdana" w:eastAsia="Verdana" w:hAnsi="Verdana" w:cs="Verdana"/>
          <w:sz w:val="24"/>
          <w:szCs w:val="24"/>
        </w:rPr>
        <w:t xml:space="preserve">The other COVID-19 impact of relevance to this program was the change in activity that allowed community involvement with waterways. While there was a significant reduction in </w:t>
      </w:r>
      <w:r w:rsidR="4340D7A2" w:rsidRPr="00781FBD">
        <w:rPr>
          <w:rFonts w:ascii="Verdana" w:eastAsia="Verdana" w:hAnsi="Verdana" w:cs="Verdana"/>
          <w:sz w:val="24"/>
          <w:szCs w:val="24"/>
        </w:rPr>
        <w:t>face-to-face</w:t>
      </w:r>
      <w:r w:rsidRPr="00781FBD">
        <w:rPr>
          <w:rFonts w:ascii="Verdana" w:eastAsia="Verdana" w:hAnsi="Verdana" w:cs="Verdana"/>
          <w:sz w:val="24"/>
          <w:szCs w:val="24"/>
        </w:rPr>
        <w:t xml:space="preserve"> group activity (citizen science, </w:t>
      </w:r>
      <w:r w:rsidR="3833AA9F" w:rsidRPr="00781FBD">
        <w:rPr>
          <w:rFonts w:ascii="Verdana" w:eastAsia="Verdana" w:hAnsi="Verdana" w:cs="Verdana"/>
          <w:sz w:val="24"/>
          <w:szCs w:val="24"/>
        </w:rPr>
        <w:t>seminars,</w:t>
      </w:r>
      <w:r w:rsidRPr="00781FBD">
        <w:rPr>
          <w:rFonts w:ascii="Verdana" w:eastAsia="Verdana" w:hAnsi="Verdana" w:cs="Verdana"/>
          <w:sz w:val="24"/>
          <w:szCs w:val="24"/>
        </w:rPr>
        <w:t xml:space="preserve"> and school tours), there was an associated uplift and uptake of virtual and digital offerings throughout the pandemic, with high levels of community satisfaction with this approach. Satisfaction surveys completed after webinars and virtual excursions indicated 95% of respondents were very satisfied (71%) or satisfied (24%) with the experience. Webinars were accessed by 14% identifying as speaking a language other than English at home and 26% identifying as over 65 years of age.</w:t>
      </w:r>
    </w:p>
    <w:p w14:paraId="53CD6167" w14:textId="72E1A48E" w:rsidR="00D22D5F" w:rsidRPr="00781FBD" w:rsidRDefault="177193CE" w:rsidP="2F4D1433">
      <w:pPr>
        <w:spacing w:line="257" w:lineRule="auto"/>
        <w:rPr>
          <w:rFonts w:ascii="Verdana" w:eastAsia="Verdana" w:hAnsi="Verdana" w:cs="Verdana"/>
          <w:sz w:val="24"/>
          <w:szCs w:val="24"/>
        </w:rPr>
      </w:pPr>
      <w:r w:rsidRPr="00781FBD">
        <w:rPr>
          <w:rFonts w:ascii="Verdana" w:eastAsia="Verdana" w:hAnsi="Verdana" w:cs="Verdana"/>
          <w:sz w:val="24"/>
          <w:szCs w:val="24"/>
        </w:rPr>
        <w:t>The move in 2020 to community webinars, virtual excursions and tours</w:t>
      </w:r>
      <w:r w:rsidRPr="00781FBD">
        <w:rPr>
          <w:rFonts w:ascii="Verdana" w:eastAsia="Verdana" w:hAnsi="Verdana" w:cs="Verdana"/>
          <w:color w:val="008080"/>
          <w:sz w:val="24"/>
          <w:szCs w:val="24"/>
          <w:u w:val="single"/>
        </w:rPr>
        <w:t>,</w:t>
      </w:r>
      <w:r w:rsidRPr="00781FBD">
        <w:rPr>
          <w:rFonts w:ascii="Verdana" w:eastAsia="Verdana" w:hAnsi="Verdana" w:cs="Verdana"/>
          <w:sz w:val="24"/>
          <w:szCs w:val="24"/>
        </w:rPr>
        <w:t xml:space="preserve"> and access to on-line Melbourne Water education and engagement resources, resulted in the following participation rates:</w:t>
      </w:r>
    </w:p>
    <w:p w14:paraId="59C0184D" w14:textId="1064AEE9"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20% increase in unique visitors and participation in the MW digital engagement hub (Your Say)</w:t>
      </w:r>
    </w:p>
    <w:p w14:paraId="3C53F00C" w14:textId="01669E05"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3,894 unique visits to the MW digital education hub landing page</w:t>
      </w:r>
    </w:p>
    <w:p w14:paraId="1366627F" w14:textId="7B356A46"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 xml:space="preserve">895 attendees at 11 MW citizen science webinars and 300 participants in volunteer workshops </w:t>
      </w:r>
    </w:p>
    <w:p w14:paraId="75F89CE1" w14:textId="4632E2A4" w:rsidR="00D22D5F" w:rsidRPr="00781FBD" w:rsidRDefault="177193CE" w:rsidP="004240BD">
      <w:pPr>
        <w:pStyle w:val="ListParagraph"/>
        <w:numPr>
          <w:ilvl w:val="0"/>
          <w:numId w:val="12"/>
        </w:numPr>
        <w:rPr>
          <w:rFonts w:eastAsiaTheme="minorEastAsia"/>
          <w:sz w:val="24"/>
          <w:szCs w:val="24"/>
        </w:rPr>
      </w:pPr>
      <w:r w:rsidRPr="00781FBD">
        <w:rPr>
          <w:rFonts w:ascii="Verdana" w:eastAsia="Verdana" w:hAnsi="Verdana" w:cs="Verdana"/>
          <w:sz w:val="24"/>
          <w:szCs w:val="24"/>
        </w:rPr>
        <w:t xml:space="preserve">Access and use of WTP virtual tour by over 7,000 users and 21 webinars delivered to 629 </w:t>
      </w:r>
      <w:r w:rsidR="4E65AACE" w:rsidRPr="00781FBD">
        <w:rPr>
          <w:rFonts w:ascii="Verdana" w:eastAsia="Verdana" w:hAnsi="Verdana" w:cs="Verdana"/>
          <w:sz w:val="24"/>
          <w:szCs w:val="24"/>
        </w:rPr>
        <w:t>participants</w:t>
      </w:r>
    </w:p>
    <w:p w14:paraId="46E45277" w14:textId="4F73DEA1" w:rsidR="00D22D5F" w:rsidRPr="00781FBD" w:rsidRDefault="177193CE" w:rsidP="00781FBD">
      <w:pPr>
        <w:pStyle w:val="ListParagraph"/>
        <w:numPr>
          <w:ilvl w:val="0"/>
          <w:numId w:val="12"/>
        </w:numPr>
        <w:spacing w:after="0"/>
        <w:rPr>
          <w:rFonts w:eastAsiaTheme="minorEastAsia"/>
          <w:sz w:val="24"/>
          <w:szCs w:val="24"/>
        </w:rPr>
      </w:pPr>
      <w:r w:rsidRPr="00781FBD">
        <w:rPr>
          <w:rFonts w:ascii="Verdana" w:eastAsia="Verdana" w:hAnsi="Verdana" w:cs="Verdana"/>
          <w:sz w:val="24"/>
          <w:szCs w:val="24"/>
        </w:rPr>
        <w:t xml:space="preserve">Increase in Frog Census participation with 1,893 reports submitted </w:t>
      </w:r>
      <w:r w:rsidR="6D7C4060" w:rsidRPr="00781FBD">
        <w:rPr>
          <w:rFonts w:ascii="Verdana" w:eastAsia="Verdana" w:hAnsi="Verdana" w:cs="Verdana"/>
          <w:sz w:val="24"/>
          <w:szCs w:val="24"/>
        </w:rPr>
        <w:t>and an</w:t>
      </w:r>
      <w:r w:rsidRPr="00781FBD">
        <w:rPr>
          <w:rFonts w:ascii="Verdana" w:eastAsia="Verdana" w:hAnsi="Verdana" w:cs="Verdana"/>
          <w:sz w:val="24"/>
          <w:szCs w:val="24"/>
        </w:rPr>
        <w:t xml:space="preserve"> increase in users by over </w:t>
      </w:r>
      <w:r w:rsidR="57E25951" w:rsidRPr="00781FBD">
        <w:rPr>
          <w:rFonts w:ascii="Verdana" w:eastAsia="Verdana" w:hAnsi="Verdana" w:cs="Verdana"/>
          <w:sz w:val="24"/>
          <w:szCs w:val="24"/>
        </w:rPr>
        <w:t>1,900.</w:t>
      </w:r>
    </w:p>
    <w:p w14:paraId="1FB6A2FF" w14:textId="77777777" w:rsidR="00781FBD" w:rsidRDefault="00781FBD" w:rsidP="00781FBD">
      <w:pPr>
        <w:spacing w:after="0"/>
        <w:rPr>
          <w:rFonts w:ascii="Verdana" w:eastAsia="Verdana" w:hAnsi="Verdana" w:cs="Verdana"/>
          <w:b/>
          <w:bCs/>
          <w:sz w:val="24"/>
          <w:szCs w:val="24"/>
        </w:rPr>
      </w:pPr>
    </w:p>
    <w:p w14:paraId="601179C6" w14:textId="738A67A2" w:rsidR="00D22D5F" w:rsidRPr="00781FBD" w:rsidRDefault="177193CE" w:rsidP="00781FBD">
      <w:pPr>
        <w:spacing w:after="0"/>
        <w:rPr>
          <w:rFonts w:ascii="Verdana" w:eastAsia="Verdana" w:hAnsi="Verdana" w:cs="Verdana"/>
          <w:b/>
          <w:bCs/>
          <w:color w:val="2F5496" w:themeColor="accent5" w:themeShade="BF"/>
          <w:sz w:val="24"/>
          <w:szCs w:val="24"/>
        </w:rPr>
      </w:pPr>
      <w:r w:rsidRPr="00781FBD">
        <w:rPr>
          <w:rFonts w:ascii="Verdana" w:eastAsia="Verdana" w:hAnsi="Verdana" w:cs="Verdana"/>
          <w:b/>
          <w:bCs/>
          <w:color w:val="2F5496" w:themeColor="accent5" w:themeShade="BF"/>
          <w:sz w:val="24"/>
          <w:szCs w:val="24"/>
        </w:rPr>
        <w:t xml:space="preserve">Opportunities </w:t>
      </w:r>
    </w:p>
    <w:p w14:paraId="6FBEC918" w14:textId="77777777" w:rsidR="00781FBD" w:rsidRDefault="00781FBD" w:rsidP="00781FBD">
      <w:pPr>
        <w:spacing w:after="0" w:line="257" w:lineRule="auto"/>
        <w:rPr>
          <w:rFonts w:ascii="Verdana" w:eastAsia="Verdana" w:hAnsi="Verdana" w:cs="Verdana"/>
          <w:sz w:val="20"/>
          <w:szCs w:val="20"/>
        </w:rPr>
      </w:pPr>
    </w:p>
    <w:p w14:paraId="7873B01D" w14:textId="0E8A6E86" w:rsidR="00D22D5F" w:rsidRPr="00781FBD" w:rsidRDefault="177193CE" w:rsidP="00781FBD">
      <w:pPr>
        <w:spacing w:after="0" w:line="257" w:lineRule="auto"/>
        <w:rPr>
          <w:rFonts w:ascii="Verdana" w:eastAsia="Verdana" w:hAnsi="Verdana" w:cs="Verdana"/>
          <w:sz w:val="24"/>
          <w:szCs w:val="24"/>
        </w:rPr>
      </w:pPr>
      <w:r w:rsidRPr="00781FBD">
        <w:rPr>
          <w:rFonts w:ascii="Verdana" w:eastAsia="Verdana" w:hAnsi="Verdana" w:cs="Verdana"/>
          <w:sz w:val="24"/>
          <w:szCs w:val="24"/>
        </w:rPr>
        <w:t>The experience of COVID</w:t>
      </w:r>
      <w:r w:rsidR="08B63230" w:rsidRPr="00781FBD">
        <w:rPr>
          <w:rFonts w:ascii="Verdana" w:eastAsia="Verdana" w:hAnsi="Verdana" w:cs="Verdana"/>
          <w:sz w:val="24"/>
          <w:szCs w:val="24"/>
        </w:rPr>
        <w:t>-19</w:t>
      </w:r>
      <w:r w:rsidRPr="00781FBD">
        <w:rPr>
          <w:rFonts w:ascii="Verdana" w:eastAsia="Verdana" w:hAnsi="Verdana" w:cs="Verdana"/>
          <w:sz w:val="24"/>
          <w:szCs w:val="24"/>
        </w:rPr>
        <w:t xml:space="preserve"> has resulted in Melbourne Water taking a broader view of programs and activities to enhance community </w:t>
      </w:r>
      <w:r w:rsidRPr="00781FBD">
        <w:rPr>
          <w:rFonts w:ascii="Verdana" w:eastAsia="Verdana" w:hAnsi="Verdana" w:cs="Verdana"/>
          <w:sz w:val="24"/>
          <w:szCs w:val="24"/>
        </w:rPr>
        <w:lastRenderedPageBreak/>
        <w:t xml:space="preserve">involvement in waterways to meet the obligations and strategic drivers for this allocation. Of </w:t>
      </w:r>
      <w:r w:rsidR="2BD9582D" w:rsidRPr="00781FBD">
        <w:rPr>
          <w:rFonts w:ascii="Verdana" w:eastAsia="Verdana" w:hAnsi="Verdana" w:cs="Verdana"/>
          <w:sz w:val="24"/>
          <w:szCs w:val="24"/>
        </w:rPr>
        <w:t>relevance</w:t>
      </w:r>
      <w:r w:rsidRPr="00781FBD">
        <w:rPr>
          <w:rFonts w:ascii="Verdana" w:eastAsia="Verdana" w:hAnsi="Verdana" w:cs="Verdana"/>
          <w:sz w:val="24"/>
          <w:szCs w:val="24"/>
        </w:rPr>
        <w:t xml:space="preserve"> from the COVID</w:t>
      </w:r>
      <w:r w:rsidR="4C1E9DDE" w:rsidRPr="00781FBD">
        <w:rPr>
          <w:rFonts w:ascii="Verdana" w:eastAsia="Verdana" w:hAnsi="Verdana" w:cs="Verdana"/>
          <w:sz w:val="24"/>
          <w:szCs w:val="24"/>
        </w:rPr>
        <w:t>-19</w:t>
      </w:r>
      <w:r w:rsidRPr="00781FBD">
        <w:rPr>
          <w:rFonts w:ascii="Verdana" w:eastAsia="Verdana" w:hAnsi="Verdana" w:cs="Verdana"/>
          <w:sz w:val="24"/>
          <w:szCs w:val="24"/>
        </w:rPr>
        <w:t xml:space="preserve"> experience is</w:t>
      </w:r>
      <w:r w:rsidR="72B101DA" w:rsidRPr="00781FBD">
        <w:rPr>
          <w:rFonts w:ascii="Verdana" w:eastAsia="Verdana" w:hAnsi="Verdana" w:cs="Verdana"/>
          <w:sz w:val="24"/>
          <w:szCs w:val="24"/>
        </w:rPr>
        <w:t xml:space="preserve"> the need</w:t>
      </w:r>
      <w:r w:rsidRPr="00781FBD">
        <w:rPr>
          <w:rFonts w:ascii="Verdana" w:eastAsia="Verdana" w:hAnsi="Verdana" w:cs="Verdana"/>
          <w:sz w:val="24"/>
          <w:szCs w:val="24"/>
        </w:rPr>
        <w:t xml:space="preserve"> to take a blended approach to the range of activities, from “traditional” face to face group events through to fully digital and virtual experiences. Customer research (MELD</w:t>
      </w:r>
      <w:r w:rsidR="47AB2AF8" w:rsidRPr="00781FBD">
        <w:rPr>
          <w:rFonts w:ascii="Verdana" w:eastAsia="Verdana" w:hAnsi="Verdana" w:cs="Verdana"/>
          <w:sz w:val="24"/>
          <w:szCs w:val="24"/>
        </w:rPr>
        <w:t xml:space="preserve"> 2021</w:t>
      </w:r>
      <w:r w:rsidRPr="00781FBD">
        <w:rPr>
          <w:rFonts w:ascii="Verdana" w:eastAsia="Verdana" w:hAnsi="Verdana" w:cs="Verdana"/>
          <w:sz w:val="24"/>
          <w:szCs w:val="24"/>
        </w:rPr>
        <w:t>) and feedback has clearly demonstrated a need to get the balance right for these types of activities.</w:t>
      </w:r>
    </w:p>
    <w:p w14:paraId="1793850F" w14:textId="3F144AC0" w:rsidR="00D22D5F" w:rsidRPr="00781FBD" w:rsidRDefault="177193CE" w:rsidP="2F4D1433">
      <w:pPr>
        <w:spacing w:line="257" w:lineRule="auto"/>
        <w:rPr>
          <w:rFonts w:ascii="Verdana" w:eastAsia="Verdana" w:hAnsi="Verdana" w:cs="Verdana"/>
          <w:sz w:val="24"/>
          <w:szCs w:val="24"/>
        </w:rPr>
      </w:pPr>
      <w:r w:rsidRPr="00781FBD">
        <w:rPr>
          <w:rFonts w:ascii="Verdana" w:eastAsia="Verdana" w:hAnsi="Verdana" w:cs="Verdana"/>
          <w:sz w:val="24"/>
          <w:szCs w:val="24"/>
        </w:rPr>
        <w:t xml:space="preserve">The digital needs of community and customers in terms of education and engagement has been mapped out though Melbourne Water’s Digital Education and Engagement Roadmap (in </w:t>
      </w:r>
      <w:r w:rsidR="119AA1E0" w:rsidRPr="00781FBD">
        <w:rPr>
          <w:rFonts w:ascii="Verdana" w:eastAsia="Verdana" w:hAnsi="Verdana" w:cs="Verdana"/>
          <w:sz w:val="24"/>
          <w:szCs w:val="24"/>
        </w:rPr>
        <w:t xml:space="preserve">final </w:t>
      </w:r>
      <w:r w:rsidRPr="00781FBD">
        <w:rPr>
          <w:rFonts w:ascii="Verdana" w:eastAsia="Verdana" w:hAnsi="Verdana" w:cs="Verdana"/>
          <w:sz w:val="24"/>
          <w:szCs w:val="24"/>
        </w:rPr>
        <w:t>development) which will set clear direction on customer-preferences to meet the following goals;</w:t>
      </w:r>
    </w:p>
    <w:p w14:paraId="2787AFF6" w14:textId="635D91D8"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Continuously improve the digital education and engagement toolkit to meet customer and community needs</w:t>
      </w:r>
    </w:p>
    <w:p w14:paraId="1133FBC4" w14:textId="14F0CD10"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Expand audience reach and participation in education and engagement programs</w:t>
      </w:r>
    </w:p>
    <w:p w14:paraId="68A831F8" w14:textId="26558FB9"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Increase partnerships and industry collaborations that drives customer and business benefits</w:t>
      </w:r>
    </w:p>
    <w:p w14:paraId="7334E4D6" w14:textId="264C554A"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Improve integration of online and offline education experiences and engagement methods</w:t>
      </w:r>
    </w:p>
    <w:p w14:paraId="3A0882C8" w14:textId="518449E3" w:rsidR="00D22D5F" w:rsidRPr="00781FBD" w:rsidRDefault="177193CE" w:rsidP="2F4D1433">
      <w:pPr>
        <w:pStyle w:val="ListParagraph"/>
        <w:numPr>
          <w:ilvl w:val="0"/>
          <w:numId w:val="12"/>
        </w:numPr>
        <w:rPr>
          <w:rFonts w:eastAsiaTheme="minorEastAsia"/>
          <w:sz w:val="24"/>
          <w:szCs w:val="24"/>
        </w:rPr>
      </w:pPr>
      <w:r w:rsidRPr="00781FBD">
        <w:rPr>
          <w:rFonts w:ascii="Verdana" w:eastAsia="Verdana" w:hAnsi="Verdana" w:cs="Verdana"/>
          <w:sz w:val="24"/>
          <w:szCs w:val="24"/>
        </w:rPr>
        <w:t>Mature digital engagement capability and practice</w:t>
      </w:r>
    </w:p>
    <w:p w14:paraId="3AD8D05E" w14:textId="5138D29A" w:rsidR="00D22D5F" w:rsidRPr="00781FBD" w:rsidRDefault="177193CE" w:rsidP="2F4D1433">
      <w:pPr>
        <w:spacing w:line="257" w:lineRule="auto"/>
        <w:rPr>
          <w:rFonts w:ascii="Verdana" w:eastAsia="Verdana" w:hAnsi="Verdana" w:cs="Verdana"/>
          <w:sz w:val="24"/>
          <w:szCs w:val="24"/>
        </w:rPr>
      </w:pPr>
      <w:r w:rsidRPr="00781FBD">
        <w:rPr>
          <w:rFonts w:ascii="Verdana" w:eastAsia="Verdana" w:hAnsi="Verdana" w:cs="Verdana"/>
          <w:sz w:val="24"/>
          <w:szCs w:val="24"/>
        </w:rPr>
        <w:t>Many of the digital products and services identified in this allocation require OPEX funding for scoping and development, and ultimately maintenance of services, with Melbourne Water CAPEX funding</w:t>
      </w:r>
      <w:r w:rsidR="17E38E16" w:rsidRPr="00781FBD">
        <w:rPr>
          <w:rFonts w:ascii="Verdana" w:eastAsia="Verdana" w:hAnsi="Verdana" w:cs="Verdana"/>
          <w:sz w:val="24"/>
          <w:szCs w:val="24"/>
        </w:rPr>
        <w:t xml:space="preserve"> l</w:t>
      </w:r>
      <w:r w:rsidRPr="00781FBD">
        <w:rPr>
          <w:rFonts w:ascii="Verdana" w:eastAsia="Verdana" w:hAnsi="Verdana" w:cs="Verdana"/>
          <w:sz w:val="24"/>
          <w:szCs w:val="24"/>
        </w:rPr>
        <w:t>arger, new asset development or renewal.</w:t>
      </w:r>
    </w:p>
    <w:p w14:paraId="378AC819" w14:textId="3053C93D" w:rsidR="00D22D5F" w:rsidRPr="00781FBD" w:rsidRDefault="177193CE" w:rsidP="2F4D1433">
      <w:pPr>
        <w:spacing w:line="257" w:lineRule="auto"/>
        <w:rPr>
          <w:rFonts w:ascii="Verdana" w:eastAsia="Verdana" w:hAnsi="Verdana" w:cs="Verdana"/>
          <w:sz w:val="24"/>
          <w:szCs w:val="24"/>
        </w:rPr>
      </w:pPr>
      <w:r w:rsidRPr="00781FBD">
        <w:rPr>
          <w:rFonts w:ascii="Verdana" w:eastAsia="Verdana" w:hAnsi="Verdana" w:cs="Verdana"/>
          <w:sz w:val="24"/>
          <w:szCs w:val="24"/>
        </w:rPr>
        <w:t xml:space="preserve">This program will improve the community experience of waterway environments by developing new ways of educating and engaging community in waterway care and management. </w:t>
      </w:r>
    </w:p>
    <w:p w14:paraId="29D7B4B9" w14:textId="0952C14B" w:rsidR="00D22D5F" w:rsidRPr="002908C2" w:rsidRDefault="00D22D5F" w:rsidP="2F4D1433">
      <w:pPr>
        <w:spacing w:before="120" w:after="120" w:line="300" w:lineRule="atLeast"/>
        <w:rPr>
          <w:rFonts w:ascii="Verdana" w:eastAsia="Times New Roman" w:hAnsi="Verdana" w:cs="Times New Roman"/>
          <w:b/>
          <w:bCs/>
          <w:szCs w:val="18"/>
        </w:rPr>
      </w:pPr>
    </w:p>
    <w:p w14:paraId="2DD40BA4" w14:textId="544D5B8A" w:rsidR="00D22D5F" w:rsidRPr="002908C2" w:rsidRDefault="00D22D5F" w:rsidP="2F4D1433">
      <w:pPr>
        <w:spacing w:before="120" w:after="120" w:line="300" w:lineRule="atLeast"/>
        <w:rPr>
          <w:rFonts w:ascii="Verdana" w:eastAsia="Times New Roman" w:hAnsi="Verdana" w:cs="Times New Roman"/>
          <w:b/>
          <w:bCs/>
          <w:szCs w:val="18"/>
        </w:rPr>
      </w:pPr>
    </w:p>
    <w:p w14:paraId="02B1A94B" w14:textId="17F9EFE8" w:rsidR="00D22D5F" w:rsidRPr="002908C2" w:rsidRDefault="00D22D5F">
      <w:r>
        <w:br w:type="page"/>
      </w:r>
    </w:p>
    <w:p w14:paraId="52A1A112" w14:textId="3CC2BDFD" w:rsidR="00D22D5F" w:rsidRPr="00781FBD" w:rsidRDefault="152405EA" w:rsidP="2F4D1433">
      <w:pPr>
        <w:spacing w:before="120" w:after="120" w:line="300" w:lineRule="atLeast"/>
        <w:rPr>
          <w:rFonts w:ascii="Verdana" w:eastAsia="Times New Roman" w:hAnsi="Verdana" w:cs="Times New Roman"/>
          <w:b/>
          <w:bCs/>
          <w:color w:val="2F5496" w:themeColor="accent5" w:themeShade="BF"/>
          <w:sz w:val="28"/>
          <w:szCs w:val="28"/>
        </w:rPr>
      </w:pPr>
      <w:r w:rsidRPr="00781FBD">
        <w:rPr>
          <w:rFonts w:ascii="Verdana" w:eastAsia="Times New Roman" w:hAnsi="Verdana" w:cs="Times New Roman"/>
          <w:b/>
          <w:bCs/>
          <w:color w:val="2F5496" w:themeColor="accent5" w:themeShade="BF"/>
          <w:sz w:val="28"/>
          <w:szCs w:val="28"/>
        </w:rPr>
        <w:lastRenderedPageBreak/>
        <w:t>Appendix 1: references</w:t>
      </w:r>
    </w:p>
    <w:p w14:paraId="524E1AFF" w14:textId="57C6A405" w:rsidR="00D22D5F" w:rsidRPr="002908C2" w:rsidRDefault="00D22D5F" w:rsidP="2F4D1433">
      <w:pPr>
        <w:spacing w:before="120" w:after="120" w:line="300" w:lineRule="atLeast"/>
        <w:rPr>
          <w:rFonts w:ascii="Verdana" w:eastAsia="Times New Roman" w:hAnsi="Verdana" w:cs="Times New Roman"/>
          <w:b/>
          <w:bCs/>
          <w:szCs w:val="18"/>
        </w:rPr>
      </w:pPr>
    </w:p>
    <w:p w14:paraId="533AE6AD" w14:textId="5EA531FC" w:rsidR="00D22D5F" w:rsidRPr="00781FBD" w:rsidRDefault="7F3D30A0" w:rsidP="2F4D1433">
      <w:pPr>
        <w:spacing w:line="257" w:lineRule="auto"/>
        <w:rPr>
          <w:rFonts w:ascii="Verdana" w:eastAsia="Verdana" w:hAnsi="Verdana" w:cs="Verdana"/>
          <w:sz w:val="24"/>
          <w:szCs w:val="24"/>
        </w:rPr>
      </w:pPr>
      <w:r w:rsidRPr="00781FBD">
        <w:rPr>
          <w:rFonts w:ascii="Verdana" w:eastAsia="Verdana" w:hAnsi="Verdana" w:cs="Verdana"/>
          <w:sz w:val="24"/>
          <w:szCs w:val="24"/>
        </w:rPr>
        <w:t xml:space="preserve">Australia Now </w:t>
      </w:r>
      <w:r w:rsidR="0654041C" w:rsidRPr="00781FBD">
        <w:rPr>
          <w:rFonts w:ascii="Verdana" w:eastAsia="Verdana" w:hAnsi="Verdana" w:cs="Verdana"/>
          <w:sz w:val="24"/>
          <w:szCs w:val="24"/>
        </w:rPr>
        <w:t>Quantum Research</w:t>
      </w:r>
      <w:r w:rsidR="4F965748" w:rsidRPr="00781FBD">
        <w:rPr>
          <w:rFonts w:ascii="Verdana" w:eastAsia="Verdana" w:hAnsi="Verdana" w:cs="Verdana"/>
          <w:sz w:val="24"/>
          <w:szCs w:val="24"/>
        </w:rPr>
        <w:t xml:space="preserve"> (2020</w:t>
      </w:r>
      <w:r w:rsidR="75E750C0" w:rsidRPr="00781FBD">
        <w:rPr>
          <w:rFonts w:ascii="Verdana" w:eastAsia="Verdana" w:hAnsi="Verdana" w:cs="Verdana"/>
          <w:sz w:val="24"/>
          <w:szCs w:val="24"/>
        </w:rPr>
        <w:t>)</w:t>
      </w:r>
      <w:r w:rsidR="0654041C" w:rsidRPr="00781FBD">
        <w:rPr>
          <w:rFonts w:ascii="Verdana" w:eastAsia="Verdana" w:hAnsi="Verdana" w:cs="Verdana"/>
          <w:sz w:val="24"/>
          <w:szCs w:val="24"/>
        </w:rPr>
        <w:t>. Australia wide survey conducted weekly with n=1000 Australians representative of the population. Study date: August 2020 (Q. As the lockdown measures begin to be relaxed, and compared to what you did prior to COVID-19, to what extent will you?)</w:t>
      </w:r>
    </w:p>
    <w:p w14:paraId="71C401B5" w14:textId="66A80AB5" w:rsidR="00D22D5F" w:rsidRPr="00781FBD" w:rsidRDefault="152405EA" w:rsidP="2F4D1433">
      <w:pPr>
        <w:spacing w:line="257" w:lineRule="auto"/>
        <w:rPr>
          <w:rFonts w:ascii="Verdana" w:eastAsia="Verdana" w:hAnsi="Verdana" w:cs="Verdana"/>
          <w:sz w:val="24"/>
          <w:szCs w:val="24"/>
        </w:rPr>
      </w:pPr>
      <w:r w:rsidRPr="00781FBD">
        <w:rPr>
          <w:rFonts w:ascii="Verdana" w:eastAsia="Verdana" w:hAnsi="Verdana" w:cs="Verdana"/>
          <w:sz w:val="24"/>
          <w:szCs w:val="24"/>
        </w:rPr>
        <w:t>Boyes, E</w:t>
      </w:r>
      <w:r w:rsidR="1EBDFB51" w:rsidRPr="00781FBD">
        <w:rPr>
          <w:rFonts w:ascii="Verdana" w:eastAsia="Verdana" w:hAnsi="Verdana" w:cs="Verdana"/>
          <w:sz w:val="24"/>
          <w:szCs w:val="24"/>
        </w:rPr>
        <w:t>.</w:t>
      </w:r>
      <w:r w:rsidRPr="00781FBD">
        <w:rPr>
          <w:rFonts w:ascii="Verdana" w:eastAsia="Verdana" w:hAnsi="Verdana" w:cs="Verdana"/>
          <w:sz w:val="24"/>
          <w:szCs w:val="24"/>
        </w:rPr>
        <w:t xml:space="preserve"> &amp; Stanisstreet, M</w:t>
      </w:r>
      <w:r w:rsidR="0DA9AB2B" w:rsidRPr="00781FBD">
        <w:rPr>
          <w:rFonts w:ascii="Verdana" w:eastAsia="Verdana" w:hAnsi="Verdana" w:cs="Verdana"/>
          <w:sz w:val="24"/>
          <w:szCs w:val="24"/>
        </w:rPr>
        <w:t>.</w:t>
      </w:r>
      <w:r w:rsidRPr="00781FBD">
        <w:rPr>
          <w:rFonts w:ascii="Verdana" w:eastAsia="Verdana" w:hAnsi="Verdana" w:cs="Verdana"/>
          <w:sz w:val="24"/>
          <w:szCs w:val="24"/>
        </w:rPr>
        <w:t xml:space="preserve"> (2012)</w:t>
      </w:r>
      <w:r w:rsidR="063A3F1F" w:rsidRPr="00781FBD">
        <w:rPr>
          <w:rFonts w:ascii="Verdana" w:eastAsia="Verdana" w:hAnsi="Verdana" w:cs="Verdana"/>
          <w:sz w:val="24"/>
          <w:szCs w:val="24"/>
        </w:rPr>
        <w:t xml:space="preserve">, </w:t>
      </w:r>
      <w:r w:rsidR="242FDB89" w:rsidRPr="00781FBD">
        <w:rPr>
          <w:rFonts w:ascii="Verdana" w:eastAsia="Verdana" w:hAnsi="Verdana" w:cs="Verdana"/>
          <w:sz w:val="24"/>
          <w:szCs w:val="24"/>
        </w:rPr>
        <w:t>‘</w:t>
      </w:r>
      <w:r w:rsidRPr="00781FBD">
        <w:rPr>
          <w:rFonts w:ascii="Verdana" w:eastAsia="Verdana" w:hAnsi="Verdana" w:cs="Verdana"/>
          <w:sz w:val="24"/>
          <w:szCs w:val="24"/>
        </w:rPr>
        <w:t>Environmental Education for Behaviour Change: Which actions should be targeted?</w:t>
      </w:r>
      <w:r w:rsidR="488C720E" w:rsidRPr="00781FBD">
        <w:rPr>
          <w:rFonts w:ascii="Verdana" w:eastAsia="Verdana" w:hAnsi="Verdana" w:cs="Verdana"/>
          <w:sz w:val="24"/>
          <w:szCs w:val="24"/>
        </w:rPr>
        <w:t>’,</w:t>
      </w:r>
      <w:r w:rsidRPr="00781FBD">
        <w:rPr>
          <w:rFonts w:ascii="Verdana" w:eastAsia="Verdana" w:hAnsi="Verdana" w:cs="Verdana"/>
          <w:sz w:val="24"/>
          <w:szCs w:val="24"/>
        </w:rPr>
        <w:t xml:space="preserve"> </w:t>
      </w:r>
      <w:r w:rsidRPr="00781FBD">
        <w:rPr>
          <w:rFonts w:ascii="Verdana" w:eastAsia="Verdana" w:hAnsi="Verdana" w:cs="Verdana"/>
          <w:i/>
          <w:iCs/>
          <w:sz w:val="24"/>
          <w:szCs w:val="24"/>
        </w:rPr>
        <w:t>International Journal of Science Education</w:t>
      </w:r>
      <w:r w:rsidR="75EDA570" w:rsidRPr="00781FBD">
        <w:rPr>
          <w:rFonts w:ascii="Verdana" w:eastAsia="Verdana" w:hAnsi="Verdana" w:cs="Verdana"/>
          <w:i/>
          <w:iCs/>
          <w:sz w:val="24"/>
          <w:szCs w:val="24"/>
        </w:rPr>
        <w:t>,</w:t>
      </w:r>
      <w:r w:rsidRPr="00781FBD">
        <w:rPr>
          <w:rFonts w:ascii="Verdana" w:eastAsia="Verdana" w:hAnsi="Verdana" w:cs="Verdana"/>
          <w:sz w:val="24"/>
          <w:szCs w:val="24"/>
        </w:rPr>
        <w:t xml:space="preserve"> </w:t>
      </w:r>
      <w:r w:rsidR="1D7091E6" w:rsidRPr="00781FBD">
        <w:rPr>
          <w:rFonts w:ascii="Verdana" w:eastAsia="Verdana" w:hAnsi="Verdana" w:cs="Verdana"/>
          <w:sz w:val="24"/>
          <w:szCs w:val="24"/>
        </w:rPr>
        <w:t xml:space="preserve">Volume </w:t>
      </w:r>
      <w:r w:rsidRPr="00781FBD">
        <w:rPr>
          <w:rFonts w:ascii="Verdana" w:eastAsia="Verdana" w:hAnsi="Verdana" w:cs="Verdana"/>
          <w:sz w:val="24"/>
          <w:szCs w:val="24"/>
        </w:rPr>
        <w:t>34</w:t>
      </w:r>
      <w:r w:rsidR="4BB4C186" w:rsidRPr="00781FBD">
        <w:rPr>
          <w:rFonts w:ascii="Verdana" w:eastAsia="Verdana" w:hAnsi="Verdana" w:cs="Verdana"/>
          <w:sz w:val="24"/>
          <w:szCs w:val="24"/>
        </w:rPr>
        <w:t>, pp.</w:t>
      </w:r>
      <w:r w:rsidRPr="00781FBD">
        <w:rPr>
          <w:rFonts w:ascii="Verdana" w:eastAsia="Verdana" w:hAnsi="Verdana" w:cs="Verdana"/>
          <w:sz w:val="24"/>
          <w:szCs w:val="24"/>
        </w:rPr>
        <w:t xml:space="preserve"> 1591-1614</w:t>
      </w:r>
      <w:r w:rsidR="788E30A0" w:rsidRPr="00781FBD">
        <w:rPr>
          <w:rFonts w:ascii="Verdana" w:eastAsia="Verdana" w:hAnsi="Verdana" w:cs="Verdana"/>
          <w:sz w:val="24"/>
          <w:szCs w:val="24"/>
        </w:rPr>
        <w:t>, DOI:</w:t>
      </w:r>
      <w:r w:rsidRPr="00781FBD">
        <w:rPr>
          <w:rFonts w:ascii="Verdana" w:eastAsia="Verdana" w:hAnsi="Verdana" w:cs="Verdana"/>
          <w:sz w:val="24"/>
          <w:szCs w:val="24"/>
        </w:rPr>
        <w:t xml:space="preserve"> 10.1080/09500693.2011.584079</w:t>
      </w:r>
      <w:r w:rsidR="4FB0E154" w:rsidRPr="00781FBD">
        <w:rPr>
          <w:rFonts w:ascii="Verdana" w:eastAsia="Verdana" w:hAnsi="Verdana" w:cs="Verdana"/>
          <w:sz w:val="24"/>
          <w:szCs w:val="24"/>
        </w:rPr>
        <w:t xml:space="preserve"> </w:t>
      </w:r>
    </w:p>
    <w:p w14:paraId="62BDDC69" w14:textId="6720EDD1" w:rsidR="00D22D5F" w:rsidRPr="00781FBD" w:rsidRDefault="152405EA" w:rsidP="2F4D1433">
      <w:pPr>
        <w:spacing w:line="257" w:lineRule="auto"/>
        <w:rPr>
          <w:rFonts w:ascii="Verdana" w:eastAsia="Verdana" w:hAnsi="Verdana" w:cs="Verdana"/>
          <w:color w:val="008080"/>
          <w:sz w:val="24"/>
          <w:szCs w:val="24"/>
          <w:u w:val="single"/>
        </w:rPr>
      </w:pPr>
      <w:r w:rsidRPr="00781FBD">
        <w:rPr>
          <w:rFonts w:ascii="Verdana" w:eastAsia="Verdana" w:hAnsi="Verdana" w:cs="Verdana"/>
          <w:sz w:val="24"/>
          <w:szCs w:val="24"/>
        </w:rPr>
        <w:t>Duerden,</w:t>
      </w:r>
      <w:r w:rsidR="782BD893" w:rsidRPr="00781FBD">
        <w:rPr>
          <w:rFonts w:ascii="Verdana" w:eastAsia="Verdana" w:hAnsi="Verdana" w:cs="Verdana"/>
          <w:sz w:val="24"/>
          <w:szCs w:val="24"/>
        </w:rPr>
        <w:t xml:space="preserve"> M</w:t>
      </w:r>
      <w:r w:rsidR="6EBB2D77" w:rsidRPr="00781FBD">
        <w:rPr>
          <w:rFonts w:ascii="Verdana" w:eastAsia="Verdana" w:hAnsi="Verdana" w:cs="Verdana"/>
          <w:sz w:val="24"/>
          <w:szCs w:val="24"/>
        </w:rPr>
        <w:t>.</w:t>
      </w:r>
      <w:r w:rsidR="782BD893" w:rsidRPr="00781FBD">
        <w:rPr>
          <w:rFonts w:ascii="Verdana" w:eastAsia="Verdana" w:hAnsi="Verdana" w:cs="Verdana"/>
          <w:sz w:val="24"/>
          <w:szCs w:val="24"/>
        </w:rPr>
        <w:t xml:space="preserve"> &amp;</w:t>
      </w:r>
      <w:r w:rsidRPr="00781FBD">
        <w:rPr>
          <w:rFonts w:ascii="Verdana" w:eastAsia="Verdana" w:hAnsi="Verdana" w:cs="Verdana"/>
          <w:sz w:val="24"/>
          <w:szCs w:val="24"/>
        </w:rPr>
        <w:t xml:space="preserve"> </w:t>
      </w:r>
      <w:r w:rsidR="76637147" w:rsidRPr="00781FBD">
        <w:rPr>
          <w:rFonts w:ascii="Verdana" w:eastAsia="Verdana" w:hAnsi="Verdana" w:cs="Verdana"/>
          <w:sz w:val="24"/>
          <w:szCs w:val="24"/>
        </w:rPr>
        <w:t>W</w:t>
      </w:r>
      <w:r w:rsidRPr="00781FBD">
        <w:rPr>
          <w:rFonts w:ascii="Verdana" w:eastAsia="Verdana" w:hAnsi="Verdana" w:cs="Verdana"/>
          <w:sz w:val="24"/>
          <w:szCs w:val="24"/>
        </w:rPr>
        <w:t>itt,</w:t>
      </w:r>
      <w:r w:rsidR="61A0736E" w:rsidRPr="00781FBD">
        <w:rPr>
          <w:rFonts w:ascii="Verdana" w:eastAsia="Verdana" w:hAnsi="Verdana" w:cs="Verdana"/>
          <w:sz w:val="24"/>
          <w:szCs w:val="24"/>
        </w:rPr>
        <w:t xml:space="preserve"> P</w:t>
      </w:r>
      <w:r w:rsidR="58BD8E9A" w:rsidRPr="00781FBD">
        <w:rPr>
          <w:rFonts w:ascii="Verdana" w:eastAsia="Verdana" w:hAnsi="Verdana" w:cs="Verdana"/>
          <w:sz w:val="24"/>
          <w:szCs w:val="24"/>
        </w:rPr>
        <w:t>.</w:t>
      </w:r>
      <w:r w:rsidR="61A0736E" w:rsidRPr="00781FBD">
        <w:rPr>
          <w:rFonts w:ascii="Verdana" w:eastAsia="Verdana" w:hAnsi="Verdana" w:cs="Verdana"/>
          <w:sz w:val="24"/>
          <w:szCs w:val="24"/>
        </w:rPr>
        <w:t xml:space="preserve"> (2010),</w:t>
      </w:r>
      <w:r w:rsidRPr="00781FBD">
        <w:rPr>
          <w:rFonts w:ascii="Verdana" w:eastAsia="Verdana" w:hAnsi="Verdana" w:cs="Verdana"/>
          <w:sz w:val="24"/>
          <w:szCs w:val="24"/>
        </w:rPr>
        <w:t xml:space="preserve"> </w:t>
      </w:r>
      <w:r w:rsidR="00B8A501" w:rsidRPr="00781FBD">
        <w:rPr>
          <w:rFonts w:ascii="Verdana" w:eastAsia="Verdana" w:hAnsi="Verdana" w:cs="Verdana"/>
          <w:sz w:val="24"/>
          <w:szCs w:val="24"/>
        </w:rPr>
        <w:t>‘</w:t>
      </w:r>
      <w:r w:rsidRPr="00781FBD">
        <w:rPr>
          <w:rFonts w:ascii="Verdana" w:eastAsia="Verdana" w:hAnsi="Verdana" w:cs="Verdana"/>
          <w:sz w:val="24"/>
          <w:szCs w:val="24"/>
        </w:rPr>
        <w:t xml:space="preserve">The impact of direct and indirect experiences on the development of environmental knowledge, attitudes, and </w:t>
      </w:r>
      <w:r w:rsidR="6AC78BB7" w:rsidRPr="00781FBD">
        <w:rPr>
          <w:rFonts w:ascii="Verdana" w:eastAsia="Verdana" w:hAnsi="Verdana" w:cs="Verdana"/>
          <w:sz w:val="24"/>
          <w:szCs w:val="24"/>
        </w:rPr>
        <w:t>behavior</w:t>
      </w:r>
      <w:r w:rsidR="7E760CF6" w:rsidRPr="00781FBD">
        <w:rPr>
          <w:rFonts w:ascii="Verdana" w:eastAsia="Verdana" w:hAnsi="Verdana" w:cs="Verdana"/>
          <w:sz w:val="24"/>
          <w:szCs w:val="24"/>
        </w:rPr>
        <w:t>’</w:t>
      </w:r>
      <w:r w:rsidRPr="00781FBD">
        <w:rPr>
          <w:rFonts w:ascii="Verdana" w:eastAsia="Verdana" w:hAnsi="Verdana" w:cs="Verdana"/>
          <w:sz w:val="24"/>
          <w:szCs w:val="24"/>
        </w:rPr>
        <w:t xml:space="preserve">, </w:t>
      </w:r>
      <w:r w:rsidRPr="00781FBD">
        <w:rPr>
          <w:rFonts w:ascii="Verdana" w:eastAsia="Verdana" w:hAnsi="Verdana" w:cs="Verdana"/>
          <w:i/>
          <w:iCs/>
          <w:sz w:val="24"/>
          <w:szCs w:val="24"/>
        </w:rPr>
        <w:t>Journal of Environmental Psychology</w:t>
      </w:r>
      <w:r w:rsidRPr="00781FBD">
        <w:rPr>
          <w:rFonts w:ascii="Verdana" w:eastAsia="Verdana" w:hAnsi="Verdana" w:cs="Verdana"/>
          <w:sz w:val="24"/>
          <w:szCs w:val="24"/>
        </w:rPr>
        <w:t xml:space="preserve">, Volume 30, Issue 4, </w:t>
      </w:r>
      <w:r w:rsidR="5A1580FC" w:rsidRPr="00781FBD">
        <w:rPr>
          <w:rFonts w:ascii="Verdana" w:eastAsia="Verdana" w:hAnsi="Verdana" w:cs="Verdana"/>
          <w:sz w:val="24"/>
          <w:szCs w:val="24"/>
        </w:rPr>
        <w:t xml:space="preserve">pp. </w:t>
      </w:r>
      <w:r w:rsidRPr="00781FBD">
        <w:rPr>
          <w:rFonts w:ascii="Verdana" w:eastAsia="Verdana" w:hAnsi="Verdana" w:cs="Verdana"/>
          <w:sz w:val="24"/>
          <w:szCs w:val="24"/>
        </w:rPr>
        <w:t xml:space="preserve">379-392, </w:t>
      </w:r>
      <w:hyperlink r:id="rId15">
        <w:r w:rsidRPr="00781FBD">
          <w:rPr>
            <w:rStyle w:val="Hyperlink"/>
            <w:rFonts w:ascii="Verdana" w:eastAsia="Verdana" w:hAnsi="Verdana" w:cs="Verdana"/>
            <w:sz w:val="24"/>
            <w:szCs w:val="24"/>
          </w:rPr>
          <w:t>https://doi.org/10.1016/j.jenvp.2010.03.007</w:t>
        </w:r>
      </w:hyperlink>
    </w:p>
    <w:p w14:paraId="5F53B760" w14:textId="38F206E5" w:rsidR="00D22D5F" w:rsidRPr="00781FBD" w:rsidRDefault="152405EA" w:rsidP="2F4D1433">
      <w:pPr>
        <w:spacing w:line="257" w:lineRule="auto"/>
        <w:rPr>
          <w:rFonts w:ascii="Verdana" w:eastAsia="Verdana" w:hAnsi="Verdana" w:cs="Verdana"/>
          <w:sz w:val="24"/>
          <w:szCs w:val="24"/>
        </w:rPr>
      </w:pPr>
      <w:r w:rsidRPr="00781FBD">
        <w:rPr>
          <w:rFonts w:ascii="Verdana" w:eastAsia="Verdana" w:hAnsi="Verdana" w:cs="Verdana"/>
          <w:sz w:val="24"/>
          <w:szCs w:val="24"/>
        </w:rPr>
        <w:t xml:space="preserve">Frontier Economics (2019), </w:t>
      </w:r>
      <w:r w:rsidR="7EFC3857" w:rsidRPr="00781FBD">
        <w:rPr>
          <w:rFonts w:ascii="Verdana" w:eastAsia="Verdana" w:hAnsi="Verdana" w:cs="Verdana"/>
          <w:sz w:val="24"/>
          <w:szCs w:val="24"/>
        </w:rPr>
        <w:t>‘</w:t>
      </w:r>
      <w:r w:rsidRPr="00781FBD">
        <w:rPr>
          <w:rFonts w:ascii="Verdana" w:eastAsia="Verdana" w:hAnsi="Verdana" w:cs="Verdana"/>
          <w:sz w:val="24"/>
          <w:szCs w:val="24"/>
        </w:rPr>
        <w:t>Health benefits from water centric liveable communities: A report prepared for the water services association of Australia (WSSA)</w:t>
      </w:r>
      <w:r w:rsidR="2AF3BAD9" w:rsidRPr="00781FBD">
        <w:rPr>
          <w:rFonts w:ascii="Verdana" w:eastAsia="Verdana" w:hAnsi="Verdana" w:cs="Verdana"/>
          <w:sz w:val="24"/>
          <w:szCs w:val="24"/>
        </w:rPr>
        <w:t>’</w:t>
      </w:r>
    </w:p>
    <w:p w14:paraId="31B6BE99" w14:textId="449C9421" w:rsidR="00D22D5F" w:rsidRPr="00781FBD" w:rsidRDefault="152405EA" w:rsidP="2F4D1433">
      <w:pPr>
        <w:spacing w:line="257" w:lineRule="auto"/>
        <w:rPr>
          <w:rFonts w:ascii="Verdana" w:eastAsia="Verdana" w:hAnsi="Verdana" w:cs="Verdana"/>
          <w:sz w:val="24"/>
          <w:szCs w:val="24"/>
        </w:rPr>
      </w:pPr>
      <w:r w:rsidRPr="00781FBD">
        <w:rPr>
          <w:rFonts w:ascii="Verdana" w:eastAsia="Verdana" w:hAnsi="Verdana" w:cs="Verdana"/>
          <w:sz w:val="24"/>
          <w:szCs w:val="24"/>
        </w:rPr>
        <w:t>Gould,</w:t>
      </w:r>
      <w:r w:rsidR="384F59E2" w:rsidRPr="00781FBD">
        <w:rPr>
          <w:rFonts w:ascii="Verdana" w:eastAsia="Verdana" w:hAnsi="Verdana" w:cs="Verdana"/>
          <w:sz w:val="24"/>
          <w:szCs w:val="24"/>
        </w:rPr>
        <w:t xml:space="preserve"> R</w:t>
      </w:r>
      <w:r w:rsidR="0C43D8CD" w:rsidRPr="00781FBD">
        <w:rPr>
          <w:rFonts w:ascii="Verdana" w:eastAsia="Verdana" w:hAnsi="Verdana" w:cs="Verdana"/>
          <w:sz w:val="24"/>
          <w:szCs w:val="24"/>
        </w:rPr>
        <w:t>.</w:t>
      </w:r>
      <w:r w:rsidR="384F59E2" w:rsidRPr="00781FBD">
        <w:rPr>
          <w:rFonts w:ascii="Verdana" w:eastAsia="Verdana" w:hAnsi="Verdana" w:cs="Verdana"/>
          <w:sz w:val="24"/>
          <w:szCs w:val="24"/>
        </w:rPr>
        <w:t xml:space="preserve">, </w:t>
      </w:r>
      <w:r w:rsidRPr="00781FBD">
        <w:rPr>
          <w:rFonts w:ascii="Verdana" w:eastAsia="Verdana" w:hAnsi="Verdana" w:cs="Verdana"/>
          <w:sz w:val="24"/>
          <w:szCs w:val="24"/>
        </w:rPr>
        <w:t>Ardoin,</w:t>
      </w:r>
      <w:r w:rsidR="75F14B6F" w:rsidRPr="00781FBD">
        <w:rPr>
          <w:rFonts w:ascii="Verdana" w:eastAsia="Verdana" w:hAnsi="Verdana" w:cs="Verdana"/>
          <w:sz w:val="24"/>
          <w:szCs w:val="24"/>
        </w:rPr>
        <w:t xml:space="preserve"> N</w:t>
      </w:r>
      <w:r w:rsidR="135C60D2" w:rsidRPr="00781FBD">
        <w:rPr>
          <w:rFonts w:ascii="Verdana" w:eastAsia="Verdana" w:hAnsi="Verdana" w:cs="Verdana"/>
          <w:sz w:val="24"/>
          <w:szCs w:val="24"/>
        </w:rPr>
        <w:t>.</w:t>
      </w:r>
      <w:r w:rsidR="75F14B6F" w:rsidRPr="00781FBD">
        <w:rPr>
          <w:rFonts w:ascii="Verdana" w:eastAsia="Verdana" w:hAnsi="Verdana" w:cs="Verdana"/>
          <w:sz w:val="24"/>
          <w:szCs w:val="24"/>
        </w:rPr>
        <w:t>,</w:t>
      </w:r>
      <w:r w:rsidRPr="00781FBD">
        <w:rPr>
          <w:rFonts w:ascii="Verdana" w:eastAsia="Verdana" w:hAnsi="Verdana" w:cs="Verdana"/>
          <w:sz w:val="24"/>
          <w:szCs w:val="24"/>
        </w:rPr>
        <w:t xml:space="preserve"> Thomsen</w:t>
      </w:r>
      <w:r w:rsidR="74733A9B" w:rsidRPr="00781FBD">
        <w:rPr>
          <w:rFonts w:ascii="Verdana" w:eastAsia="Verdana" w:hAnsi="Verdana" w:cs="Verdana"/>
          <w:sz w:val="24"/>
          <w:szCs w:val="24"/>
        </w:rPr>
        <w:t>, J</w:t>
      </w:r>
      <w:r w:rsidR="18DB970F" w:rsidRPr="00781FBD">
        <w:rPr>
          <w:rFonts w:ascii="Verdana" w:eastAsia="Verdana" w:hAnsi="Verdana" w:cs="Verdana"/>
          <w:sz w:val="24"/>
          <w:szCs w:val="24"/>
        </w:rPr>
        <w:t>.</w:t>
      </w:r>
      <w:r w:rsidRPr="00781FBD">
        <w:rPr>
          <w:rFonts w:ascii="Verdana" w:eastAsia="Verdana" w:hAnsi="Verdana" w:cs="Verdana"/>
          <w:sz w:val="24"/>
          <w:szCs w:val="24"/>
        </w:rPr>
        <w:t xml:space="preserve"> &amp; Wyman Roth</w:t>
      </w:r>
      <w:r w:rsidR="5A36B1DD" w:rsidRPr="00781FBD">
        <w:rPr>
          <w:rFonts w:ascii="Verdana" w:eastAsia="Verdana" w:hAnsi="Verdana" w:cs="Verdana"/>
          <w:sz w:val="24"/>
          <w:szCs w:val="24"/>
        </w:rPr>
        <w:t>, N</w:t>
      </w:r>
      <w:r w:rsidR="630FF070" w:rsidRPr="00781FBD">
        <w:rPr>
          <w:rFonts w:ascii="Verdana" w:eastAsia="Verdana" w:hAnsi="Verdana" w:cs="Verdana"/>
          <w:sz w:val="24"/>
          <w:szCs w:val="24"/>
        </w:rPr>
        <w:t>.</w:t>
      </w:r>
      <w:r w:rsidRPr="00781FBD">
        <w:rPr>
          <w:rFonts w:ascii="Verdana" w:eastAsia="Verdana" w:hAnsi="Verdana" w:cs="Verdana"/>
          <w:sz w:val="24"/>
          <w:szCs w:val="24"/>
        </w:rPr>
        <w:t xml:space="preserve"> (2019)</w:t>
      </w:r>
      <w:r w:rsidR="5E0A2E81" w:rsidRPr="00781FBD">
        <w:rPr>
          <w:rFonts w:ascii="Verdana" w:eastAsia="Verdana" w:hAnsi="Verdana" w:cs="Verdana"/>
          <w:sz w:val="24"/>
          <w:szCs w:val="24"/>
        </w:rPr>
        <w:t>,</w:t>
      </w:r>
      <w:r w:rsidRPr="00781FBD">
        <w:rPr>
          <w:rFonts w:ascii="Verdana" w:eastAsia="Verdana" w:hAnsi="Verdana" w:cs="Verdana"/>
          <w:sz w:val="24"/>
          <w:szCs w:val="24"/>
        </w:rPr>
        <w:t xml:space="preserve"> </w:t>
      </w:r>
      <w:r w:rsidR="0EDA98D7" w:rsidRPr="00781FBD">
        <w:rPr>
          <w:rFonts w:ascii="Verdana" w:eastAsia="Verdana" w:hAnsi="Verdana" w:cs="Verdana"/>
          <w:sz w:val="24"/>
          <w:szCs w:val="24"/>
        </w:rPr>
        <w:t>‘</w:t>
      </w:r>
      <w:r w:rsidRPr="00781FBD">
        <w:rPr>
          <w:rFonts w:ascii="Verdana" w:eastAsia="Verdana" w:hAnsi="Verdana" w:cs="Verdana"/>
          <w:sz w:val="24"/>
          <w:szCs w:val="24"/>
        </w:rPr>
        <w:t xml:space="preserve">Exploring connections between environmental learning and </w:t>
      </w:r>
      <w:r w:rsidR="77E73F14" w:rsidRPr="00781FBD">
        <w:rPr>
          <w:rFonts w:ascii="Verdana" w:eastAsia="Verdana" w:hAnsi="Verdana" w:cs="Verdana"/>
          <w:sz w:val="24"/>
          <w:szCs w:val="24"/>
        </w:rPr>
        <w:t>behavior</w:t>
      </w:r>
      <w:r w:rsidRPr="00781FBD">
        <w:rPr>
          <w:rFonts w:ascii="Verdana" w:eastAsia="Verdana" w:hAnsi="Verdana" w:cs="Verdana"/>
          <w:sz w:val="24"/>
          <w:szCs w:val="24"/>
        </w:rPr>
        <w:t xml:space="preserve"> through four everyday-life case studies</w:t>
      </w:r>
      <w:r w:rsidR="059D598D" w:rsidRPr="00781FBD">
        <w:rPr>
          <w:rFonts w:ascii="Verdana" w:eastAsia="Verdana" w:hAnsi="Verdana" w:cs="Verdana"/>
          <w:sz w:val="24"/>
          <w:szCs w:val="24"/>
        </w:rPr>
        <w:t>’</w:t>
      </w:r>
      <w:r w:rsidRPr="00781FBD">
        <w:rPr>
          <w:rFonts w:ascii="Verdana" w:eastAsia="Verdana" w:hAnsi="Verdana" w:cs="Verdana"/>
          <w:sz w:val="24"/>
          <w:szCs w:val="24"/>
        </w:rPr>
        <w:t xml:space="preserve">, </w:t>
      </w:r>
      <w:r w:rsidRPr="00781FBD">
        <w:rPr>
          <w:rFonts w:ascii="Verdana" w:eastAsia="Verdana" w:hAnsi="Verdana" w:cs="Verdana"/>
          <w:i/>
          <w:iCs/>
          <w:sz w:val="24"/>
          <w:szCs w:val="24"/>
        </w:rPr>
        <w:t>Environmental Education Research</w:t>
      </w:r>
      <w:r w:rsidRPr="00781FBD">
        <w:rPr>
          <w:rFonts w:ascii="Verdana" w:eastAsia="Verdana" w:hAnsi="Verdana" w:cs="Verdana"/>
          <w:sz w:val="24"/>
          <w:szCs w:val="24"/>
        </w:rPr>
        <w:t xml:space="preserve">, </w:t>
      </w:r>
      <w:r w:rsidR="0E2027C9" w:rsidRPr="00781FBD">
        <w:rPr>
          <w:rFonts w:ascii="Verdana" w:eastAsia="Verdana" w:hAnsi="Verdana" w:cs="Verdana"/>
          <w:sz w:val="24"/>
          <w:szCs w:val="24"/>
        </w:rPr>
        <w:t xml:space="preserve">Volume </w:t>
      </w:r>
      <w:r w:rsidRPr="00781FBD">
        <w:rPr>
          <w:rFonts w:ascii="Verdana" w:eastAsia="Verdana" w:hAnsi="Verdana" w:cs="Verdana"/>
          <w:sz w:val="24"/>
          <w:szCs w:val="24"/>
        </w:rPr>
        <w:t>25</w:t>
      </w:r>
      <w:r w:rsidR="698F6329" w:rsidRPr="00781FBD">
        <w:rPr>
          <w:rFonts w:ascii="Verdana" w:eastAsia="Verdana" w:hAnsi="Verdana" w:cs="Verdana"/>
          <w:sz w:val="24"/>
          <w:szCs w:val="24"/>
        </w:rPr>
        <w:t xml:space="preserve">, Issue </w:t>
      </w:r>
      <w:r w:rsidRPr="00781FBD">
        <w:rPr>
          <w:rFonts w:ascii="Verdana" w:eastAsia="Verdana" w:hAnsi="Verdana" w:cs="Verdana"/>
          <w:sz w:val="24"/>
          <w:szCs w:val="24"/>
        </w:rPr>
        <w:t>3,</w:t>
      </w:r>
      <w:r w:rsidR="75782A78" w:rsidRPr="00781FBD">
        <w:rPr>
          <w:rFonts w:ascii="Verdana" w:eastAsia="Verdana" w:hAnsi="Verdana" w:cs="Verdana"/>
          <w:sz w:val="24"/>
          <w:szCs w:val="24"/>
        </w:rPr>
        <w:t xml:space="preserve"> pp.</w:t>
      </w:r>
      <w:r w:rsidRPr="00781FBD">
        <w:rPr>
          <w:rFonts w:ascii="Verdana" w:eastAsia="Verdana" w:hAnsi="Verdana" w:cs="Verdana"/>
          <w:sz w:val="24"/>
          <w:szCs w:val="24"/>
        </w:rPr>
        <w:t xml:space="preserve"> 314-340, DOI: 10.1080/13504622.2018.1510903</w:t>
      </w:r>
    </w:p>
    <w:p w14:paraId="5F167E6D" w14:textId="70163498" w:rsidR="00D22D5F" w:rsidRPr="00781FBD" w:rsidRDefault="152405EA" w:rsidP="2F4D1433">
      <w:pPr>
        <w:spacing w:line="257" w:lineRule="auto"/>
        <w:rPr>
          <w:rFonts w:ascii="Verdana" w:eastAsia="Verdana" w:hAnsi="Verdana" w:cs="Verdana"/>
          <w:sz w:val="24"/>
          <w:szCs w:val="24"/>
        </w:rPr>
      </w:pPr>
      <w:r w:rsidRPr="00781FBD">
        <w:rPr>
          <w:rFonts w:ascii="Verdana" w:eastAsia="Verdana" w:hAnsi="Verdana" w:cs="Verdana"/>
          <w:sz w:val="24"/>
          <w:szCs w:val="24"/>
        </w:rPr>
        <w:t>Gralton, A., Sinclair, M., &amp; Purnell, K. (2004)</w:t>
      </w:r>
      <w:r w:rsidR="46768D0A" w:rsidRPr="00781FBD">
        <w:rPr>
          <w:rFonts w:ascii="Verdana" w:eastAsia="Verdana" w:hAnsi="Verdana" w:cs="Verdana"/>
          <w:sz w:val="24"/>
          <w:szCs w:val="24"/>
        </w:rPr>
        <w:t>,</w:t>
      </w:r>
      <w:r w:rsidRPr="00781FBD">
        <w:rPr>
          <w:rFonts w:ascii="Verdana" w:eastAsia="Verdana" w:hAnsi="Verdana" w:cs="Verdana"/>
          <w:sz w:val="24"/>
          <w:szCs w:val="24"/>
        </w:rPr>
        <w:t xml:space="preserve"> </w:t>
      </w:r>
      <w:r w:rsidR="73970023" w:rsidRPr="00781FBD">
        <w:rPr>
          <w:rFonts w:ascii="Verdana" w:eastAsia="Verdana" w:hAnsi="Verdana" w:cs="Verdana"/>
          <w:sz w:val="24"/>
          <w:szCs w:val="24"/>
        </w:rPr>
        <w:t>‘</w:t>
      </w:r>
      <w:r w:rsidRPr="00781FBD">
        <w:rPr>
          <w:rFonts w:ascii="Verdana" w:eastAsia="Verdana" w:hAnsi="Verdana" w:cs="Verdana"/>
          <w:sz w:val="24"/>
          <w:szCs w:val="24"/>
        </w:rPr>
        <w:t>Changes in Attitudes, Beliefs and Behaviour: A Critical Review of Research into the Impacts of Environmental Education Initiatives</w:t>
      </w:r>
      <w:r w:rsidR="77AA8160" w:rsidRPr="00781FBD">
        <w:rPr>
          <w:rFonts w:ascii="Verdana" w:eastAsia="Verdana" w:hAnsi="Verdana" w:cs="Verdana"/>
          <w:sz w:val="24"/>
          <w:szCs w:val="24"/>
        </w:rPr>
        <w:t>’,</w:t>
      </w:r>
      <w:r w:rsidRPr="00781FBD">
        <w:rPr>
          <w:rFonts w:ascii="Verdana" w:eastAsia="Verdana" w:hAnsi="Verdana" w:cs="Verdana"/>
          <w:sz w:val="24"/>
          <w:szCs w:val="24"/>
        </w:rPr>
        <w:t xml:space="preserve"> </w:t>
      </w:r>
      <w:r w:rsidRPr="00781FBD">
        <w:rPr>
          <w:rFonts w:ascii="Verdana" w:eastAsia="Verdana" w:hAnsi="Verdana" w:cs="Verdana"/>
          <w:i/>
          <w:iCs/>
          <w:sz w:val="24"/>
          <w:szCs w:val="24"/>
        </w:rPr>
        <w:t>Australian Journal of Environmental Education</w:t>
      </w:r>
      <w:r w:rsidRPr="00781FBD">
        <w:rPr>
          <w:rFonts w:ascii="Verdana" w:eastAsia="Verdana" w:hAnsi="Verdana" w:cs="Verdana"/>
          <w:sz w:val="24"/>
          <w:szCs w:val="24"/>
        </w:rPr>
        <w:t xml:space="preserve">, </w:t>
      </w:r>
      <w:r w:rsidR="2E24B6AE" w:rsidRPr="00781FBD">
        <w:rPr>
          <w:rFonts w:ascii="Verdana" w:eastAsia="Verdana" w:hAnsi="Verdana" w:cs="Verdana"/>
          <w:sz w:val="24"/>
          <w:szCs w:val="24"/>
        </w:rPr>
        <w:t xml:space="preserve">Volume </w:t>
      </w:r>
      <w:r w:rsidRPr="00781FBD">
        <w:rPr>
          <w:rFonts w:ascii="Verdana" w:eastAsia="Verdana" w:hAnsi="Verdana" w:cs="Verdana"/>
          <w:sz w:val="24"/>
          <w:szCs w:val="24"/>
        </w:rPr>
        <w:t>20</w:t>
      </w:r>
      <w:r w:rsidR="55C114BF" w:rsidRPr="00781FBD">
        <w:rPr>
          <w:rFonts w:ascii="Verdana" w:eastAsia="Verdana" w:hAnsi="Verdana" w:cs="Verdana"/>
          <w:sz w:val="24"/>
          <w:szCs w:val="24"/>
        </w:rPr>
        <w:t>, Issue 2</w:t>
      </w:r>
      <w:r w:rsidRPr="00781FBD">
        <w:rPr>
          <w:rFonts w:ascii="Verdana" w:eastAsia="Verdana" w:hAnsi="Verdana" w:cs="Verdana"/>
          <w:sz w:val="24"/>
          <w:szCs w:val="24"/>
        </w:rPr>
        <w:t xml:space="preserve">, </w:t>
      </w:r>
      <w:r w:rsidR="4E8A97B5" w:rsidRPr="00781FBD">
        <w:rPr>
          <w:rFonts w:ascii="Verdana" w:eastAsia="Verdana" w:hAnsi="Verdana" w:cs="Verdana"/>
          <w:sz w:val="24"/>
          <w:szCs w:val="24"/>
        </w:rPr>
        <w:t xml:space="preserve">pp. </w:t>
      </w:r>
      <w:r w:rsidRPr="00781FBD">
        <w:rPr>
          <w:rFonts w:ascii="Verdana" w:eastAsia="Verdana" w:hAnsi="Verdana" w:cs="Verdana"/>
          <w:sz w:val="24"/>
          <w:szCs w:val="24"/>
        </w:rPr>
        <w:t>41-52</w:t>
      </w:r>
    </w:p>
    <w:p w14:paraId="7508D893" w14:textId="76B0512C" w:rsidR="00D22D5F" w:rsidRPr="00781FBD" w:rsidRDefault="152405EA" w:rsidP="2F4D1433">
      <w:pPr>
        <w:spacing w:line="257" w:lineRule="auto"/>
        <w:rPr>
          <w:rFonts w:ascii="Verdana" w:eastAsia="Verdana" w:hAnsi="Verdana" w:cs="Verdana"/>
          <w:sz w:val="24"/>
          <w:szCs w:val="24"/>
        </w:rPr>
      </w:pPr>
      <w:r w:rsidRPr="00781FBD">
        <w:rPr>
          <w:rFonts w:ascii="Verdana" w:eastAsia="Verdana" w:hAnsi="Verdana" w:cs="Verdana"/>
          <w:sz w:val="24"/>
          <w:szCs w:val="24"/>
        </w:rPr>
        <w:t xml:space="preserve">Ironmonger, Duncan (2012), </w:t>
      </w:r>
      <w:r w:rsidR="12F932CD" w:rsidRPr="00781FBD">
        <w:rPr>
          <w:rFonts w:ascii="Verdana" w:eastAsia="Verdana" w:hAnsi="Verdana" w:cs="Verdana"/>
          <w:sz w:val="24"/>
          <w:szCs w:val="24"/>
        </w:rPr>
        <w:t>‘</w:t>
      </w:r>
      <w:r w:rsidRPr="00781FBD">
        <w:rPr>
          <w:rFonts w:ascii="Verdana" w:eastAsia="Verdana" w:hAnsi="Verdana" w:cs="Verdana"/>
          <w:sz w:val="24"/>
          <w:szCs w:val="24"/>
        </w:rPr>
        <w:t>The Economic Value of Volunteering in Victoria</w:t>
      </w:r>
      <w:r w:rsidR="387635B6" w:rsidRPr="00781FBD">
        <w:rPr>
          <w:rFonts w:ascii="Verdana" w:eastAsia="Verdana" w:hAnsi="Verdana" w:cs="Verdana"/>
          <w:sz w:val="24"/>
          <w:szCs w:val="24"/>
        </w:rPr>
        <w:t>’</w:t>
      </w:r>
      <w:r w:rsidRPr="00781FBD">
        <w:rPr>
          <w:rFonts w:ascii="Verdana" w:eastAsia="Verdana" w:hAnsi="Verdana" w:cs="Verdana"/>
          <w:sz w:val="24"/>
          <w:szCs w:val="24"/>
        </w:rPr>
        <w:t>, The Department of Planning and Community Development, Victorian Government</w:t>
      </w:r>
    </w:p>
    <w:p w14:paraId="66CC9E8C" w14:textId="09929857" w:rsidR="00D22D5F" w:rsidRPr="00781FBD" w:rsidRDefault="152405EA" w:rsidP="2F4D1433">
      <w:pPr>
        <w:spacing w:line="257" w:lineRule="auto"/>
        <w:rPr>
          <w:rFonts w:ascii="Verdana" w:eastAsia="Verdana" w:hAnsi="Verdana" w:cs="Verdana"/>
          <w:sz w:val="24"/>
          <w:szCs w:val="24"/>
        </w:rPr>
      </w:pPr>
      <w:r w:rsidRPr="00781FBD">
        <w:rPr>
          <w:rFonts w:ascii="Verdana" w:eastAsia="Verdana" w:hAnsi="Verdana" w:cs="Verdana"/>
          <w:sz w:val="24"/>
          <w:szCs w:val="24"/>
        </w:rPr>
        <w:t xml:space="preserve">Ivonchyk M. </w:t>
      </w:r>
      <w:r w:rsidR="1E31EC9D" w:rsidRPr="00781FBD">
        <w:rPr>
          <w:rFonts w:ascii="Verdana" w:eastAsia="Verdana" w:hAnsi="Verdana" w:cs="Verdana"/>
          <w:sz w:val="24"/>
          <w:szCs w:val="24"/>
        </w:rPr>
        <w:t>(2019), ‘</w:t>
      </w:r>
      <w:r w:rsidRPr="00781FBD">
        <w:rPr>
          <w:rFonts w:ascii="Verdana" w:eastAsia="Verdana" w:hAnsi="Verdana" w:cs="Verdana"/>
          <w:sz w:val="24"/>
          <w:szCs w:val="24"/>
        </w:rPr>
        <w:t>The Costs and Benefits of Volunteering Programs in the Public Sector: A Longitudinal Study of Municipal Governments</w:t>
      </w:r>
      <w:r w:rsidR="0E7071AD" w:rsidRPr="00781FBD">
        <w:rPr>
          <w:rFonts w:ascii="Verdana" w:eastAsia="Verdana" w:hAnsi="Verdana" w:cs="Verdana"/>
          <w:sz w:val="24"/>
          <w:szCs w:val="24"/>
        </w:rPr>
        <w:t>’,</w:t>
      </w:r>
      <w:r w:rsidRPr="00781FBD">
        <w:rPr>
          <w:rFonts w:ascii="Verdana" w:eastAsia="Verdana" w:hAnsi="Verdana" w:cs="Verdana"/>
          <w:sz w:val="24"/>
          <w:szCs w:val="24"/>
        </w:rPr>
        <w:t xml:space="preserve"> </w:t>
      </w:r>
      <w:r w:rsidRPr="00781FBD">
        <w:rPr>
          <w:rFonts w:ascii="Verdana" w:eastAsia="Verdana" w:hAnsi="Verdana" w:cs="Verdana"/>
          <w:i/>
          <w:iCs/>
          <w:sz w:val="24"/>
          <w:szCs w:val="24"/>
        </w:rPr>
        <w:t>The American Review of Public Administration</w:t>
      </w:r>
      <w:r w:rsidR="631129F4" w:rsidRPr="00781FBD">
        <w:rPr>
          <w:rFonts w:ascii="Verdana" w:eastAsia="Verdana" w:hAnsi="Verdana" w:cs="Verdana"/>
          <w:i/>
          <w:iCs/>
          <w:sz w:val="24"/>
          <w:szCs w:val="24"/>
        </w:rPr>
        <w:t>,</w:t>
      </w:r>
      <w:r w:rsidRPr="00781FBD">
        <w:rPr>
          <w:rFonts w:ascii="Verdana" w:eastAsia="Verdana" w:hAnsi="Verdana" w:cs="Verdana"/>
          <w:sz w:val="24"/>
          <w:szCs w:val="24"/>
        </w:rPr>
        <w:t xml:space="preserve"> </w:t>
      </w:r>
      <w:r w:rsidR="48ED0C8A" w:rsidRPr="00781FBD">
        <w:rPr>
          <w:rFonts w:ascii="Verdana" w:eastAsia="Verdana" w:hAnsi="Verdana" w:cs="Verdana"/>
          <w:sz w:val="24"/>
          <w:szCs w:val="24"/>
        </w:rPr>
        <w:t xml:space="preserve"> Volume </w:t>
      </w:r>
      <w:r w:rsidRPr="00781FBD">
        <w:rPr>
          <w:rFonts w:ascii="Verdana" w:eastAsia="Verdana" w:hAnsi="Verdana" w:cs="Verdana"/>
          <w:sz w:val="24"/>
          <w:szCs w:val="24"/>
        </w:rPr>
        <w:t>49</w:t>
      </w:r>
      <w:r w:rsidR="112EC79E" w:rsidRPr="00781FBD">
        <w:rPr>
          <w:rFonts w:ascii="Verdana" w:eastAsia="Verdana" w:hAnsi="Verdana" w:cs="Verdana"/>
          <w:sz w:val="24"/>
          <w:szCs w:val="24"/>
        </w:rPr>
        <w:t xml:space="preserve">, Issue </w:t>
      </w:r>
      <w:r w:rsidRPr="00781FBD">
        <w:rPr>
          <w:rFonts w:ascii="Verdana" w:eastAsia="Verdana" w:hAnsi="Verdana" w:cs="Verdana"/>
          <w:sz w:val="24"/>
          <w:szCs w:val="24"/>
        </w:rPr>
        <w:t>6</w:t>
      </w:r>
      <w:r w:rsidR="1D48E84B" w:rsidRPr="00781FBD">
        <w:rPr>
          <w:rFonts w:ascii="Verdana" w:eastAsia="Verdana" w:hAnsi="Verdana" w:cs="Verdana"/>
          <w:sz w:val="24"/>
          <w:szCs w:val="24"/>
        </w:rPr>
        <w:t xml:space="preserve">, pp. </w:t>
      </w:r>
      <w:r w:rsidRPr="00781FBD">
        <w:rPr>
          <w:rFonts w:ascii="Verdana" w:eastAsia="Verdana" w:hAnsi="Verdana" w:cs="Verdana"/>
          <w:sz w:val="24"/>
          <w:szCs w:val="24"/>
        </w:rPr>
        <w:t xml:space="preserve">689-703. </w:t>
      </w:r>
      <w:r w:rsidR="7B300754" w:rsidRPr="00781FBD">
        <w:rPr>
          <w:rFonts w:ascii="Verdana" w:eastAsia="Verdana" w:hAnsi="Verdana" w:cs="Verdana"/>
          <w:sz w:val="24"/>
          <w:szCs w:val="24"/>
        </w:rPr>
        <w:t>DOI</w:t>
      </w:r>
      <w:r w:rsidRPr="00781FBD">
        <w:rPr>
          <w:rFonts w:ascii="Verdana" w:eastAsia="Verdana" w:hAnsi="Verdana" w:cs="Verdana"/>
          <w:sz w:val="24"/>
          <w:szCs w:val="24"/>
        </w:rPr>
        <w:t>:10.1177/0275074019849125</w:t>
      </w:r>
      <w:r w:rsidR="509AA864" w:rsidRPr="00781FBD">
        <w:rPr>
          <w:rFonts w:ascii="Verdana" w:eastAsia="Verdana" w:hAnsi="Verdana" w:cs="Verdana"/>
          <w:sz w:val="24"/>
          <w:szCs w:val="24"/>
        </w:rPr>
        <w:t xml:space="preserve"> </w:t>
      </w:r>
      <w:r w:rsidR="00D22D5F" w:rsidRPr="00781FBD">
        <w:rPr>
          <w:rFonts w:ascii="Verdana" w:hAnsi="Verdana"/>
          <w:sz w:val="24"/>
          <w:szCs w:val="24"/>
        </w:rPr>
        <w:br/>
      </w:r>
      <w:r w:rsidR="00D22D5F" w:rsidRPr="00781FBD">
        <w:rPr>
          <w:rFonts w:ascii="Verdana" w:hAnsi="Verdana"/>
          <w:sz w:val="24"/>
          <w:szCs w:val="24"/>
        </w:rPr>
        <w:br/>
      </w:r>
      <w:r w:rsidR="77FFD7D0" w:rsidRPr="00781FBD">
        <w:rPr>
          <w:rFonts w:ascii="Verdana" w:eastAsia="Verdana" w:hAnsi="Verdana" w:cs="Verdana"/>
          <w:sz w:val="24"/>
          <w:szCs w:val="24"/>
        </w:rPr>
        <w:t xml:space="preserve">KANTAR (2020), ‘Seqwater: Water Attitudes &amp; Insights Study 2020’. </w:t>
      </w:r>
    </w:p>
    <w:p w14:paraId="150054C8" w14:textId="77EEF46B" w:rsidR="00D22D5F" w:rsidRPr="00781FBD" w:rsidRDefault="5C0FBDB9" w:rsidP="2F4D1433">
      <w:pPr>
        <w:spacing w:line="257" w:lineRule="auto"/>
        <w:rPr>
          <w:rFonts w:ascii="Verdana" w:eastAsia="Verdana" w:hAnsi="Verdana" w:cs="Verdana"/>
          <w:sz w:val="24"/>
          <w:szCs w:val="24"/>
        </w:rPr>
      </w:pPr>
      <w:r w:rsidRPr="00781FBD">
        <w:rPr>
          <w:rFonts w:ascii="Verdana" w:eastAsia="Verdana" w:hAnsi="Verdana" w:cs="Verdana"/>
          <w:sz w:val="24"/>
          <w:szCs w:val="24"/>
        </w:rPr>
        <w:t>MELD (2021), ‘</w:t>
      </w:r>
      <w:r w:rsidR="7463F8B6" w:rsidRPr="00781FBD">
        <w:rPr>
          <w:rFonts w:ascii="Verdana" w:eastAsia="Verdana" w:hAnsi="Verdana" w:cs="Verdana"/>
          <w:sz w:val="24"/>
          <w:szCs w:val="24"/>
        </w:rPr>
        <w:t>Melbourne Water Digital customer and market research analysis and recommendations</w:t>
      </w:r>
      <w:r w:rsidRPr="00781FBD">
        <w:rPr>
          <w:rFonts w:ascii="Verdana" w:eastAsia="Verdana" w:hAnsi="Verdana" w:cs="Verdana"/>
          <w:sz w:val="24"/>
          <w:szCs w:val="24"/>
        </w:rPr>
        <w:t>’.</w:t>
      </w:r>
    </w:p>
    <w:p w14:paraId="4302C51D" w14:textId="71C591C2" w:rsidR="00D22D5F" w:rsidRPr="002908C2" w:rsidRDefault="00D22D5F" w:rsidP="2F4D1433"/>
    <w:sectPr w:rsidR="00D22D5F" w:rsidRPr="002908C2" w:rsidSect="001A359A">
      <w:headerReference w:type="default" r:id="rId16"/>
      <w:pgSz w:w="11906" w:h="16838"/>
      <w:pgMar w:top="1440" w:right="1440" w:bottom="1440" w:left="144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3A3050" w16cex:dateUtc="2021-04-23T05:53:06.256Z"/>
  <w16cex:commentExtensible w16cex:durableId="644B34BC" w16cex:dateUtc="2021-04-23T05:54:08.81Z"/>
  <w16cex:commentExtensible w16cex:durableId="242AD027" w16cex:dateUtc="2021-04-21T06:24:00Z"/>
  <w16cex:commentExtensible w16cex:durableId="242AD08B" w16cex:dateUtc="2021-04-21T06:25:00Z"/>
  <w16cex:commentExtensible w16cex:durableId="0B637C3A" w16cex:dateUtc="2021-04-23T04:52:19Z"/>
  <w16cex:commentExtensible w16cex:durableId="242AD111" w16cex:dateUtc="2021-04-21T06:28:00Z"/>
  <w16cex:commentExtensible w16cex:durableId="242AD1A7" w16cex:dateUtc="2021-04-21T06:30:00Z"/>
  <w16cex:commentExtensible w16cex:durableId="2F1076DA" w16cex:dateUtc="2021-04-23T04:50:46.625Z"/>
  <w16cex:commentExtensible w16cex:durableId="1120B007" w16cex:dateUtc="2021-04-23T05:31:33.058Z"/>
  <w16cex:commentExtensible w16cex:durableId="242AD594" w16cex:dateUtc="2021-04-21T06:47:00Z"/>
  <w16cex:commentExtensible w16cex:durableId="242AD5EF" w16cex:dateUtc="2021-04-21T06:48:00Z"/>
  <w16cex:commentExtensible w16cex:durableId="242AD60D" w16cex:dateUtc="2021-04-21T06:49:00Z"/>
  <w16cex:commentExtensible w16cex:durableId="7EE35DB6" w16cex:dateUtc="2021-04-23T05:55:15.902Z"/>
  <w16cex:commentExtensible w16cex:durableId="3CE7045A" w16cex:dateUtc="2021-04-23T05:34:00.066Z"/>
  <w16cex:commentExtensible w16cex:durableId="77578691" w16cex:dateUtc="2021-04-23T05:33:51.048Z"/>
  <w16cex:commentExtensible w16cex:durableId="15AA4E4B" w16cex:dateUtc="2021-04-23T05:49:13.316Z"/>
  <w16cex:commentExtensible w16cex:durableId="6987991B" w16cex:dateUtc="2021-04-23T04:53:03.2Z"/>
  <w16cex:commentExtensible w16cex:durableId="34BC2E9F" w16cex:dateUtc="2021-04-21T06:45:00Z"/>
  <w16cex:commentExtensible w16cex:durableId="085D78C6" w16cex:dateUtc="2021-04-21T06:44:00Z"/>
  <w16cex:commentExtensible w16cex:durableId="14150836" w16cex:dateUtc="2021-04-21T06:39:00Z"/>
  <w16cex:commentExtensible w16cex:durableId="37861816" w16cex:dateUtc="2021-04-23T06:47:07.008Z"/>
  <w16cex:commentExtensible w16cex:durableId="4273001E" w16cex:dateUtc="2021-04-23T06:56:44.034Z"/>
  <w16cex:commentExtensible w16cex:durableId="3EA349D8" w16cex:dateUtc="2021-04-23T07:18:20.463Z"/>
</w16cex:commentsExtensible>
</file>

<file path=word/commentsIds.xml><?xml version="1.0" encoding="utf-8"?>
<w16cid:commentsIds xmlns:mc="http://schemas.openxmlformats.org/markup-compatibility/2006" xmlns:w16cid="http://schemas.microsoft.com/office/word/2016/wordml/cid" mc:Ignorable="w16cid">
  <w16cid:commentId w16cid:paraId="7D9650E0" w16cid:durableId="242AD027"/>
  <w16cid:commentId w16cid:paraId="7C6F8FAA" w16cid:durableId="242AD08B"/>
  <w16cid:commentId w16cid:paraId="0A33F956" w16cid:durableId="242AD111"/>
  <w16cid:commentId w16cid:paraId="454DEFCB" w16cid:durableId="242AD1A7"/>
  <w16cid:commentId w16cid:paraId="385AF3D1" w16cid:durableId="242AD594"/>
  <w16cid:commentId w16cid:paraId="0C271B13" w16cid:durableId="242AD5EF"/>
  <w16cid:commentId w16cid:paraId="1684A726" w16cid:durableId="242AD60D"/>
  <w16cid:commentId w16cid:paraId="5BC234F0" w16cid:durableId="2939C559"/>
  <w16cid:commentId w16cid:paraId="1F3FF38B" w16cid:durableId="2F1076DA"/>
  <w16cid:commentId w16cid:paraId="293CD989" w16cid:durableId="0B637C3A"/>
  <w16cid:commentId w16cid:paraId="3BCDD143" w16cid:durableId="6987991B"/>
  <w16cid:commentId w16cid:paraId="61805066" w16cid:durableId="085D78C6"/>
  <w16cid:commentId w16cid:paraId="1C8BCD8F" w16cid:durableId="34BC2E9F"/>
  <w16cid:commentId w16cid:paraId="277BE11F" w16cid:durableId="14150836"/>
  <w16cid:commentId w16cid:paraId="3D2ACFBD" w16cid:durableId="1120B007"/>
  <w16cid:commentId w16cid:paraId="60129D83" w16cid:durableId="77578691"/>
  <w16cid:commentId w16cid:paraId="38EB44A3" w16cid:durableId="3CE7045A"/>
  <w16cid:commentId w16cid:paraId="1101121C" w16cid:durableId="15AA4E4B"/>
  <w16cid:commentId w16cid:paraId="2741AB5A" w16cid:durableId="533A3050"/>
  <w16cid:commentId w16cid:paraId="0C27CA2F" w16cid:durableId="644B34BC"/>
  <w16cid:commentId w16cid:paraId="1505BED4" w16cid:durableId="7EE35DB6"/>
  <w16cid:commentId w16cid:paraId="3C8DB922" w16cid:durableId="37861816"/>
  <w16cid:commentId w16cid:paraId="7F0C3FE2" w16cid:durableId="4273001E"/>
  <w16cid:commentId w16cid:paraId="78B7AAEB" w16cid:durableId="3EA349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47169" w14:textId="77777777" w:rsidR="00E6517F" w:rsidRDefault="00E6517F" w:rsidP="00432A4C">
      <w:pPr>
        <w:spacing w:after="0" w:line="240" w:lineRule="auto"/>
      </w:pPr>
      <w:r>
        <w:separator/>
      </w:r>
    </w:p>
  </w:endnote>
  <w:endnote w:type="continuationSeparator" w:id="0">
    <w:p w14:paraId="584CEB99" w14:textId="77777777" w:rsidR="00E6517F" w:rsidRDefault="00E6517F" w:rsidP="0043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01C1D" w14:textId="77777777" w:rsidR="00E6517F" w:rsidRDefault="00E6517F" w:rsidP="00432A4C">
      <w:pPr>
        <w:spacing w:after="0" w:line="240" w:lineRule="auto"/>
      </w:pPr>
      <w:r>
        <w:separator/>
      </w:r>
    </w:p>
  </w:footnote>
  <w:footnote w:type="continuationSeparator" w:id="0">
    <w:p w14:paraId="48C57046" w14:textId="77777777" w:rsidR="00E6517F" w:rsidRDefault="00E6517F" w:rsidP="0043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E294" w14:textId="243FD453" w:rsidR="001A359A" w:rsidRDefault="001A359A" w:rsidP="001A359A">
    <w:pPr>
      <w:pStyle w:val="Header"/>
      <w:jc w:val="right"/>
    </w:pPr>
    <w:r w:rsidRPr="001A359A">
      <w:rPr>
        <w:rFonts w:ascii="Verdana" w:eastAsia="Times New Roman" w:hAnsi="Verdana" w:cs="Segoe UI"/>
        <w:sz w:val="22"/>
        <w:lang w:eastAsia="en-AU"/>
      </w:rPr>
      <w:t>Increased engagement and education about waterways.</w:t>
    </w:r>
  </w:p>
</w:hdr>
</file>

<file path=word/intelligence.xml><?xml version="1.0" encoding="utf-8"?>
<int:Intelligence xmlns:int="http://schemas.microsoft.com/office/intelligence/2019/intelligence">
  <int:IntelligenceSettings/>
  <int:Manifest>
    <int:WordHash hashCode="gUYFxkpcHDwtPC" id="20EOb20B"/>
    <int:WordHash hashCode="+uK4uj9l4ldcdf" id="fjXc6NJA"/>
    <int:WordHash hashCode="1oV0hlFN+4Gwi+" id="b/gBU4DX"/>
    <int:WordHash hashCode="60HPkgmVftKEZd" id="4bf064tU"/>
    <int:WordHash hashCode="d+SS0QnbWdH+MJ" id="IJGMFW4N"/>
    <int:WordHash hashCode="SBclz1o4ePEFG1" id="A2crnFQ1"/>
    <int:WordHash hashCode="NQmjNebJV7gKRy" id="P+iGKgX9"/>
    <int:WordHash hashCode="e3+TZqNgMaC5Vf" id="xg2QkD/+"/>
    <int:WordHash hashCode="FWLP8xJSNTRS1Z" id="Kfwq0oKp"/>
    <int:WordHash hashCode="Zz10vaPI9OBXT0" id="qdPJZzpH"/>
    <int:WordHash hashCode="BIsMsblDecdOfo" id="JquPHuUI"/>
    <int:WordHash hashCode="+JFbmGiLJJf1FB" id="FyDcnwFO"/>
    <int:WordHash hashCode="MCt/vLc+9AtELV" id="cdT0jd/T"/>
    <int:WordHash hashCode="oAHK+1eRuDNTAF" id="xF3KwvJL"/>
    <int:WordHash hashCode="fLH1bT++CegJJE" id="xzeAf3SJ"/>
    <int:WordHash hashCode="4bg4dPoZm2pTqD" id="TbJDc7JU"/>
    <int:WordHash hashCode="ZIdfzMqsBp/LPg" id="407rXt4K"/>
    <int:WordHash hashCode="a7X/VNNYq0VXgz" id="a2DJTJt2"/>
    <int:WordHash hashCode="7DuqydFJedFVK+" id="Ax5eL4jy"/>
    <int:WordHash hashCode="m3n1N4djUgoncb" id="+nE70gSX"/>
    <int:WordHash hashCode="051uur3qTsy1Ie" id="bUWfcFTT"/>
    <int:WordHash hashCode="43K/JlIt1QZTyM" id="1IRT7vOV"/>
    <int:WordHash hashCode="ezOAKvUdNxQQTs" id="eCzSbgGU"/>
    <int:WordHash hashCode="dkmkRuVDysnpuX" id="pDv2ty4v"/>
    <int:WordHash hashCode="1dpkpPQW4wRuB0" id="G8RBo5NL"/>
    <int:WordHash hashCode="maS+KK4PEzqNKd" id="0xNiw5d6"/>
    <int:WordHash hashCode="MQJI2bpXP2HHRD" id="xz+zL/BI"/>
    <int:WordHash hashCode="Ce8OlaQ3S3gAaD" id="FsWJ/5z+"/>
    <int:WordHash hashCode="20lmumeNxO0dfa" id="4ZpbDCiX"/>
    <int:WordHash hashCode="yJHglw8FuHHiZ9" id="Msz93du3"/>
    <int:WordHash hashCode="SradH0SdDJdch8" id="5R9GZCUr"/>
    <int:WordHash hashCode="kRUFyvxtl7HM8n" id="0omXUGg8"/>
    <int:WordHash hashCode="Jhs7BJybULndoY" id="L2++pKCB"/>
    <int:WordHash hashCode="YwJZuJqmSowhkY" id="8fuy/LP7"/>
    <int:WordHash hashCode="2i9M6eDcqD4Mt6" id="EgDy+qH9"/>
    <int:WordHash hashCode="9+2vMoLa+2CcfU" id="YosXocQf"/>
    <int:WordHash hashCode="VjEyTIQG5Cw5J+" id="7EAG0TGX"/>
    <int:WordHash hashCode="XfnPlw4VbdG38c" id="XgnX9Xy7"/>
    <int:WordHash hashCode="/aQ3g76OCz+SBq" id="POcSYHQ6"/>
    <int:WordHash hashCode="8+x9wAokN1wf5f" id="n3+tOhiE"/>
    <int:WordHash hashCode="ZanletI6wlweVG" id="IcAkjQQe"/>
    <int:WordHash hashCode="/ydjdC6dLntARg" id="yP1O6trH"/>
    <int:WordHash hashCode="6xX40Nbu8SUY24" id="EN2il60q"/>
    <int:WordHash hashCode="BgGwaIjXEgzelV" id="52EUgZs7"/>
    <int:WordHash hashCode="DlT/Hh82Ed/INJ" id="EYUqCZ5B"/>
    <int:WordHash hashCode="VSrgLa0WFMXS5a" id="hlvUnF9V"/>
    <int:WordHash hashCode="NV8o8sDDh63WIx" id="l1Se1HqN"/>
    <int:WordHash hashCode="IEEkdmk2qlIoq+" id="jO6yLMPA"/>
    <int:WordHash hashCode="0lXQ0GySJQ8tJA" id="uAzW5Xn6"/>
    <int:WordHash hashCode="RwEBslXvhQQH1P" id="tUbIGmPA"/>
    <int:WordHash hashCode="Om8FWEXdtjxA4P" id="RsSddg8L"/>
    <int:WordHash hashCode="BP722YIMEjO0Sh" id="qQlzNnu5"/>
    <int:WordHash hashCode="M4Um5cZhzLJlXc" id="VR9UJS5b"/>
    <int:WordHash hashCode="eX79g/jBXe739N" id="Y71fycD8"/>
    <int:WordHash hashCode="YJROVwK9r7dOyW" id="HKWeqmyl"/>
    <int:WordHash hashCode="DMdK6dZA8HD58W" id="NME5NnFG"/>
    <int:WordHash hashCode="QP6E5oeLh2/K0S" id="Au6xno7C"/>
    <int:WordHash hashCode="KDOsmJJ/iKuLvY" id="4fPwvUk2"/>
    <int:WordHash hashCode="l5aAn32uSC0xI8" id="7e/X0Ygx"/>
    <int:WordHash hashCode="6KWckmKlp6D6pK" id="TF620ixa"/>
    <int:WordHash hashCode="vRZP2sgsSUl/fK" id="R/TCUu7q"/>
    <int:WordHash hashCode="KVRuy5fxS8EG1X" id="R9Fooitv"/>
    <int:WordHash hashCode="JNUFkrcKmX6Co4" id="t7kz1xuk"/>
    <int:WordHash hashCode="GnfUFiJMu+d6Q5" id="VDzGurqd"/>
    <int:WordHash hashCode="wauZJOzaG+r4u6" id="k74/ALda"/>
  </int:Manifest>
  <int:Observations>
    <int:Content id="20EOb20B">
      <int:Rejection type="AugLoop_Text_Critique"/>
    </int:Content>
    <int:Content id="fjXc6NJA">
      <int:Rejection type="AugLoop_Text_Critique"/>
    </int:Content>
    <int:Content id="b/gBU4DX">
      <int:Rejection type="AugLoop_Text_Critique"/>
    </int:Content>
    <int:Content id="4bf064tU">
      <int:Rejection type="AugLoop_Text_Critique"/>
    </int:Content>
    <int:Content id="IJGMFW4N">
      <int:Rejection type="AugLoop_Text_Critique"/>
    </int:Content>
    <int:Content id="A2crnFQ1">
      <int:Rejection type="AugLoop_Text_Critique"/>
    </int:Content>
    <int:Content id="P+iGKgX9">
      <int:Rejection type="AugLoop_Text_Critique"/>
    </int:Content>
    <int:Content id="xg2QkD/+">
      <int:Rejection type="AugLoop_Text_Critique"/>
    </int:Content>
    <int:Content id="Kfwq0oKp">
      <int:Rejection type="AugLoop_Text_Critique"/>
    </int:Content>
    <int:Content id="qdPJZzpH">
      <int:Rejection type="AugLoop_Text_Critique"/>
    </int:Content>
    <int:Content id="JquPHuUI">
      <int:Rejection type="AugLoop_Text_Critique"/>
    </int:Content>
    <int:Content id="FyDcnwFO">
      <int:Rejection type="AugLoop_Text_Critique"/>
    </int:Content>
    <int:Content id="cdT0jd/T">
      <int:Rejection type="AugLoop_Text_Critique"/>
    </int:Content>
    <int:Content id="xF3KwvJL">
      <int:Rejection type="AugLoop_Text_Critique"/>
    </int:Content>
    <int:Content id="xzeAf3SJ">
      <int:Rejection type="AugLoop_Text_Critique"/>
    </int:Content>
    <int:Content id="TbJDc7JU">
      <int:Rejection type="AugLoop_Text_Critique"/>
    </int:Content>
    <int:Content id="407rXt4K">
      <int:Rejection type="AugLoop_Text_Critique"/>
    </int:Content>
    <int:Content id="a2DJTJt2">
      <int:Rejection type="AugLoop_Text_Critique"/>
    </int:Content>
    <int:Content id="Ax5eL4jy">
      <int:Rejection type="AugLoop_Text_Critique"/>
    </int:Content>
    <int:Content id="+nE70gSX">
      <int:Rejection type="AugLoop_Text_Critique"/>
    </int:Content>
    <int:Content id="bUWfcFTT">
      <int:Rejection type="AugLoop_Text_Critique"/>
    </int:Content>
    <int:Content id="1IRT7vOV">
      <int:Rejection type="AugLoop_Text_Critique"/>
    </int:Content>
    <int:Content id="eCzSbgGU">
      <int:Rejection type="AugLoop_Text_Critique"/>
    </int:Content>
    <int:Content id="pDv2ty4v">
      <int:Rejection type="AugLoop_Text_Critique"/>
    </int:Content>
    <int:Content id="G8RBo5NL">
      <int:Rejection type="AugLoop_Text_Critique"/>
    </int:Content>
    <int:Content id="0xNiw5d6">
      <int:Rejection type="AugLoop_Text_Critique"/>
    </int:Content>
    <int:Content id="xz+zL/BI">
      <int:Rejection type="AugLoop_Text_Critique"/>
    </int:Content>
    <int:Content id="FsWJ/5z+">
      <int:Rejection type="AugLoop_Text_Critique"/>
    </int:Content>
    <int:Content id="4ZpbDCiX">
      <int:Rejection type="AugLoop_Text_Critique"/>
    </int:Content>
    <int:Content id="Msz93du3">
      <int:Rejection type="AugLoop_Text_Critique"/>
    </int:Content>
    <int:Content id="5R9GZCUr">
      <int:Rejection type="AugLoop_Text_Critique"/>
    </int:Content>
    <int:Content id="0omXUGg8">
      <int:Rejection type="AugLoop_Text_Critique"/>
    </int:Content>
    <int:Content id="L2++pKCB">
      <int:Rejection type="AugLoop_Text_Critique"/>
    </int:Content>
    <int:Content id="8fuy/LP7">
      <int:Rejection type="AugLoop_Text_Critique"/>
    </int:Content>
    <int:Content id="EgDy+qH9">
      <int:Rejection type="AugLoop_Text_Critique"/>
    </int:Content>
    <int:Content id="YosXocQf">
      <int:Rejection type="AugLoop_Text_Critique"/>
    </int:Content>
    <int:Content id="7EAG0TGX">
      <int:Rejection type="AugLoop_Text_Critique"/>
    </int:Content>
    <int:Content id="XgnX9Xy7">
      <int:Rejection type="AugLoop_Text_Critique"/>
    </int:Content>
    <int:Content id="POcSYHQ6">
      <int:Rejection type="AugLoop_Text_Critique"/>
    </int:Content>
    <int:Content id="n3+tOhiE">
      <int:Rejection type="AugLoop_Text_Critique"/>
    </int:Content>
    <int:Content id="IcAkjQQe">
      <int:Rejection type="AugLoop_Text_Critique"/>
    </int:Content>
    <int:Content id="yP1O6trH">
      <int:Rejection type="AugLoop_Text_Critique"/>
    </int:Content>
    <int:Content id="EN2il60q">
      <int:Rejection type="AugLoop_Text_Critique"/>
    </int:Content>
    <int:Content id="52EUgZs7">
      <int:Rejection type="AugLoop_Text_Critique"/>
    </int:Content>
    <int:Content id="EYUqCZ5B">
      <int:Rejection type="AugLoop_Text_Critique"/>
    </int:Content>
    <int:Content id="hlvUnF9V">
      <int:Rejection type="AugLoop_Text_Critique"/>
    </int:Content>
    <int:Content id="l1Se1HqN">
      <int:Rejection type="AugLoop_Text_Critique"/>
    </int:Content>
    <int:Content id="jO6yLMPA">
      <int:Rejection type="AugLoop_Text_Critique"/>
    </int:Content>
    <int:Content id="uAzW5Xn6">
      <int:Rejection type="AugLoop_Text_Critique"/>
    </int:Content>
    <int:Content id="tUbIGmPA">
      <int:Rejection type="AugLoop_Text_Critique"/>
    </int:Content>
    <int:Content id="RsSddg8L">
      <int:Rejection type="AugLoop_Text_Critique"/>
    </int:Content>
    <int:Content id="qQlzNnu5">
      <int:Rejection type="AugLoop_Text_Critique"/>
    </int:Content>
    <int:Content id="VR9UJS5b">
      <int:Rejection type="AugLoop_Text_Critique"/>
    </int:Content>
    <int:Content id="Y71fycD8">
      <int:Rejection type="AugLoop_Text_Critique"/>
    </int:Content>
    <int:Content id="HKWeqmyl">
      <int:Rejection type="AugLoop_Text_Critique"/>
    </int:Content>
    <int:Content id="NME5NnFG">
      <int:Rejection type="AugLoop_Text_Critique"/>
    </int:Content>
    <int:Content id="Au6xno7C">
      <int:Rejection type="AugLoop_Text_Critique"/>
    </int:Content>
    <int:Content id="4fPwvUk2">
      <int:Rejection type="AugLoop_Text_Critique"/>
    </int:Content>
    <int:Content id="7e/X0Ygx">
      <int:Rejection type="AugLoop_Text_Critique"/>
    </int:Content>
    <int:Content id="TF620ixa">
      <int:Rejection type="AugLoop_Text_Critique"/>
    </int:Content>
    <int:Content id="R/TCUu7q">
      <int:Rejection type="AugLoop_Text_Critique"/>
    </int:Content>
    <int:Content id="R9Fooitv">
      <int:Rejection type="AugLoop_Text_Critique"/>
    </int:Content>
    <int:Content id="t7kz1xuk">
      <int:Rejection type="AugLoop_Text_Critique"/>
    </int:Content>
    <int:Content id="VDzGurqd">
      <int:Rejection type="AugLoop_Text_Critique"/>
    </int:Content>
    <int:Content id="k74/ALda">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C24D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860E1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C65193"/>
    <w:multiLevelType w:val="multilevel"/>
    <w:tmpl w:val="C7046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6B0AE5"/>
    <w:multiLevelType w:val="hybridMultilevel"/>
    <w:tmpl w:val="2BF82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AC1588"/>
    <w:multiLevelType w:val="hybridMultilevel"/>
    <w:tmpl w:val="569AB516"/>
    <w:lvl w:ilvl="0" w:tplc="A69C1F2A">
      <w:start w:val="1"/>
      <w:numFmt w:val="bullet"/>
      <w:lvlText w:val=""/>
      <w:lvlJc w:val="left"/>
      <w:pPr>
        <w:ind w:left="720" w:hanging="360"/>
      </w:pPr>
      <w:rPr>
        <w:rFonts w:ascii="Symbol" w:hAnsi="Symbol" w:hint="default"/>
      </w:rPr>
    </w:lvl>
    <w:lvl w:ilvl="1" w:tplc="0CEE5A94">
      <w:start w:val="1"/>
      <w:numFmt w:val="bullet"/>
      <w:lvlText w:val="o"/>
      <w:lvlJc w:val="left"/>
      <w:pPr>
        <w:ind w:left="1440" w:hanging="360"/>
      </w:pPr>
      <w:rPr>
        <w:rFonts w:ascii="Courier New" w:hAnsi="Courier New" w:hint="default"/>
      </w:rPr>
    </w:lvl>
    <w:lvl w:ilvl="2" w:tplc="78FCF9E8">
      <w:start w:val="1"/>
      <w:numFmt w:val="bullet"/>
      <w:lvlText w:val=""/>
      <w:lvlJc w:val="left"/>
      <w:pPr>
        <w:ind w:left="2160" w:hanging="360"/>
      </w:pPr>
      <w:rPr>
        <w:rFonts w:ascii="Wingdings" w:hAnsi="Wingdings" w:hint="default"/>
      </w:rPr>
    </w:lvl>
    <w:lvl w:ilvl="3" w:tplc="DDD614D8">
      <w:start w:val="1"/>
      <w:numFmt w:val="bullet"/>
      <w:lvlText w:val=""/>
      <w:lvlJc w:val="left"/>
      <w:pPr>
        <w:ind w:left="2880" w:hanging="360"/>
      </w:pPr>
      <w:rPr>
        <w:rFonts w:ascii="Symbol" w:hAnsi="Symbol" w:hint="default"/>
      </w:rPr>
    </w:lvl>
    <w:lvl w:ilvl="4" w:tplc="E3DC13AA">
      <w:start w:val="1"/>
      <w:numFmt w:val="bullet"/>
      <w:lvlText w:val="o"/>
      <w:lvlJc w:val="left"/>
      <w:pPr>
        <w:ind w:left="3600" w:hanging="360"/>
      </w:pPr>
      <w:rPr>
        <w:rFonts w:ascii="Courier New" w:hAnsi="Courier New" w:hint="default"/>
      </w:rPr>
    </w:lvl>
    <w:lvl w:ilvl="5" w:tplc="E8387152">
      <w:start w:val="1"/>
      <w:numFmt w:val="bullet"/>
      <w:lvlText w:val=""/>
      <w:lvlJc w:val="left"/>
      <w:pPr>
        <w:ind w:left="4320" w:hanging="360"/>
      </w:pPr>
      <w:rPr>
        <w:rFonts w:ascii="Wingdings" w:hAnsi="Wingdings" w:hint="default"/>
      </w:rPr>
    </w:lvl>
    <w:lvl w:ilvl="6" w:tplc="F7063EBC">
      <w:start w:val="1"/>
      <w:numFmt w:val="bullet"/>
      <w:lvlText w:val=""/>
      <w:lvlJc w:val="left"/>
      <w:pPr>
        <w:ind w:left="5040" w:hanging="360"/>
      </w:pPr>
      <w:rPr>
        <w:rFonts w:ascii="Symbol" w:hAnsi="Symbol" w:hint="default"/>
      </w:rPr>
    </w:lvl>
    <w:lvl w:ilvl="7" w:tplc="19703A8C">
      <w:start w:val="1"/>
      <w:numFmt w:val="bullet"/>
      <w:lvlText w:val="o"/>
      <w:lvlJc w:val="left"/>
      <w:pPr>
        <w:ind w:left="5760" w:hanging="360"/>
      </w:pPr>
      <w:rPr>
        <w:rFonts w:ascii="Courier New" w:hAnsi="Courier New" w:hint="default"/>
      </w:rPr>
    </w:lvl>
    <w:lvl w:ilvl="8" w:tplc="9C96ADD2">
      <w:start w:val="1"/>
      <w:numFmt w:val="bullet"/>
      <w:lvlText w:val=""/>
      <w:lvlJc w:val="left"/>
      <w:pPr>
        <w:ind w:left="6480" w:hanging="360"/>
      </w:pPr>
      <w:rPr>
        <w:rFonts w:ascii="Wingdings" w:hAnsi="Wingdings" w:hint="default"/>
      </w:rPr>
    </w:lvl>
  </w:abstractNum>
  <w:abstractNum w:abstractNumId="5" w15:restartNumberingAfterBreak="0">
    <w:nsid w:val="0784108D"/>
    <w:multiLevelType w:val="hybridMultilevel"/>
    <w:tmpl w:val="8AFA20B6"/>
    <w:lvl w:ilvl="0" w:tplc="436868BC">
      <w:start w:val="1"/>
      <w:numFmt w:val="decimal"/>
      <w:lvlText w:val="%1."/>
      <w:lvlJc w:val="left"/>
      <w:pPr>
        <w:ind w:left="720" w:hanging="360"/>
      </w:pPr>
      <w:rPr>
        <w:rFonts w:ascii="Verdana" w:hAnsi="Verdana"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A74D0C"/>
    <w:multiLevelType w:val="hybridMultilevel"/>
    <w:tmpl w:val="1462588C"/>
    <w:lvl w:ilvl="0" w:tplc="AC06E4E0">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A7C1C"/>
    <w:multiLevelType w:val="hybridMultilevel"/>
    <w:tmpl w:val="3CF0268A"/>
    <w:lvl w:ilvl="0" w:tplc="FF0E8576">
      <w:start w:val="1"/>
      <w:numFmt w:val="bullet"/>
      <w:lvlText w:val=""/>
      <w:lvlJc w:val="left"/>
      <w:pPr>
        <w:ind w:left="720" w:hanging="360"/>
      </w:pPr>
      <w:rPr>
        <w:rFonts w:ascii="Symbol" w:hAnsi="Symbol" w:hint="default"/>
      </w:rPr>
    </w:lvl>
    <w:lvl w:ilvl="1" w:tplc="93025F62">
      <w:start w:val="1"/>
      <w:numFmt w:val="bullet"/>
      <w:lvlText w:val="o"/>
      <w:lvlJc w:val="left"/>
      <w:pPr>
        <w:ind w:left="1440" w:hanging="360"/>
      </w:pPr>
      <w:rPr>
        <w:rFonts w:ascii="Courier New" w:hAnsi="Courier New" w:hint="default"/>
      </w:rPr>
    </w:lvl>
    <w:lvl w:ilvl="2" w:tplc="CF823A88">
      <w:start w:val="1"/>
      <w:numFmt w:val="bullet"/>
      <w:lvlText w:val=""/>
      <w:lvlJc w:val="left"/>
      <w:pPr>
        <w:ind w:left="2160" w:hanging="360"/>
      </w:pPr>
      <w:rPr>
        <w:rFonts w:ascii="Wingdings" w:hAnsi="Wingdings" w:hint="default"/>
      </w:rPr>
    </w:lvl>
    <w:lvl w:ilvl="3" w:tplc="C09EF6C8">
      <w:start w:val="1"/>
      <w:numFmt w:val="bullet"/>
      <w:lvlText w:val=""/>
      <w:lvlJc w:val="left"/>
      <w:pPr>
        <w:ind w:left="2880" w:hanging="360"/>
      </w:pPr>
      <w:rPr>
        <w:rFonts w:ascii="Symbol" w:hAnsi="Symbol" w:hint="default"/>
      </w:rPr>
    </w:lvl>
    <w:lvl w:ilvl="4" w:tplc="D91A4990">
      <w:start w:val="1"/>
      <w:numFmt w:val="bullet"/>
      <w:lvlText w:val="o"/>
      <w:lvlJc w:val="left"/>
      <w:pPr>
        <w:ind w:left="3600" w:hanging="360"/>
      </w:pPr>
      <w:rPr>
        <w:rFonts w:ascii="Courier New" w:hAnsi="Courier New" w:hint="default"/>
      </w:rPr>
    </w:lvl>
    <w:lvl w:ilvl="5" w:tplc="83EA4CB0">
      <w:start w:val="1"/>
      <w:numFmt w:val="bullet"/>
      <w:lvlText w:val=""/>
      <w:lvlJc w:val="left"/>
      <w:pPr>
        <w:ind w:left="4320" w:hanging="360"/>
      </w:pPr>
      <w:rPr>
        <w:rFonts w:ascii="Wingdings" w:hAnsi="Wingdings" w:hint="default"/>
      </w:rPr>
    </w:lvl>
    <w:lvl w:ilvl="6" w:tplc="79E60CCC">
      <w:start w:val="1"/>
      <w:numFmt w:val="bullet"/>
      <w:lvlText w:val=""/>
      <w:lvlJc w:val="left"/>
      <w:pPr>
        <w:ind w:left="5040" w:hanging="360"/>
      </w:pPr>
      <w:rPr>
        <w:rFonts w:ascii="Symbol" w:hAnsi="Symbol" w:hint="default"/>
      </w:rPr>
    </w:lvl>
    <w:lvl w:ilvl="7" w:tplc="5F4C5908">
      <w:start w:val="1"/>
      <w:numFmt w:val="bullet"/>
      <w:lvlText w:val="o"/>
      <w:lvlJc w:val="left"/>
      <w:pPr>
        <w:ind w:left="5760" w:hanging="360"/>
      </w:pPr>
      <w:rPr>
        <w:rFonts w:ascii="Courier New" w:hAnsi="Courier New" w:hint="default"/>
      </w:rPr>
    </w:lvl>
    <w:lvl w:ilvl="8" w:tplc="E872233A">
      <w:start w:val="1"/>
      <w:numFmt w:val="bullet"/>
      <w:lvlText w:val=""/>
      <w:lvlJc w:val="left"/>
      <w:pPr>
        <w:ind w:left="6480" w:hanging="360"/>
      </w:pPr>
      <w:rPr>
        <w:rFonts w:ascii="Wingdings" w:hAnsi="Wingdings" w:hint="default"/>
      </w:rPr>
    </w:lvl>
  </w:abstractNum>
  <w:abstractNum w:abstractNumId="8" w15:restartNumberingAfterBreak="0">
    <w:nsid w:val="14954390"/>
    <w:multiLevelType w:val="hybridMultilevel"/>
    <w:tmpl w:val="6F2A3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E7EBD"/>
    <w:multiLevelType w:val="hybridMultilevel"/>
    <w:tmpl w:val="0A88875C"/>
    <w:lvl w:ilvl="0" w:tplc="4EACA24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45F9D"/>
    <w:multiLevelType w:val="hybridMultilevel"/>
    <w:tmpl w:val="8C761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A3020"/>
    <w:multiLevelType w:val="hybridMultilevel"/>
    <w:tmpl w:val="E9EED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266EB3"/>
    <w:multiLevelType w:val="hybridMultilevel"/>
    <w:tmpl w:val="5038FE00"/>
    <w:lvl w:ilvl="0" w:tplc="CC94CF12">
      <w:start w:val="1"/>
      <w:numFmt w:val="bullet"/>
      <w:lvlText w:val=""/>
      <w:lvlJc w:val="left"/>
      <w:pPr>
        <w:ind w:left="720" w:hanging="360"/>
      </w:pPr>
      <w:rPr>
        <w:rFonts w:ascii="Symbol" w:hAnsi="Symbol" w:hint="default"/>
      </w:rPr>
    </w:lvl>
    <w:lvl w:ilvl="1" w:tplc="A03A5318">
      <w:start w:val="1"/>
      <w:numFmt w:val="bullet"/>
      <w:lvlText w:val="o"/>
      <w:lvlJc w:val="left"/>
      <w:pPr>
        <w:ind w:left="1440" w:hanging="360"/>
      </w:pPr>
      <w:rPr>
        <w:rFonts w:ascii="Courier New" w:hAnsi="Courier New" w:hint="default"/>
      </w:rPr>
    </w:lvl>
    <w:lvl w:ilvl="2" w:tplc="4F12CC2A">
      <w:start w:val="1"/>
      <w:numFmt w:val="bullet"/>
      <w:lvlText w:val=""/>
      <w:lvlJc w:val="left"/>
      <w:pPr>
        <w:ind w:left="2160" w:hanging="360"/>
      </w:pPr>
      <w:rPr>
        <w:rFonts w:ascii="Wingdings" w:hAnsi="Wingdings" w:hint="default"/>
      </w:rPr>
    </w:lvl>
    <w:lvl w:ilvl="3" w:tplc="1A14D940">
      <w:start w:val="1"/>
      <w:numFmt w:val="bullet"/>
      <w:lvlText w:val=""/>
      <w:lvlJc w:val="left"/>
      <w:pPr>
        <w:ind w:left="2880" w:hanging="360"/>
      </w:pPr>
      <w:rPr>
        <w:rFonts w:ascii="Symbol" w:hAnsi="Symbol" w:hint="default"/>
      </w:rPr>
    </w:lvl>
    <w:lvl w:ilvl="4" w:tplc="081C7DD0">
      <w:start w:val="1"/>
      <w:numFmt w:val="bullet"/>
      <w:lvlText w:val="o"/>
      <w:lvlJc w:val="left"/>
      <w:pPr>
        <w:ind w:left="3600" w:hanging="360"/>
      </w:pPr>
      <w:rPr>
        <w:rFonts w:ascii="Courier New" w:hAnsi="Courier New" w:hint="default"/>
      </w:rPr>
    </w:lvl>
    <w:lvl w:ilvl="5" w:tplc="0DBEA3BE">
      <w:start w:val="1"/>
      <w:numFmt w:val="bullet"/>
      <w:lvlText w:val=""/>
      <w:lvlJc w:val="left"/>
      <w:pPr>
        <w:ind w:left="4320" w:hanging="360"/>
      </w:pPr>
      <w:rPr>
        <w:rFonts w:ascii="Wingdings" w:hAnsi="Wingdings" w:hint="default"/>
      </w:rPr>
    </w:lvl>
    <w:lvl w:ilvl="6" w:tplc="32E8761C">
      <w:start w:val="1"/>
      <w:numFmt w:val="bullet"/>
      <w:lvlText w:val=""/>
      <w:lvlJc w:val="left"/>
      <w:pPr>
        <w:ind w:left="5040" w:hanging="360"/>
      </w:pPr>
      <w:rPr>
        <w:rFonts w:ascii="Symbol" w:hAnsi="Symbol" w:hint="default"/>
      </w:rPr>
    </w:lvl>
    <w:lvl w:ilvl="7" w:tplc="71CC21AC">
      <w:start w:val="1"/>
      <w:numFmt w:val="bullet"/>
      <w:lvlText w:val="o"/>
      <w:lvlJc w:val="left"/>
      <w:pPr>
        <w:ind w:left="5760" w:hanging="360"/>
      </w:pPr>
      <w:rPr>
        <w:rFonts w:ascii="Courier New" w:hAnsi="Courier New" w:hint="default"/>
      </w:rPr>
    </w:lvl>
    <w:lvl w:ilvl="8" w:tplc="46242214">
      <w:start w:val="1"/>
      <w:numFmt w:val="bullet"/>
      <w:lvlText w:val=""/>
      <w:lvlJc w:val="left"/>
      <w:pPr>
        <w:ind w:left="6480" w:hanging="360"/>
      </w:pPr>
      <w:rPr>
        <w:rFonts w:ascii="Wingdings" w:hAnsi="Wingdings" w:hint="default"/>
      </w:rPr>
    </w:lvl>
  </w:abstractNum>
  <w:abstractNum w:abstractNumId="13" w15:restartNumberingAfterBreak="0">
    <w:nsid w:val="21527C9C"/>
    <w:multiLevelType w:val="hybridMultilevel"/>
    <w:tmpl w:val="6CB0336C"/>
    <w:lvl w:ilvl="0" w:tplc="02DE3A74">
      <w:start w:val="1"/>
      <w:numFmt w:val="bullet"/>
      <w:lvlText w:val=""/>
      <w:lvlJc w:val="left"/>
      <w:pPr>
        <w:ind w:left="720" w:hanging="360"/>
      </w:pPr>
      <w:rPr>
        <w:rFonts w:ascii="Symbol" w:hAnsi="Symbol" w:hint="default"/>
      </w:rPr>
    </w:lvl>
    <w:lvl w:ilvl="1" w:tplc="EA9ABA64">
      <w:start w:val="1"/>
      <w:numFmt w:val="bullet"/>
      <w:lvlText w:val="o"/>
      <w:lvlJc w:val="left"/>
      <w:pPr>
        <w:ind w:left="1440" w:hanging="360"/>
      </w:pPr>
      <w:rPr>
        <w:rFonts w:ascii="Courier New" w:hAnsi="Courier New" w:hint="default"/>
      </w:rPr>
    </w:lvl>
    <w:lvl w:ilvl="2" w:tplc="283E400E">
      <w:start w:val="1"/>
      <w:numFmt w:val="bullet"/>
      <w:lvlText w:val=""/>
      <w:lvlJc w:val="left"/>
      <w:pPr>
        <w:ind w:left="2160" w:hanging="360"/>
      </w:pPr>
      <w:rPr>
        <w:rFonts w:ascii="Wingdings" w:hAnsi="Wingdings" w:hint="default"/>
      </w:rPr>
    </w:lvl>
    <w:lvl w:ilvl="3" w:tplc="DFB6F17E">
      <w:start w:val="1"/>
      <w:numFmt w:val="bullet"/>
      <w:lvlText w:val=""/>
      <w:lvlJc w:val="left"/>
      <w:pPr>
        <w:ind w:left="2880" w:hanging="360"/>
      </w:pPr>
      <w:rPr>
        <w:rFonts w:ascii="Symbol" w:hAnsi="Symbol" w:hint="default"/>
      </w:rPr>
    </w:lvl>
    <w:lvl w:ilvl="4" w:tplc="EE66513E">
      <w:start w:val="1"/>
      <w:numFmt w:val="bullet"/>
      <w:lvlText w:val="o"/>
      <w:lvlJc w:val="left"/>
      <w:pPr>
        <w:ind w:left="3600" w:hanging="360"/>
      </w:pPr>
      <w:rPr>
        <w:rFonts w:ascii="Courier New" w:hAnsi="Courier New" w:hint="default"/>
      </w:rPr>
    </w:lvl>
    <w:lvl w:ilvl="5" w:tplc="234CA502">
      <w:start w:val="1"/>
      <w:numFmt w:val="bullet"/>
      <w:lvlText w:val=""/>
      <w:lvlJc w:val="left"/>
      <w:pPr>
        <w:ind w:left="4320" w:hanging="360"/>
      </w:pPr>
      <w:rPr>
        <w:rFonts w:ascii="Wingdings" w:hAnsi="Wingdings" w:hint="default"/>
      </w:rPr>
    </w:lvl>
    <w:lvl w:ilvl="6" w:tplc="F0C4339C">
      <w:start w:val="1"/>
      <w:numFmt w:val="bullet"/>
      <w:lvlText w:val=""/>
      <w:lvlJc w:val="left"/>
      <w:pPr>
        <w:ind w:left="5040" w:hanging="360"/>
      </w:pPr>
      <w:rPr>
        <w:rFonts w:ascii="Symbol" w:hAnsi="Symbol" w:hint="default"/>
      </w:rPr>
    </w:lvl>
    <w:lvl w:ilvl="7" w:tplc="320EAF2C">
      <w:start w:val="1"/>
      <w:numFmt w:val="bullet"/>
      <w:lvlText w:val="o"/>
      <w:lvlJc w:val="left"/>
      <w:pPr>
        <w:ind w:left="5760" w:hanging="360"/>
      </w:pPr>
      <w:rPr>
        <w:rFonts w:ascii="Courier New" w:hAnsi="Courier New" w:hint="default"/>
      </w:rPr>
    </w:lvl>
    <w:lvl w:ilvl="8" w:tplc="97E6F24C">
      <w:start w:val="1"/>
      <w:numFmt w:val="bullet"/>
      <w:lvlText w:val=""/>
      <w:lvlJc w:val="left"/>
      <w:pPr>
        <w:ind w:left="6480" w:hanging="360"/>
      </w:pPr>
      <w:rPr>
        <w:rFonts w:ascii="Wingdings" w:hAnsi="Wingdings" w:hint="default"/>
      </w:rPr>
    </w:lvl>
  </w:abstractNum>
  <w:abstractNum w:abstractNumId="14" w15:restartNumberingAfterBreak="0">
    <w:nsid w:val="29717E1D"/>
    <w:multiLevelType w:val="hybridMultilevel"/>
    <w:tmpl w:val="DC96056C"/>
    <w:lvl w:ilvl="0" w:tplc="683655DA">
      <w:start w:val="1"/>
      <w:numFmt w:val="bullet"/>
      <w:lvlText w:val=""/>
      <w:lvlJc w:val="left"/>
      <w:pPr>
        <w:ind w:left="720" w:hanging="360"/>
      </w:pPr>
      <w:rPr>
        <w:rFonts w:ascii="Symbol" w:hAnsi="Symbol" w:hint="default"/>
      </w:rPr>
    </w:lvl>
    <w:lvl w:ilvl="1" w:tplc="F5626BA4">
      <w:start w:val="1"/>
      <w:numFmt w:val="bullet"/>
      <w:lvlText w:val="o"/>
      <w:lvlJc w:val="left"/>
      <w:pPr>
        <w:ind w:left="1440" w:hanging="360"/>
      </w:pPr>
      <w:rPr>
        <w:rFonts w:ascii="Courier New" w:hAnsi="Courier New" w:hint="default"/>
      </w:rPr>
    </w:lvl>
    <w:lvl w:ilvl="2" w:tplc="F2A07378">
      <w:start w:val="1"/>
      <w:numFmt w:val="bullet"/>
      <w:lvlText w:val=""/>
      <w:lvlJc w:val="left"/>
      <w:pPr>
        <w:ind w:left="2160" w:hanging="360"/>
      </w:pPr>
      <w:rPr>
        <w:rFonts w:ascii="Wingdings" w:hAnsi="Wingdings" w:hint="default"/>
      </w:rPr>
    </w:lvl>
    <w:lvl w:ilvl="3" w:tplc="5D28586A">
      <w:start w:val="1"/>
      <w:numFmt w:val="bullet"/>
      <w:lvlText w:val=""/>
      <w:lvlJc w:val="left"/>
      <w:pPr>
        <w:ind w:left="2880" w:hanging="360"/>
      </w:pPr>
      <w:rPr>
        <w:rFonts w:ascii="Symbol" w:hAnsi="Symbol" w:hint="default"/>
      </w:rPr>
    </w:lvl>
    <w:lvl w:ilvl="4" w:tplc="5D166DC2">
      <w:start w:val="1"/>
      <w:numFmt w:val="bullet"/>
      <w:lvlText w:val="o"/>
      <w:lvlJc w:val="left"/>
      <w:pPr>
        <w:ind w:left="3600" w:hanging="360"/>
      </w:pPr>
      <w:rPr>
        <w:rFonts w:ascii="Courier New" w:hAnsi="Courier New" w:hint="default"/>
      </w:rPr>
    </w:lvl>
    <w:lvl w:ilvl="5" w:tplc="201888EC">
      <w:start w:val="1"/>
      <w:numFmt w:val="bullet"/>
      <w:lvlText w:val=""/>
      <w:lvlJc w:val="left"/>
      <w:pPr>
        <w:ind w:left="4320" w:hanging="360"/>
      </w:pPr>
      <w:rPr>
        <w:rFonts w:ascii="Wingdings" w:hAnsi="Wingdings" w:hint="default"/>
      </w:rPr>
    </w:lvl>
    <w:lvl w:ilvl="6" w:tplc="5112B712">
      <w:start w:val="1"/>
      <w:numFmt w:val="bullet"/>
      <w:lvlText w:val=""/>
      <w:lvlJc w:val="left"/>
      <w:pPr>
        <w:ind w:left="5040" w:hanging="360"/>
      </w:pPr>
      <w:rPr>
        <w:rFonts w:ascii="Symbol" w:hAnsi="Symbol" w:hint="default"/>
      </w:rPr>
    </w:lvl>
    <w:lvl w:ilvl="7" w:tplc="B520FD94">
      <w:start w:val="1"/>
      <w:numFmt w:val="bullet"/>
      <w:lvlText w:val="o"/>
      <w:lvlJc w:val="left"/>
      <w:pPr>
        <w:ind w:left="5760" w:hanging="360"/>
      </w:pPr>
      <w:rPr>
        <w:rFonts w:ascii="Courier New" w:hAnsi="Courier New" w:hint="default"/>
      </w:rPr>
    </w:lvl>
    <w:lvl w:ilvl="8" w:tplc="A5AE9F5C">
      <w:start w:val="1"/>
      <w:numFmt w:val="bullet"/>
      <w:lvlText w:val=""/>
      <w:lvlJc w:val="left"/>
      <w:pPr>
        <w:ind w:left="6480" w:hanging="360"/>
      </w:pPr>
      <w:rPr>
        <w:rFonts w:ascii="Wingdings" w:hAnsi="Wingdings" w:hint="default"/>
      </w:rPr>
    </w:lvl>
  </w:abstractNum>
  <w:abstractNum w:abstractNumId="15" w15:restartNumberingAfterBreak="0">
    <w:nsid w:val="2F2A09E9"/>
    <w:multiLevelType w:val="hybridMultilevel"/>
    <w:tmpl w:val="B30E8D12"/>
    <w:lvl w:ilvl="0" w:tplc="AC06E4E0">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1515B"/>
    <w:multiLevelType w:val="hybridMultilevel"/>
    <w:tmpl w:val="B7DAD9C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94FC4"/>
    <w:multiLevelType w:val="hybridMultilevel"/>
    <w:tmpl w:val="CFE65E56"/>
    <w:lvl w:ilvl="0" w:tplc="941C6EF6">
      <w:start w:val="1"/>
      <w:numFmt w:val="bullet"/>
      <w:lvlText w:val="·"/>
      <w:lvlJc w:val="left"/>
      <w:pPr>
        <w:ind w:left="720" w:hanging="360"/>
      </w:pPr>
      <w:rPr>
        <w:rFonts w:ascii="Symbol" w:hAnsi="Symbol" w:hint="default"/>
      </w:rPr>
    </w:lvl>
    <w:lvl w:ilvl="1" w:tplc="517696CE">
      <w:start w:val="1"/>
      <w:numFmt w:val="bullet"/>
      <w:lvlText w:val="o"/>
      <w:lvlJc w:val="left"/>
      <w:pPr>
        <w:ind w:left="1440" w:hanging="360"/>
      </w:pPr>
      <w:rPr>
        <w:rFonts w:ascii="Courier New" w:hAnsi="Courier New" w:hint="default"/>
      </w:rPr>
    </w:lvl>
    <w:lvl w:ilvl="2" w:tplc="C438423E">
      <w:start w:val="1"/>
      <w:numFmt w:val="bullet"/>
      <w:lvlText w:val=""/>
      <w:lvlJc w:val="left"/>
      <w:pPr>
        <w:ind w:left="2160" w:hanging="360"/>
      </w:pPr>
      <w:rPr>
        <w:rFonts w:ascii="Wingdings" w:hAnsi="Wingdings" w:hint="default"/>
      </w:rPr>
    </w:lvl>
    <w:lvl w:ilvl="3" w:tplc="B8563FC0">
      <w:start w:val="1"/>
      <w:numFmt w:val="bullet"/>
      <w:lvlText w:val=""/>
      <w:lvlJc w:val="left"/>
      <w:pPr>
        <w:ind w:left="2880" w:hanging="360"/>
      </w:pPr>
      <w:rPr>
        <w:rFonts w:ascii="Symbol" w:hAnsi="Symbol" w:hint="default"/>
      </w:rPr>
    </w:lvl>
    <w:lvl w:ilvl="4" w:tplc="F8B4A2F4">
      <w:start w:val="1"/>
      <w:numFmt w:val="bullet"/>
      <w:lvlText w:val="o"/>
      <w:lvlJc w:val="left"/>
      <w:pPr>
        <w:ind w:left="3600" w:hanging="360"/>
      </w:pPr>
      <w:rPr>
        <w:rFonts w:ascii="Courier New" w:hAnsi="Courier New" w:hint="default"/>
      </w:rPr>
    </w:lvl>
    <w:lvl w:ilvl="5" w:tplc="F6083792">
      <w:start w:val="1"/>
      <w:numFmt w:val="bullet"/>
      <w:lvlText w:val=""/>
      <w:lvlJc w:val="left"/>
      <w:pPr>
        <w:ind w:left="4320" w:hanging="360"/>
      </w:pPr>
      <w:rPr>
        <w:rFonts w:ascii="Wingdings" w:hAnsi="Wingdings" w:hint="default"/>
      </w:rPr>
    </w:lvl>
    <w:lvl w:ilvl="6" w:tplc="56660EA8">
      <w:start w:val="1"/>
      <w:numFmt w:val="bullet"/>
      <w:lvlText w:val=""/>
      <w:lvlJc w:val="left"/>
      <w:pPr>
        <w:ind w:left="5040" w:hanging="360"/>
      </w:pPr>
      <w:rPr>
        <w:rFonts w:ascii="Symbol" w:hAnsi="Symbol" w:hint="default"/>
      </w:rPr>
    </w:lvl>
    <w:lvl w:ilvl="7" w:tplc="B34E54B2">
      <w:start w:val="1"/>
      <w:numFmt w:val="bullet"/>
      <w:lvlText w:val="o"/>
      <w:lvlJc w:val="left"/>
      <w:pPr>
        <w:ind w:left="5760" w:hanging="360"/>
      </w:pPr>
      <w:rPr>
        <w:rFonts w:ascii="Courier New" w:hAnsi="Courier New" w:hint="default"/>
      </w:rPr>
    </w:lvl>
    <w:lvl w:ilvl="8" w:tplc="C8DE868C">
      <w:start w:val="1"/>
      <w:numFmt w:val="bullet"/>
      <w:lvlText w:val=""/>
      <w:lvlJc w:val="left"/>
      <w:pPr>
        <w:ind w:left="6480" w:hanging="360"/>
      </w:pPr>
      <w:rPr>
        <w:rFonts w:ascii="Wingdings" w:hAnsi="Wingdings" w:hint="default"/>
      </w:rPr>
    </w:lvl>
  </w:abstractNum>
  <w:abstractNum w:abstractNumId="18" w15:restartNumberingAfterBreak="0">
    <w:nsid w:val="37FF649C"/>
    <w:multiLevelType w:val="hybridMultilevel"/>
    <w:tmpl w:val="7A3CD54A"/>
    <w:lvl w:ilvl="0" w:tplc="0C090001">
      <w:start w:val="1"/>
      <w:numFmt w:val="bullet"/>
      <w:lvlText w:val=""/>
      <w:lvlJc w:val="left"/>
      <w:pPr>
        <w:ind w:left="720" w:hanging="360"/>
      </w:pPr>
      <w:rPr>
        <w:rFonts w:ascii="Symbol" w:hAnsi="Symbol" w:hint="default"/>
      </w:rPr>
    </w:lvl>
    <w:lvl w:ilvl="1" w:tplc="2D509A4A">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A05FC9"/>
    <w:multiLevelType w:val="hybridMultilevel"/>
    <w:tmpl w:val="5F7A472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0" w15:restartNumberingAfterBreak="0">
    <w:nsid w:val="4355555F"/>
    <w:multiLevelType w:val="hybridMultilevel"/>
    <w:tmpl w:val="AECC5AB2"/>
    <w:lvl w:ilvl="0" w:tplc="2A1CF120">
      <w:start w:val="1"/>
      <w:numFmt w:val="bullet"/>
      <w:lvlText w:val=""/>
      <w:lvlJc w:val="left"/>
      <w:pPr>
        <w:tabs>
          <w:tab w:val="num" w:pos="720"/>
        </w:tabs>
        <w:ind w:left="720" w:hanging="360"/>
      </w:pPr>
      <w:rPr>
        <w:rFonts w:ascii="Symbol" w:hAnsi="Symbol" w:hint="default"/>
      </w:rPr>
    </w:lvl>
    <w:lvl w:ilvl="1" w:tplc="84AE86DA" w:tentative="1">
      <w:start w:val="1"/>
      <w:numFmt w:val="bullet"/>
      <w:lvlText w:val="•"/>
      <w:lvlJc w:val="left"/>
      <w:pPr>
        <w:tabs>
          <w:tab w:val="num" w:pos="1440"/>
        </w:tabs>
        <w:ind w:left="1440" w:hanging="360"/>
      </w:pPr>
      <w:rPr>
        <w:rFonts w:ascii="Arial" w:hAnsi="Arial" w:hint="default"/>
      </w:rPr>
    </w:lvl>
    <w:lvl w:ilvl="2" w:tplc="C57230F6" w:tentative="1">
      <w:start w:val="1"/>
      <w:numFmt w:val="bullet"/>
      <w:lvlText w:val="•"/>
      <w:lvlJc w:val="left"/>
      <w:pPr>
        <w:tabs>
          <w:tab w:val="num" w:pos="2160"/>
        </w:tabs>
        <w:ind w:left="2160" w:hanging="360"/>
      </w:pPr>
      <w:rPr>
        <w:rFonts w:ascii="Arial" w:hAnsi="Arial" w:hint="default"/>
      </w:rPr>
    </w:lvl>
    <w:lvl w:ilvl="3" w:tplc="CD78F0DE" w:tentative="1">
      <w:start w:val="1"/>
      <w:numFmt w:val="bullet"/>
      <w:lvlText w:val="•"/>
      <w:lvlJc w:val="left"/>
      <w:pPr>
        <w:tabs>
          <w:tab w:val="num" w:pos="2880"/>
        </w:tabs>
        <w:ind w:left="2880" w:hanging="360"/>
      </w:pPr>
      <w:rPr>
        <w:rFonts w:ascii="Arial" w:hAnsi="Arial" w:hint="default"/>
      </w:rPr>
    </w:lvl>
    <w:lvl w:ilvl="4" w:tplc="0D12C8D8" w:tentative="1">
      <w:start w:val="1"/>
      <w:numFmt w:val="bullet"/>
      <w:lvlText w:val="•"/>
      <w:lvlJc w:val="left"/>
      <w:pPr>
        <w:tabs>
          <w:tab w:val="num" w:pos="3600"/>
        </w:tabs>
        <w:ind w:left="3600" w:hanging="360"/>
      </w:pPr>
      <w:rPr>
        <w:rFonts w:ascii="Arial" w:hAnsi="Arial" w:hint="default"/>
      </w:rPr>
    </w:lvl>
    <w:lvl w:ilvl="5" w:tplc="BF66387C" w:tentative="1">
      <w:start w:val="1"/>
      <w:numFmt w:val="bullet"/>
      <w:lvlText w:val="•"/>
      <w:lvlJc w:val="left"/>
      <w:pPr>
        <w:tabs>
          <w:tab w:val="num" w:pos="4320"/>
        </w:tabs>
        <w:ind w:left="4320" w:hanging="360"/>
      </w:pPr>
      <w:rPr>
        <w:rFonts w:ascii="Arial" w:hAnsi="Arial" w:hint="default"/>
      </w:rPr>
    </w:lvl>
    <w:lvl w:ilvl="6" w:tplc="387EC6E6" w:tentative="1">
      <w:start w:val="1"/>
      <w:numFmt w:val="bullet"/>
      <w:lvlText w:val="•"/>
      <w:lvlJc w:val="left"/>
      <w:pPr>
        <w:tabs>
          <w:tab w:val="num" w:pos="5040"/>
        </w:tabs>
        <w:ind w:left="5040" w:hanging="360"/>
      </w:pPr>
      <w:rPr>
        <w:rFonts w:ascii="Arial" w:hAnsi="Arial" w:hint="default"/>
      </w:rPr>
    </w:lvl>
    <w:lvl w:ilvl="7" w:tplc="F0E0842A" w:tentative="1">
      <w:start w:val="1"/>
      <w:numFmt w:val="bullet"/>
      <w:lvlText w:val="•"/>
      <w:lvlJc w:val="left"/>
      <w:pPr>
        <w:tabs>
          <w:tab w:val="num" w:pos="5760"/>
        </w:tabs>
        <w:ind w:left="5760" w:hanging="360"/>
      </w:pPr>
      <w:rPr>
        <w:rFonts w:ascii="Arial" w:hAnsi="Arial" w:hint="default"/>
      </w:rPr>
    </w:lvl>
    <w:lvl w:ilvl="8" w:tplc="BBA2BD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2A252B"/>
    <w:multiLevelType w:val="hybridMultilevel"/>
    <w:tmpl w:val="1DC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74E35"/>
    <w:multiLevelType w:val="hybridMultilevel"/>
    <w:tmpl w:val="26CE14CA"/>
    <w:lvl w:ilvl="0" w:tplc="FFFFFFFF">
      <w:numFmt w:val="bullet"/>
      <w:lvlText w:val="-"/>
      <w:lvlJc w:val="left"/>
      <w:pPr>
        <w:ind w:left="720" w:hanging="360"/>
      </w:pPr>
      <w:rPr>
        <w:rFonts w:ascii="Verdana" w:hAnsi="Verdan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F154F"/>
    <w:multiLevelType w:val="hybridMultilevel"/>
    <w:tmpl w:val="F09071AA"/>
    <w:lvl w:ilvl="0" w:tplc="AC06E4E0">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B73AA"/>
    <w:multiLevelType w:val="hybridMultilevel"/>
    <w:tmpl w:val="02B4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42E6D"/>
    <w:multiLevelType w:val="hybridMultilevel"/>
    <w:tmpl w:val="8D4AE774"/>
    <w:lvl w:ilvl="0" w:tplc="279026D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024313"/>
    <w:multiLevelType w:val="hybridMultilevel"/>
    <w:tmpl w:val="D09EF2C6"/>
    <w:lvl w:ilvl="0" w:tplc="53D0A4F2">
      <w:start w:val="1"/>
      <w:numFmt w:val="bullet"/>
      <w:lvlText w:val=""/>
      <w:lvlJc w:val="left"/>
      <w:pPr>
        <w:ind w:left="720" w:hanging="360"/>
      </w:pPr>
      <w:rPr>
        <w:rFonts w:ascii="Symbol" w:hAnsi="Symbol" w:hint="default"/>
      </w:rPr>
    </w:lvl>
    <w:lvl w:ilvl="1" w:tplc="4BAA1EA6">
      <w:start w:val="1"/>
      <w:numFmt w:val="bullet"/>
      <w:lvlText w:val="o"/>
      <w:lvlJc w:val="left"/>
      <w:pPr>
        <w:ind w:left="1440" w:hanging="360"/>
      </w:pPr>
      <w:rPr>
        <w:rFonts w:ascii="Courier New" w:hAnsi="Courier New" w:hint="default"/>
      </w:rPr>
    </w:lvl>
    <w:lvl w:ilvl="2" w:tplc="3C5E3F6C">
      <w:start w:val="1"/>
      <w:numFmt w:val="bullet"/>
      <w:lvlText w:val=""/>
      <w:lvlJc w:val="left"/>
      <w:pPr>
        <w:ind w:left="2160" w:hanging="360"/>
      </w:pPr>
      <w:rPr>
        <w:rFonts w:ascii="Wingdings" w:hAnsi="Wingdings" w:hint="default"/>
      </w:rPr>
    </w:lvl>
    <w:lvl w:ilvl="3" w:tplc="8C120D6A">
      <w:start w:val="1"/>
      <w:numFmt w:val="bullet"/>
      <w:lvlText w:val=""/>
      <w:lvlJc w:val="left"/>
      <w:pPr>
        <w:ind w:left="2880" w:hanging="360"/>
      </w:pPr>
      <w:rPr>
        <w:rFonts w:ascii="Symbol" w:hAnsi="Symbol" w:hint="default"/>
      </w:rPr>
    </w:lvl>
    <w:lvl w:ilvl="4" w:tplc="E29630F8">
      <w:start w:val="1"/>
      <w:numFmt w:val="bullet"/>
      <w:lvlText w:val="o"/>
      <w:lvlJc w:val="left"/>
      <w:pPr>
        <w:ind w:left="3600" w:hanging="360"/>
      </w:pPr>
      <w:rPr>
        <w:rFonts w:ascii="Courier New" w:hAnsi="Courier New" w:hint="default"/>
      </w:rPr>
    </w:lvl>
    <w:lvl w:ilvl="5" w:tplc="245A026E">
      <w:start w:val="1"/>
      <w:numFmt w:val="bullet"/>
      <w:lvlText w:val=""/>
      <w:lvlJc w:val="left"/>
      <w:pPr>
        <w:ind w:left="4320" w:hanging="360"/>
      </w:pPr>
      <w:rPr>
        <w:rFonts w:ascii="Wingdings" w:hAnsi="Wingdings" w:hint="default"/>
      </w:rPr>
    </w:lvl>
    <w:lvl w:ilvl="6" w:tplc="AD40062E">
      <w:start w:val="1"/>
      <w:numFmt w:val="bullet"/>
      <w:lvlText w:val=""/>
      <w:lvlJc w:val="left"/>
      <w:pPr>
        <w:ind w:left="5040" w:hanging="360"/>
      </w:pPr>
      <w:rPr>
        <w:rFonts w:ascii="Symbol" w:hAnsi="Symbol" w:hint="default"/>
      </w:rPr>
    </w:lvl>
    <w:lvl w:ilvl="7" w:tplc="6F56C14C">
      <w:start w:val="1"/>
      <w:numFmt w:val="bullet"/>
      <w:lvlText w:val="o"/>
      <w:lvlJc w:val="left"/>
      <w:pPr>
        <w:ind w:left="5760" w:hanging="360"/>
      </w:pPr>
      <w:rPr>
        <w:rFonts w:ascii="Courier New" w:hAnsi="Courier New" w:hint="default"/>
      </w:rPr>
    </w:lvl>
    <w:lvl w:ilvl="8" w:tplc="124C5710">
      <w:start w:val="1"/>
      <w:numFmt w:val="bullet"/>
      <w:lvlText w:val=""/>
      <w:lvlJc w:val="left"/>
      <w:pPr>
        <w:ind w:left="6480" w:hanging="360"/>
      </w:pPr>
      <w:rPr>
        <w:rFonts w:ascii="Wingdings" w:hAnsi="Wingdings" w:hint="default"/>
      </w:rPr>
    </w:lvl>
  </w:abstractNum>
  <w:abstractNum w:abstractNumId="27" w15:restartNumberingAfterBreak="0">
    <w:nsid w:val="5C573307"/>
    <w:multiLevelType w:val="hybridMultilevel"/>
    <w:tmpl w:val="91D8A308"/>
    <w:lvl w:ilvl="0" w:tplc="2A1CF1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B1208E"/>
    <w:multiLevelType w:val="hybridMultilevel"/>
    <w:tmpl w:val="6C6E1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912B56"/>
    <w:multiLevelType w:val="hybridMultilevel"/>
    <w:tmpl w:val="C73020B8"/>
    <w:lvl w:ilvl="0" w:tplc="2A1CF1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D02037"/>
    <w:multiLevelType w:val="hybridMultilevel"/>
    <w:tmpl w:val="409CF888"/>
    <w:lvl w:ilvl="0" w:tplc="2810670C">
      <w:start w:val="1"/>
      <w:numFmt w:val="decimal"/>
      <w:lvlText w:val="%1."/>
      <w:lvlJc w:val="left"/>
      <w:pPr>
        <w:ind w:left="720" w:hanging="360"/>
      </w:pPr>
    </w:lvl>
    <w:lvl w:ilvl="1" w:tplc="B214331A">
      <w:start w:val="1"/>
      <w:numFmt w:val="lowerLetter"/>
      <w:lvlText w:val="%2."/>
      <w:lvlJc w:val="left"/>
      <w:pPr>
        <w:ind w:left="1440" w:hanging="360"/>
      </w:pPr>
    </w:lvl>
    <w:lvl w:ilvl="2" w:tplc="C4184720">
      <w:start w:val="1"/>
      <w:numFmt w:val="lowerRoman"/>
      <w:lvlText w:val="%3."/>
      <w:lvlJc w:val="right"/>
      <w:pPr>
        <w:ind w:left="2160" w:hanging="180"/>
      </w:pPr>
    </w:lvl>
    <w:lvl w:ilvl="3" w:tplc="F52E8184">
      <w:start w:val="1"/>
      <w:numFmt w:val="decimal"/>
      <w:lvlText w:val="%4."/>
      <w:lvlJc w:val="left"/>
      <w:pPr>
        <w:ind w:left="2880" w:hanging="360"/>
      </w:pPr>
    </w:lvl>
    <w:lvl w:ilvl="4" w:tplc="144C2FAC">
      <w:start w:val="1"/>
      <w:numFmt w:val="lowerLetter"/>
      <w:lvlText w:val="%5."/>
      <w:lvlJc w:val="left"/>
      <w:pPr>
        <w:ind w:left="3600" w:hanging="360"/>
      </w:pPr>
    </w:lvl>
    <w:lvl w:ilvl="5" w:tplc="418E6354">
      <w:start w:val="1"/>
      <w:numFmt w:val="lowerRoman"/>
      <w:lvlText w:val="%6."/>
      <w:lvlJc w:val="right"/>
      <w:pPr>
        <w:ind w:left="4320" w:hanging="180"/>
      </w:pPr>
    </w:lvl>
    <w:lvl w:ilvl="6" w:tplc="EAF2CC76">
      <w:start w:val="1"/>
      <w:numFmt w:val="decimal"/>
      <w:lvlText w:val="%7."/>
      <w:lvlJc w:val="left"/>
      <w:pPr>
        <w:ind w:left="5040" w:hanging="360"/>
      </w:pPr>
    </w:lvl>
    <w:lvl w:ilvl="7" w:tplc="4574EC3E">
      <w:start w:val="1"/>
      <w:numFmt w:val="lowerLetter"/>
      <w:lvlText w:val="%8."/>
      <w:lvlJc w:val="left"/>
      <w:pPr>
        <w:ind w:left="5760" w:hanging="360"/>
      </w:pPr>
    </w:lvl>
    <w:lvl w:ilvl="8" w:tplc="B20CF624">
      <w:start w:val="1"/>
      <w:numFmt w:val="lowerRoman"/>
      <w:lvlText w:val="%9."/>
      <w:lvlJc w:val="right"/>
      <w:pPr>
        <w:ind w:left="6480" w:hanging="180"/>
      </w:pPr>
    </w:lvl>
  </w:abstractNum>
  <w:abstractNum w:abstractNumId="31" w15:restartNumberingAfterBreak="0">
    <w:nsid w:val="63296CAC"/>
    <w:multiLevelType w:val="hybridMultilevel"/>
    <w:tmpl w:val="C596A3F6"/>
    <w:lvl w:ilvl="0" w:tplc="84425F12">
      <w:start w:val="1"/>
      <w:numFmt w:val="decimal"/>
      <w:lvlText w:val="%1."/>
      <w:lvlJc w:val="left"/>
      <w:pPr>
        <w:ind w:left="720" w:hanging="360"/>
      </w:pPr>
    </w:lvl>
    <w:lvl w:ilvl="1" w:tplc="B6B49C90">
      <w:start w:val="1"/>
      <w:numFmt w:val="lowerLetter"/>
      <w:lvlText w:val="%2."/>
      <w:lvlJc w:val="left"/>
      <w:pPr>
        <w:ind w:left="1440" w:hanging="360"/>
      </w:pPr>
    </w:lvl>
    <w:lvl w:ilvl="2" w:tplc="F0DA75C8">
      <w:start w:val="1"/>
      <w:numFmt w:val="lowerRoman"/>
      <w:lvlText w:val="%3."/>
      <w:lvlJc w:val="right"/>
      <w:pPr>
        <w:ind w:left="2160" w:hanging="180"/>
      </w:pPr>
    </w:lvl>
    <w:lvl w:ilvl="3" w:tplc="1D5EF398">
      <w:start w:val="1"/>
      <w:numFmt w:val="decimal"/>
      <w:lvlText w:val="%4."/>
      <w:lvlJc w:val="left"/>
      <w:pPr>
        <w:ind w:left="2880" w:hanging="360"/>
      </w:pPr>
    </w:lvl>
    <w:lvl w:ilvl="4" w:tplc="C7F45F4A">
      <w:start w:val="1"/>
      <w:numFmt w:val="lowerLetter"/>
      <w:lvlText w:val="%5."/>
      <w:lvlJc w:val="left"/>
      <w:pPr>
        <w:ind w:left="3600" w:hanging="360"/>
      </w:pPr>
    </w:lvl>
    <w:lvl w:ilvl="5" w:tplc="0F2A2AFC">
      <w:start w:val="1"/>
      <w:numFmt w:val="lowerRoman"/>
      <w:lvlText w:val="%6."/>
      <w:lvlJc w:val="right"/>
      <w:pPr>
        <w:ind w:left="4320" w:hanging="180"/>
      </w:pPr>
    </w:lvl>
    <w:lvl w:ilvl="6" w:tplc="6C5A309E">
      <w:start w:val="1"/>
      <w:numFmt w:val="decimal"/>
      <w:lvlText w:val="%7."/>
      <w:lvlJc w:val="left"/>
      <w:pPr>
        <w:ind w:left="5040" w:hanging="360"/>
      </w:pPr>
    </w:lvl>
    <w:lvl w:ilvl="7" w:tplc="725EE8B8">
      <w:start w:val="1"/>
      <w:numFmt w:val="lowerLetter"/>
      <w:lvlText w:val="%8."/>
      <w:lvlJc w:val="left"/>
      <w:pPr>
        <w:ind w:left="5760" w:hanging="360"/>
      </w:pPr>
    </w:lvl>
    <w:lvl w:ilvl="8" w:tplc="5970A484">
      <w:start w:val="1"/>
      <w:numFmt w:val="lowerRoman"/>
      <w:lvlText w:val="%9."/>
      <w:lvlJc w:val="right"/>
      <w:pPr>
        <w:ind w:left="6480" w:hanging="180"/>
      </w:pPr>
    </w:lvl>
  </w:abstractNum>
  <w:abstractNum w:abstractNumId="32" w15:restartNumberingAfterBreak="0">
    <w:nsid w:val="65135C8E"/>
    <w:multiLevelType w:val="hybridMultilevel"/>
    <w:tmpl w:val="F7923320"/>
    <w:lvl w:ilvl="0" w:tplc="AC06E4E0">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01D3C"/>
    <w:multiLevelType w:val="hybridMultilevel"/>
    <w:tmpl w:val="7CC86A68"/>
    <w:lvl w:ilvl="0" w:tplc="6FE0842A">
      <w:start w:val="1"/>
      <w:numFmt w:val="bullet"/>
      <w:lvlText w:val=""/>
      <w:lvlJc w:val="left"/>
      <w:pPr>
        <w:ind w:left="360" w:hanging="360"/>
      </w:pPr>
      <w:rPr>
        <w:rFonts w:ascii="Symbol" w:hAnsi="Symbol" w:hint="default"/>
      </w:rPr>
    </w:lvl>
    <w:lvl w:ilvl="1" w:tplc="BCAED7F4">
      <w:start w:val="1"/>
      <w:numFmt w:val="bullet"/>
      <w:lvlText w:val="o"/>
      <w:lvlJc w:val="left"/>
      <w:pPr>
        <w:ind w:left="1080" w:hanging="360"/>
      </w:pPr>
      <w:rPr>
        <w:rFonts w:ascii="Courier New" w:hAnsi="Courier New" w:hint="default"/>
      </w:rPr>
    </w:lvl>
    <w:lvl w:ilvl="2" w:tplc="682E1A52">
      <w:start w:val="1"/>
      <w:numFmt w:val="bullet"/>
      <w:lvlText w:val=""/>
      <w:lvlJc w:val="left"/>
      <w:pPr>
        <w:ind w:left="1800" w:hanging="360"/>
      </w:pPr>
      <w:rPr>
        <w:rFonts w:ascii="Wingdings" w:hAnsi="Wingdings" w:hint="default"/>
      </w:rPr>
    </w:lvl>
    <w:lvl w:ilvl="3" w:tplc="136C58C0">
      <w:start w:val="1"/>
      <w:numFmt w:val="bullet"/>
      <w:lvlText w:val=""/>
      <w:lvlJc w:val="left"/>
      <w:pPr>
        <w:ind w:left="2520" w:hanging="360"/>
      </w:pPr>
      <w:rPr>
        <w:rFonts w:ascii="Symbol" w:hAnsi="Symbol" w:hint="default"/>
      </w:rPr>
    </w:lvl>
    <w:lvl w:ilvl="4" w:tplc="19309C7A">
      <w:start w:val="1"/>
      <w:numFmt w:val="bullet"/>
      <w:lvlText w:val="o"/>
      <w:lvlJc w:val="left"/>
      <w:pPr>
        <w:ind w:left="3240" w:hanging="360"/>
      </w:pPr>
      <w:rPr>
        <w:rFonts w:ascii="Courier New" w:hAnsi="Courier New" w:hint="default"/>
      </w:rPr>
    </w:lvl>
    <w:lvl w:ilvl="5" w:tplc="89608C9C">
      <w:start w:val="1"/>
      <w:numFmt w:val="bullet"/>
      <w:lvlText w:val=""/>
      <w:lvlJc w:val="left"/>
      <w:pPr>
        <w:ind w:left="3960" w:hanging="360"/>
      </w:pPr>
      <w:rPr>
        <w:rFonts w:ascii="Wingdings" w:hAnsi="Wingdings" w:hint="default"/>
      </w:rPr>
    </w:lvl>
    <w:lvl w:ilvl="6" w:tplc="E15E7554">
      <w:start w:val="1"/>
      <w:numFmt w:val="bullet"/>
      <w:lvlText w:val=""/>
      <w:lvlJc w:val="left"/>
      <w:pPr>
        <w:ind w:left="4680" w:hanging="360"/>
      </w:pPr>
      <w:rPr>
        <w:rFonts w:ascii="Symbol" w:hAnsi="Symbol" w:hint="default"/>
      </w:rPr>
    </w:lvl>
    <w:lvl w:ilvl="7" w:tplc="B678B620">
      <w:start w:val="1"/>
      <w:numFmt w:val="bullet"/>
      <w:lvlText w:val="o"/>
      <w:lvlJc w:val="left"/>
      <w:pPr>
        <w:ind w:left="5400" w:hanging="360"/>
      </w:pPr>
      <w:rPr>
        <w:rFonts w:ascii="Courier New" w:hAnsi="Courier New" w:hint="default"/>
      </w:rPr>
    </w:lvl>
    <w:lvl w:ilvl="8" w:tplc="5762A414">
      <w:start w:val="1"/>
      <w:numFmt w:val="bullet"/>
      <w:lvlText w:val=""/>
      <w:lvlJc w:val="left"/>
      <w:pPr>
        <w:ind w:left="6120" w:hanging="360"/>
      </w:pPr>
      <w:rPr>
        <w:rFonts w:ascii="Wingdings" w:hAnsi="Wingdings" w:hint="default"/>
      </w:rPr>
    </w:lvl>
  </w:abstractNum>
  <w:abstractNum w:abstractNumId="34" w15:restartNumberingAfterBreak="0">
    <w:nsid w:val="6EE76BD2"/>
    <w:multiLevelType w:val="hybridMultilevel"/>
    <w:tmpl w:val="480206C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5" w15:restartNumberingAfterBreak="0">
    <w:nsid w:val="729521CE"/>
    <w:multiLevelType w:val="hybridMultilevel"/>
    <w:tmpl w:val="0B3672C4"/>
    <w:lvl w:ilvl="0" w:tplc="2A1CF1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AD72D0"/>
    <w:multiLevelType w:val="hybridMultilevel"/>
    <w:tmpl w:val="E6563916"/>
    <w:lvl w:ilvl="0" w:tplc="AC06E4E0">
      <w:numFmt w:val="bullet"/>
      <w:lvlText w:val="-"/>
      <w:lvlJc w:val="left"/>
      <w:pPr>
        <w:ind w:left="720" w:hanging="36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AD027C"/>
    <w:multiLevelType w:val="hybridMultilevel"/>
    <w:tmpl w:val="F9B2A5D6"/>
    <w:lvl w:ilvl="0" w:tplc="B1FA586C">
      <w:start w:val="1"/>
      <w:numFmt w:val="bullet"/>
      <w:lvlText w:val=""/>
      <w:lvlJc w:val="left"/>
      <w:pPr>
        <w:ind w:left="720" w:hanging="360"/>
      </w:pPr>
      <w:rPr>
        <w:rFonts w:ascii="Symbol" w:hAnsi="Symbol" w:hint="default"/>
      </w:rPr>
    </w:lvl>
    <w:lvl w:ilvl="1" w:tplc="917838E4">
      <w:start w:val="1"/>
      <w:numFmt w:val="bullet"/>
      <w:lvlText w:val="o"/>
      <w:lvlJc w:val="left"/>
      <w:pPr>
        <w:ind w:left="1440" w:hanging="360"/>
      </w:pPr>
      <w:rPr>
        <w:rFonts w:ascii="Courier New" w:hAnsi="Courier New" w:hint="default"/>
      </w:rPr>
    </w:lvl>
    <w:lvl w:ilvl="2" w:tplc="E098BBA6">
      <w:start w:val="1"/>
      <w:numFmt w:val="bullet"/>
      <w:lvlText w:val=""/>
      <w:lvlJc w:val="left"/>
      <w:pPr>
        <w:ind w:left="2160" w:hanging="360"/>
      </w:pPr>
      <w:rPr>
        <w:rFonts w:ascii="Wingdings" w:hAnsi="Wingdings" w:hint="default"/>
      </w:rPr>
    </w:lvl>
    <w:lvl w:ilvl="3" w:tplc="47969508">
      <w:start w:val="1"/>
      <w:numFmt w:val="bullet"/>
      <w:lvlText w:val=""/>
      <w:lvlJc w:val="left"/>
      <w:pPr>
        <w:ind w:left="2880" w:hanging="360"/>
      </w:pPr>
      <w:rPr>
        <w:rFonts w:ascii="Symbol" w:hAnsi="Symbol" w:hint="default"/>
      </w:rPr>
    </w:lvl>
    <w:lvl w:ilvl="4" w:tplc="E104FB00">
      <w:start w:val="1"/>
      <w:numFmt w:val="bullet"/>
      <w:lvlText w:val="o"/>
      <w:lvlJc w:val="left"/>
      <w:pPr>
        <w:ind w:left="3600" w:hanging="360"/>
      </w:pPr>
      <w:rPr>
        <w:rFonts w:ascii="Courier New" w:hAnsi="Courier New" w:hint="default"/>
      </w:rPr>
    </w:lvl>
    <w:lvl w:ilvl="5" w:tplc="D5C0AE02">
      <w:start w:val="1"/>
      <w:numFmt w:val="bullet"/>
      <w:lvlText w:val=""/>
      <w:lvlJc w:val="left"/>
      <w:pPr>
        <w:ind w:left="4320" w:hanging="360"/>
      </w:pPr>
      <w:rPr>
        <w:rFonts w:ascii="Wingdings" w:hAnsi="Wingdings" w:hint="default"/>
      </w:rPr>
    </w:lvl>
    <w:lvl w:ilvl="6" w:tplc="11E4D85C">
      <w:start w:val="1"/>
      <w:numFmt w:val="bullet"/>
      <w:lvlText w:val=""/>
      <w:lvlJc w:val="left"/>
      <w:pPr>
        <w:ind w:left="5040" w:hanging="360"/>
      </w:pPr>
      <w:rPr>
        <w:rFonts w:ascii="Symbol" w:hAnsi="Symbol" w:hint="default"/>
      </w:rPr>
    </w:lvl>
    <w:lvl w:ilvl="7" w:tplc="CB4822B4">
      <w:start w:val="1"/>
      <w:numFmt w:val="bullet"/>
      <w:lvlText w:val="o"/>
      <w:lvlJc w:val="left"/>
      <w:pPr>
        <w:ind w:left="5760" w:hanging="360"/>
      </w:pPr>
      <w:rPr>
        <w:rFonts w:ascii="Courier New" w:hAnsi="Courier New" w:hint="default"/>
      </w:rPr>
    </w:lvl>
    <w:lvl w:ilvl="8" w:tplc="9B28BEC8">
      <w:start w:val="1"/>
      <w:numFmt w:val="bullet"/>
      <w:lvlText w:val=""/>
      <w:lvlJc w:val="left"/>
      <w:pPr>
        <w:ind w:left="6480" w:hanging="360"/>
      </w:pPr>
      <w:rPr>
        <w:rFonts w:ascii="Wingdings" w:hAnsi="Wingdings" w:hint="default"/>
      </w:rPr>
    </w:lvl>
  </w:abstractNum>
  <w:abstractNum w:abstractNumId="38" w15:restartNumberingAfterBreak="0">
    <w:nsid w:val="7A0E4DD1"/>
    <w:multiLevelType w:val="hybridMultilevel"/>
    <w:tmpl w:val="3A32FF5E"/>
    <w:lvl w:ilvl="0" w:tplc="539E650A">
      <w:start w:val="1"/>
      <w:numFmt w:val="bullet"/>
      <w:lvlText w:val=""/>
      <w:lvlJc w:val="left"/>
      <w:pPr>
        <w:ind w:left="360" w:hanging="360"/>
      </w:pPr>
      <w:rPr>
        <w:rFonts w:ascii="Symbol" w:hAnsi="Symbol" w:hint="default"/>
      </w:rPr>
    </w:lvl>
    <w:lvl w:ilvl="1" w:tplc="B0BA5D04">
      <w:start w:val="1"/>
      <w:numFmt w:val="bullet"/>
      <w:lvlText w:val="o"/>
      <w:lvlJc w:val="left"/>
      <w:pPr>
        <w:ind w:left="1080" w:hanging="360"/>
      </w:pPr>
      <w:rPr>
        <w:rFonts w:ascii="Courier New" w:hAnsi="Courier New" w:hint="default"/>
      </w:rPr>
    </w:lvl>
    <w:lvl w:ilvl="2" w:tplc="EE920410">
      <w:start w:val="1"/>
      <w:numFmt w:val="bullet"/>
      <w:lvlText w:val=""/>
      <w:lvlJc w:val="left"/>
      <w:pPr>
        <w:ind w:left="1800" w:hanging="360"/>
      </w:pPr>
      <w:rPr>
        <w:rFonts w:ascii="Wingdings" w:hAnsi="Wingdings" w:hint="default"/>
      </w:rPr>
    </w:lvl>
    <w:lvl w:ilvl="3" w:tplc="5170CEA0">
      <w:start w:val="1"/>
      <w:numFmt w:val="bullet"/>
      <w:lvlText w:val=""/>
      <w:lvlJc w:val="left"/>
      <w:pPr>
        <w:ind w:left="2520" w:hanging="360"/>
      </w:pPr>
      <w:rPr>
        <w:rFonts w:ascii="Symbol" w:hAnsi="Symbol" w:hint="default"/>
      </w:rPr>
    </w:lvl>
    <w:lvl w:ilvl="4" w:tplc="63922DAE">
      <w:start w:val="1"/>
      <w:numFmt w:val="bullet"/>
      <w:lvlText w:val="o"/>
      <w:lvlJc w:val="left"/>
      <w:pPr>
        <w:ind w:left="3240" w:hanging="360"/>
      </w:pPr>
      <w:rPr>
        <w:rFonts w:ascii="Courier New" w:hAnsi="Courier New" w:hint="default"/>
      </w:rPr>
    </w:lvl>
    <w:lvl w:ilvl="5" w:tplc="E27677EC">
      <w:start w:val="1"/>
      <w:numFmt w:val="bullet"/>
      <w:lvlText w:val=""/>
      <w:lvlJc w:val="left"/>
      <w:pPr>
        <w:ind w:left="3960" w:hanging="360"/>
      </w:pPr>
      <w:rPr>
        <w:rFonts w:ascii="Wingdings" w:hAnsi="Wingdings" w:hint="default"/>
      </w:rPr>
    </w:lvl>
    <w:lvl w:ilvl="6" w:tplc="FE582D54">
      <w:start w:val="1"/>
      <w:numFmt w:val="bullet"/>
      <w:lvlText w:val=""/>
      <w:lvlJc w:val="left"/>
      <w:pPr>
        <w:ind w:left="4680" w:hanging="360"/>
      </w:pPr>
      <w:rPr>
        <w:rFonts w:ascii="Symbol" w:hAnsi="Symbol" w:hint="default"/>
      </w:rPr>
    </w:lvl>
    <w:lvl w:ilvl="7" w:tplc="466CF2A0">
      <w:start w:val="1"/>
      <w:numFmt w:val="bullet"/>
      <w:lvlText w:val="o"/>
      <w:lvlJc w:val="left"/>
      <w:pPr>
        <w:ind w:left="5400" w:hanging="360"/>
      </w:pPr>
      <w:rPr>
        <w:rFonts w:ascii="Courier New" w:hAnsi="Courier New" w:hint="default"/>
      </w:rPr>
    </w:lvl>
    <w:lvl w:ilvl="8" w:tplc="89D07C4E">
      <w:start w:val="1"/>
      <w:numFmt w:val="bullet"/>
      <w:lvlText w:val=""/>
      <w:lvlJc w:val="left"/>
      <w:pPr>
        <w:ind w:left="6120" w:hanging="360"/>
      </w:pPr>
      <w:rPr>
        <w:rFonts w:ascii="Wingdings" w:hAnsi="Wingdings" w:hint="default"/>
      </w:rPr>
    </w:lvl>
  </w:abstractNum>
  <w:num w:numId="1">
    <w:abstractNumId w:val="7"/>
  </w:num>
  <w:num w:numId="2">
    <w:abstractNumId w:val="31"/>
  </w:num>
  <w:num w:numId="3">
    <w:abstractNumId w:val="33"/>
  </w:num>
  <w:num w:numId="4">
    <w:abstractNumId w:val="12"/>
  </w:num>
  <w:num w:numId="5">
    <w:abstractNumId w:val="26"/>
  </w:num>
  <w:num w:numId="6">
    <w:abstractNumId w:val="14"/>
  </w:num>
  <w:num w:numId="7">
    <w:abstractNumId w:val="4"/>
  </w:num>
  <w:num w:numId="8">
    <w:abstractNumId w:val="38"/>
  </w:num>
  <w:num w:numId="9">
    <w:abstractNumId w:val="13"/>
  </w:num>
  <w:num w:numId="10">
    <w:abstractNumId w:val="37"/>
  </w:num>
  <w:num w:numId="11">
    <w:abstractNumId w:val="30"/>
  </w:num>
  <w:num w:numId="12">
    <w:abstractNumId w:val="17"/>
  </w:num>
  <w:num w:numId="13">
    <w:abstractNumId w:val="36"/>
  </w:num>
  <w:num w:numId="14">
    <w:abstractNumId w:val="15"/>
  </w:num>
  <w:num w:numId="15">
    <w:abstractNumId w:val="6"/>
  </w:num>
  <w:num w:numId="16">
    <w:abstractNumId w:val="23"/>
  </w:num>
  <w:num w:numId="17">
    <w:abstractNumId w:val="32"/>
  </w:num>
  <w:num w:numId="18">
    <w:abstractNumId w:val="22"/>
  </w:num>
  <w:num w:numId="19">
    <w:abstractNumId w:val="1"/>
  </w:num>
  <w:num w:numId="20">
    <w:abstractNumId w:val="27"/>
  </w:num>
  <w:num w:numId="21">
    <w:abstractNumId w:val="35"/>
  </w:num>
  <w:num w:numId="22">
    <w:abstractNumId w:val="29"/>
  </w:num>
  <w:num w:numId="23">
    <w:abstractNumId w:val="20"/>
  </w:num>
  <w:num w:numId="24">
    <w:abstractNumId w:val="18"/>
  </w:num>
  <w:num w:numId="25">
    <w:abstractNumId w:val="21"/>
  </w:num>
  <w:num w:numId="26">
    <w:abstractNumId w:val="28"/>
  </w:num>
  <w:num w:numId="27">
    <w:abstractNumId w:val="11"/>
  </w:num>
  <w:num w:numId="28">
    <w:abstractNumId w:val="0"/>
  </w:num>
  <w:num w:numId="29">
    <w:abstractNumId w:val="24"/>
  </w:num>
  <w:num w:numId="30">
    <w:abstractNumId w:val="2"/>
  </w:num>
  <w:num w:numId="31">
    <w:abstractNumId w:val="10"/>
  </w:num>
  <w:num w:numId="32">
    <w:abstractNumId w:val="3"/>
  </w:num>
  <w:num w:numId="33">
    <w:abstractNumId w:val="1"/>
  </w:num>
  <w:num w:numId="34">
    <w:abstractNumId w:val="1"/>
  </w:num>
  <w:num w:numId="35">
    <w:abstractNumId w:val="9"/>
  </w:num>
  <w:num w:numId="36">
    <w:abstractNumId w:val="34"/>
  </w:num>
  <w:num w:numId="37">
    <w:abstractNumId w:val="16"/>
  </w:num>
  <w:num w:numId="38">
    <w:abstractNumId w:val="19"/>
  </w:num>
  <w:num w:numId="39">
    <w:abstractNumId w:val="5"/>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C2"/>
    <w:rsid w:val="0001641D"/>
    <w:rsid w:val="00070835"/>
    <w:rsid w:val="0009525F"/>
    <w:rsid w:val="00115C2C"/>
    <w:rsid w:val="00117649"/>
    <w:rsid w:val="0013788C"/>
    <w:rsid w:val="00144AA3"/>
    <w:rsid w:val="00166043"/>
    <w:rsid w:val="001A16BA"/>
    <w:rsid w:val="001A359A"/>
    <w:rsid w:val="001A45F3"/>
    <w:rsid w:val="001C7099"/>
    <w:rsid w:val="00205B7E"/>
    <w:rsid w:val="00244C24"/>
    <w:rsid w:val="002506E7"/>
    <w:rsid w:val="002715F7"/>
    <w:rsid w:val="002908C2"/>
    <w:rsid w:val="002F0ADF"/>
    <w:rsid w:val="00345847"/>
    <w:rsid w:val="0034790E"/>
    <w:rsid w:val="00347A52"/>
    <w:rsid w:val="0035268C"/>
    <w:rsid w:val="003545E9"/>
    <w:rsid w:val="0035539B"/>
    <w:rsid w:val="00367CC5"/>
    <w:rsid w:val="00396A76"/>
    <w:rsid w:val="003B0F76"/>
    <w:rsid w:val="003E6DBC"/>
    <w:rsid w:val="004063C3"/>
    <w:rsid w:val="004240BD"/>
    <w:rsid w:val="00432A4C"/>
    <w:rsid w:val="00436D45"/>
    <w:rsid w:val="00451FF7"/>
    <w:rsid w:val="0045363E"/>
    <w:rsid w:val="0045681B"/>
    <w:rsid w:val="0049365E"/>
    <w:rsid w:val="00493EF5"/>
    <w:rsid w:val="004A7FD0"/>
    <w:rsid w:val="004E5DBF"/>
    <w:rsid w:val="004E7C87"/>
    <w:rsid w:val="004F17B4"/>
    <w:rsid w:val="004F22C8"/>
    <w:rsid w:val="00532985"/>
    <w:rsid w:val="00564323"/>
    <w:rsid w:val="00567DE9"/>
    <w:rsid w:val="0059D857"/>
    <w:rsid w:val="005A17CD"/>
    <w:rsid w:val="005A6436"/>
    <w:rsid w:val="005C51AB"/>
    <w:rsid w:val="005D3949"/>
    <w:rsid w:val="005D3E0C"/>
    <w:rsid w:val="00605155"/>
    <w:rsid w:val="006131FF"/>
    <w:rsid w:val="006225C6"/>
    <w:rsid w:val="00645533"/>
    <w:rsid w:val="00661831"/>
    <w:rsid w:val="0066526F"/>
    <w:rsid w:val="006725B0"/>
    <w:rsid w:val="00675D97"/>
    <w:rsid w:val="006C7A03"/>
    <w:rsid w:val="00706858"/>
    <w:rsid w:val="00736C14"/>
    <w:rsid w:val="00737D6A"/>
    <w:rsid w:val="0074023B"/>
    <w:rsid w:val="00781FBD"/>
    <w:rsid w:val="007A5367"/>
    <w:rsid w:val="007B0D0F"/>
    <w:rsid w:val="007B310C"/>
    <w:rsid w:val="007B39F0"/>
    <w:rsid w:val="007B5709"/>
    <w:rsid w:val="007C73D1"/>
    <w:rsid w:val="007F8DD2"/>
    <w:rsid w:val="00833D90"/>
    <w:rsid w:val="00835035"/>
    <w:rsid w:val="00843DD5"/>
    <w:rsid w:val="008638B3"/>
    <w:rsid w:val="00876A8F"/>
    <w:rsid w:val="008A440C"/>
    <w:rsid w:val="008C6A4C"/>
    <w:rsid w:val="008D0F7A"/>
    <w:rsid w:val="009040DC"/>
    <w:rsid w:val="0093440E"/>
    <w:rsid w:val="00934BB2"/>
    <w:rsid w:val="00934F80"/>
    <w:rsid w:val="00943024"/>
    <w:rsid w:val="00953BA4"/>
    <w:rsid w:val="00955EF2"/>
    <w:rsid w:val="009701E1"/>
    <w:rsid w:val="00984E9E"/>
    <w:rsid w:val="009B4B92"/>
    <w:rsid w:val="009C42AC"/>
    <w:rsid w:val="009D08E8"/>
    <w:rsid w:val="009D1329"/>
    <w:rsid w:val="00A00F07"/>
    <w:rsid w:val="00A474F1"/>
    <w:rsid w:val="00A59F00"/>
    <w:rsid w:val="00A60C80"/>
    <w:rsid w:val="00A755B9"/>
    <w:rsid w:val="00AA4C78"/>
    <w:rsid w:val="00AF05DB"/>
    <w:rsid w:val="00B00A71"/>
    <w:rsid w:val="00B2016D"/>
    <w:rsid w:val="00B25AC5"/>
    <w:rsid w:val="00B334CD"/>
    <w:rsid w:val="00B349FB"/>
    <w:rsid w:val="00B52B7D"/>
    <w:rsid w:val="00B757EF"/>
    <w:rsid w:val="00B8A501"/>
    <w:rsid w:val="00BA3392"/>
    <w:rsid w:val="00BA66D7"/>
    <w:rsid w:val="00BD07A5"/>
    <w:rsid w:val="00BD3006"/>
    <w:rsid w:val="00BF12CF"/>
    <w:rsid w:val="00BF2555"/>
    <w:rsid w:val="00BF33FA"/>
    <w:rsid w:val="00BF72D3"/>
    <w:rsid w:val="00C3415B"/>
    <w:rsid w:val="00C422AB"/>
    <w:rsid w:val="00C61D6D"/>
    <w:rsid w:val="00CB41D6"/>
    <w:rsid w:val="00CC29AD"/>
    <w:rsid w:val="00CD604D"/>
    <w:rsid w:val="00D01301"/>
    <w:rsid w:val="00D04E90"/>
    <w:rsid w:val="00D1482F"/>
    <w:rsid w:val="00D22D5F"/>
    <w:rsid w:val="00D34411"/>
    <w:rsid w:val="00D3796A"/>
    <w:rsid w:val="00D4762E"/>
    <w:rsid w:val="00D64AAE"/>
    <w:rsid w:val="00D87155"/>
    <w:rsid w:val="00DA0DC9"/>
    <w:rsid w:val="00DA2281"/>
    <w:rsid w:val="00DA625C"/>
    <w:rsid w:val="00DD02C4"/>
    <w:rsid w:val="00E1467D"/>
    <w:rsid w:val="00E43A05"/>
    <w:rsid w:val="00E4503B"/>
    <w:rsid w:val="00E6517F"/>
    <w:rsid w:val="00E93CEA"/>
    <w:rsid w:val="00E969C2"/>
    <w:rsid w:val="00EA05D9"/>
    <w:rsid w:val="00EC533D"/>
    <w:rsid w:val="00EC5581"/>
    <w:rsid w:val="00EC58B1"/>
    <w:rsid w:val="00ED250F"/>
    <w:rsid w:val="00EF0968"/>
    <w:rsid w:val="00EF7AF5"/>
    <w:rsid w:val="00F17736"/>
    <w:rsid w:val="00F22BF1"/>
    <w:rsid w:val="00F23FDC"/>
    <w:rsid w:val="00F24E8D"/>
    <w:rsid w:val="00F57C68"/>
    <w:rsid w:val="00F611D2"/>
    <w:rsid w:val="00F72FF8"/>
    <w:rsid w:val="00F8396D"/>
    <w:rsid w:val="00FBDECA"/>
    <w:rsid w:val="00FE43A6"/>
    <w:rsid w:val="00FE4646"/>
    <w:rsid w:val="00FE505B"/>
    <w:rsid w:val="00FF5599"/>
    <w:rsid w:val="011DFAEF"/>
    <w:rsid w:val="0127A37C"/>
    <w:rsid w:val="015C3443"/>
    <w:rsid w:val="01AD230C"/>
    <w:rsid w:val="01AF508D"/>
    <w:rsid w:val="01BDD2EF"/>
    <w:rsid w:val="01E256EA"/>
    <w:rsid w:val="023A73B9"/>
    <w:rsid w:val="02A6A327"/>
    <w:rsid w:val="02A90F78"/>
    <w:rsid w:val="02BC6CB8"/>
    <w:rsid w:val="03045D85"/>
    <w:rsid w:val="0315F53E"/>
    <w:rsid w:val="0346C0D2"/>
    <w:rsid w:val="036D0680"/>
    <w:rsid w:val="0391B758"/>
    <w:rsid w:val="0409F1C0"/>
    <w:rsid w:val="040E280A"/>
    <w:rsid w:val="041D8141"/>
    <w:rsid w:val="0439A6AA"/>
    <w:rsid w:val="044BFD8E"/>
    <w:rsid w:val="0474FDC3"/>
    <w:rsid w:val="048C97CC"/>
    <w:rsid w:val="049D72BD"/>
    <w:rsid w:val="04B08C0F"/>
    <w:rsid w:val="04B746E0"/>
    <w:rsid w:val="04BBEA3D"/>
    <w:rsid w:val="04D74B5B"/>
    <w:rsid w:val="0519B873"/>
    <w:rsid w:val="051BE0A9"/>
    <w:rsid w:val="052DCBA0"/>
    <w:rsid w:val="055FCA99"/>
    <w:rsid w:val="057A9125"/>
    <w:rsid w:val="0584A2B9"/>
    <w:rsid w:val="059D598D"/>
    <w:rsid w:val="05AE274B"/>
    <w:rsid w:val="05B092DF"/>
    <w:rsid w:val="0621E73F"/>
    <w:rsid w:val="062876D9"/>
    <w:rsid w:val="0634ECA3"/>
    <w:rsid w:val="063A3F1F"/>
    <w:rsid w:val="064DA016"/>
    <w:rsid w:val="0654041C"/>
    <w:rsid w:val="068070AF"/>
    <w:rsid w:val="069F028F"/>
    <w:rsid w:val="06C01378"/>
    <w:rsid w:val="06FB9AFA"/>
    <w:rsid w:val="07038880"/>
    <w:rsid w:val="0745C8CC"/>
    <w:rsid w:val="07624F48"/>
    <w:rsid w:val="07CDEF95"/>
    <w:rsid w:val="07F5C3C0"/>
    <w:rsid w:val="07F74B73"/>
    <w:rsid w:val="080C02E3"/>
    <w:rsid w:val="081B05E0"/>
    <w:rsid w:val="08584E0A"/>
    <w:rsid w:val="085A6241"/>
    <w:rsid w:val="086F8B06"/>
    <w:rsid w:val="089A27C3"/>
    <w:rsid w:val="08A11AA6"/>
    <w:rsid w:val="08A13FB0"/>
    <w:rsid w:val="08B63230"/>
    <w:rsid w:val="08B90723"/>
    <w:rsid w:val="0974AA35"/>
    <w:rsid w:val="099BFD64"/>
    <w:rsid w:val="09D74179"/>
    <w:rsid w:val="09FAA7CE"/>
    <w:rsid w:val="0A000583"/>
    <w:rsid w:val="0A0B1C09"/>
    <w:rsid w:val="0A2B135D"/>
    <w:rsid w:val="0A63392E"/>
    <w:rsid w:val="0A644FD8"/>
    <w:rsid w:val="0A7E90E1"/>
    <w:rsid w:val="0A9088C6"/>
    <w:rsid w:val="0A99AB22"/>
    <w:rsid w:val="0AAC0D53"/>
    <w:rsid w:val="0ACD5B0D"/>
    <w:rsid w:val="0ADCA1B7"/>
    <w:rsid w:val="0B26FF4E"/>
    <w:rsid w:val="0B2D7B20"/>
    <w:rsid w:val="0B3DC029"/>
    <w:rsid w:val="0B7C0185"/>
    <w:rsid w:val="0B9FBCED"/>
    <w:rsid w:val="0BAA58A8"/>
    <w:rsid w:val="0BBED2BD"/>
    <w:rsid w:val="0BD1C885"/>
    <w:rsid w:val="0BDCBE0A"/>
    <w:rsid w:val="0BE295A7"/>
    <w:rsid w:val="0C102087"/>
    <w:rsid w:val="0C3372EE"/>
    <w:rsid w:val="0C352129"/>
    <w:rsid w:val="0C43D8CD"/>
    <w:rsid w:val="0C865321"/>
    <w:rsid w:val="0C920136"/>
    <w:rsid w:val="0C9452A9"/>
    <w:rsid w:val="0CB4EFCD"/>
    <w:rsid w:val="0D2E0BC2"/>
    <w:rsid w:val="0D3BBAC4"/>
    <w:rsid w:val="0D92183C"/>
    <w:rsid w:val="0D9556A2"/>
    <w:rsid w:val="0D9A0B65"/>
    <w:rsid w:val="0DA9AB2B"/>
    <w:rsid w:val="0DC7D91B"/>
    <w:rsid w:val="0DFC18C0"/>
    <w:rsid w:val="0DFC7DF7"/>
    <w:rsid w:val="0DFEF8C0"/>
    <w:rsid w:val="0DFF9620"/>
    <w:rsid w:val="0E070CE5"/>
    <w:rsid w:val="0E1321FF"/>
    <w:rsid w:val="0E192530"/>
    <w:rsid w:val="0E1CF9B4"/>
    <w:rsid w:val="0E2027C9"/>
    <w:rsid w:val="0E204690"/>
    <w:rsid w:val="0E44C80F"/>
    <w:rsid w:val="0E7071AD"/>
    <w:rsid w:val="0EA32399"/>
    <w:rsid w:val="0EDA98D7"/>
    <w:rsid w:val="0EEFB8C6"/>
    <w:rsid w:val="0EF2E252"/>
    <w:rsid w:val="0F0069BD"/>
    <w:rsid w:val="0F15E675"/>
    <w:rsid w:val="0F1AA02F"/>
    <w:rsid w:val="0F35E103"/>
    <w:rsid w:val="0F38A993"/>
    <w:rsid w:val="0F393A07"/>
    <w:rsid w:val="0F43B305"/>
    <w:rsid w:val="0F6080A5"/>
    <w:rsid w:val="0F83E139"/>
    <w:rsid w:val="0FD6995E"/>
    <w:rsid w:val="10296F11"/>
    <w:rsid w:val="10657E6F"/>
    <w:rsid w:val="106F4707"/>
    <w:rsid w:val="108A487E"/>
    <w:rsid w:val="108FC8EB"/>
    <w:rsid w:val="109C2825"/>
    <w:rsid w:val="10B3AF95"/>
    <w:rsid w:val="10F60DE1"/>
    <w:rsid w:val="10FA0005"/>
    <w:rsid w:val="1102F040"/>
    <w:rsid w:val="112EC79E"/>
    <w:rsid w:val="115062CA"/>
    <w:rsid w:val="116C0BAD"/>
    <w:rsid w:val="119AA1E0"/>
    <w:rsid w:val="119E2DB9"/>
    <w:rsid w:val="11C1391D"/>
    <w:rsid w:val="11C67A88"/>
    <w:rsid w:val="11E204B5"/>
    <w:rsid w:val="11F2C448"/>
    <w:rsid w:val="11FACFC8"/>
    <w:rsid w:val="12000C45"/>
    <w:rsid w:val="1201DC52"/>
    <w:rsid w:val="12038DC8"/>
    <w:rsid w:val="120BA61A"/>
    <w:rsid w:val="1223D6DA"/>
    <w:rsid w:val="1232709A"/>
    <w:rsid w:val="128BE595"/>
    <w:rsid w:val="12D9AA8F"/>
    <w:rsid w:val="12F932CD"/>
    <w:rsid w:val="131F9BFB"/>
    <w:rsid w:val="131FB3AC"/>
    <w:rsid w:val="1323D3E2"/>
    <w:rsid w:val="134297EC"/>
    <w:rsid w:val="135C60D2"/>
    <w:rsid w:val="13CE7DDE"/>
    <w:rsid w:val="14140830"/>
    <w:rsid w:val="1445588E"/>
    <w:rsid w:val="1511A8F4"/>
    <w:rsid w:val="152405EA"/>
    <w:rsid w:val="152CEC88"/>
    <w:rsid w:val="1540DD18"/>
    <w:rsid w:val="15612257"/>
    <w:rsid w:val="156E2D09"/>
    <w:rsid w:val="163476E2"/>
    <w:rsid w:val="1658AAE5"/>
    <w:rsid w:val="165CA0A3"/>
    <w:rsid w:val="175E9596"/>
    <w:rsid w:val="1763DA1C"/>
    <w:rsid w:val="177193CE"/>
    <w:rsid w:val="177325A5"/>
    <w:rsid w:val="177D5327"/>
    <w:rsid w:val="1782C2A9"/>
    <w:rsid w:val="1793823E"/>
    <w:rsid w:val="179AFA7F"/>
    <w:rsid w:val="17B7FF25"/>
    <w:rsid w:val="17C1B9B8"/>
    <w:rsid w:val="17CA4CF0"/>
    <w:rsid w:val="17E38E16"/>
    <w:rsid w:val="17E66BE4"/>
    <w:rsid w:val="1816090F"/>
    <w:rsid w:val="18204843"/>
    <w:rsid w:val="18546B70"/>
    <w:rsid w:val="188BFF85"/>
    <w:rsid w:val="1894815A"/>
    <w:rsid w:val="18DB970F"/>
    <w:rsid w:val="18E4261E"/>
    <w:rsid w:val="190EF606"/>
    <w:rsid w:val="192D9940"/>
    <w:rsid w:val="193DDCDF"/>
    <w:rsid w:val="195F1070"/>
    <w:rsid w:val="19772010"/>
    <w:rsid w:val="1992BE6E"/>
    <w:rsid w:val="1A3F4B00"/>
    <w:rsid w:val="1A495F86"/>
    <w:rsid w:val="1A4EE629"/>
    <w:rsid w:val="1A5B530C"/>
    <w:rsid w:val="1A6C50A5"/>
    <w:rsid w:val="1AACD3B0"/>
    <w:rsid w:val="1ACB329D"/>
    <w:rsid w:val="1ADE1CB3"/>
    <w:rsid w:val="1AEE4F4C"/>
    <w:rsid w:val="1AFED0B6"/>
    <w:rsid w:val="1B1220AF"/>
    <w:rsid w:val="1B2059C9"/>
    <w:rsid w:val="1B619458"/>
    <w:rsid w:val="1B7B5372"/>
    <w:rsid w:val="1B88779E"/>
    <w:rsid w:val="1B996003"/>
    <w:rsid w:val="1BEAF80E"/>
    <w:rsid w:val="1BFBF5DE"/>
    <w:rsid w:val="1C00D833"/>
    <w:rsid w:val="1C097BF4"/>
    <w:rsid w:val="1C464FD9"/>
    <w:rsid w:val="1C8B3F15"/>
    <w:rsid w:val="1CDA0048"/>
    <w:rsid w:val="1CF8C739"/>
    <w:rsid w:val="1D05D5FD"/>
    <w:rsid w:val="1D1C9D08"/>
    <w:rsid w:val="1D2CD5C8"/>
    <w:rsid w:val="1D48E84B"/>
    <w:rsid w:val="1D4BEEFD"/>
    <w:rsid w:val="1D67757C"/>
    <w:rsid w:val="1D7091E6"/>
    <w:rsid w:val="1D857368"/>
    <w:rsid w:val="1D86475B"/>
    <w:rsid w:val="1D9F09EF"/>
    <w:rsid w:val="1DA87DDF"/>
    <w:rsid w:val="1DC8564C"/>
    <w:rsid w:val="1DE26729"/>
    <w:rsid w:val="1DF2BD7D"/>
    <w:rsid w:val="1DF775BA"/>
    <w:rsid w:val="1DF86ABF"/>
    <w:rsid w:val="1E31EC9D"/>
    <w:rsid w:val="1E4FB244"/>
    <w:rsid w:val="1E4FDE8B"/>
    <w:rsid w:val="1E5F000F"/>
    <w:rsid w:val="1E72177E"/>
    <w:rsid w:val="1E7475B1"/>
    <w:rsid w:val="1E8D05F5"/>
    <w:rsid w:val="1EB81EF3"/>
    <w:rsid w:val="1EBDFB51"/>
    <w:rsid w:val="1EE07F1F"/>
    <w:rsid w:val="1F2EBE8A"/>
    <w:rsid w:val="1F574B57"/>
    <w:rsid w:val="1F6082D9"/>
    <w:rsid w:val="1F6EEC01"/>
    <w:rsid w:val="1F814244"/>
    <w:rsid w:val="1FA8725B"/>
    <w:rsid w:val="1FB18DD6"/>
    <w:rsid w:val="1FBE9E18"/>
    <w:rsid w:val="1FC0E303"/>
    <w:rsid w:val="1FCE69CC"/>
    <w:rsid w:val="203067FB"/>
    <w:rsid w:val="209C354E"/>
    <w:rsid w:val="20A21525"/>
    <w:rsid w:val="20B3B056"/>
    <w:rsid w:val="20B8B6AF"/>
    <w:rsid w:val="2102BE0B"/>
    <w:rsid w:val="21290BB6"/>
    <w:rsid w:val="212B9D2D"/>
    <w:rsid w:val="21532C67"/>
    <w:rsid w:val="216FD376"/>
    <w:rsid w:val="217989A5"/>
    <w:rsid w:val="217AA94C"/>
    <w:rsid w:val="2182C46D"/>
    <w:rsid w:val="21905304"/>
    <w:rsid w:val="21F43DB0"/>
    <w:rsid w:val="21F9E963"/>
    <w:rsid w:val="21FE7F55"/>
    <w:rsid w:val="220DCADE"/>
    <w:rsid w:val="221CA7AB"/>
    <w:rsid w:val="2277DBF1"/>
    <w:rsid w:val="22960F0D"/>
    <w:rsid w:val="22ABF8EF"/>
    <w:rsid w:val="22C394E8"/>
    <w:rsid w:val="22E0EB3E"/>
    <w:rsid w:val="2321718D"/>
    <w:rsid w:val="23495AC1"/>
    <w:rsid w:val="23584AC2"/>
    <w:rsid w:val="237F32F0"/>
    <w:rsid w:val="23827B9F"/>
    <w:rsid w:val="23937EE5"/>
    <w:rsid w:val="23AF0214"/>
    <w:rsid w:val="23E65305"/>
    <w:rsid w:val="24206811"/>
    <w:rsid w:val="242FDB89"/>
    <w:rsid w:val="245949DE"/>
    <w:rsid w:val="2482B5FB"/>
    <w:rsid w:val="248CEC7F"/>
    <w:rsid w:val="24AE1E2F"/>
    <w:rsid w:val="24B31ED2"/>
    <w:rsid w:val="24CFCB8D"/>
    <w:rsid w:val="25620C6B"/>
    <w:rsid w:val="256B916B"/>
    <w:rsid w:val="2578C1EC"/>
    <w:rsid w:val="25A5671B"/>
    <w:rsid w:val="25B00BAB"/>
    <w:rsid w:val="25E1D60B"/>
    <w:rsid w:val="25E90669"/>
    <w:rsid w:val="25FE9BDB"/>
    <w:rsid w:val="26142FC5"/>
    <w:rsid w:val="2628BCE0"/>
    <w:rsid w:val="263B68AF"/>
    <w:rsid w:val="2670B776"/>
    <w:rsid w:val="269817DA"/>
    <w:rsid w:val="269D7402"/>
    <w:rsid w:val="26AC50CF"/>
    <w:rsid w:val="26C330D8"/>
    <w:rsid w:val="26D47C84"/>
    <w:rsid w:val="26D8665B"/>
    <w:rsid w:val="2706E8AE"/>
    <w:rsid w:val="271DF3C7"/>
    <w:rsid w:val="27286359"/>
    <w:rsid w:val="27924618"/>
    <w:rsid w:val="27AB136B"/>
    <w:rsid w:val="27AC413A"/>
    <w:rsid w:val="27B3FA2B"/>
    <w:rsid w:val="27C1718D"/>
    <w:rsid w:val="27F2455D"/>
    <w:rsid w:val="2801FA0A"/>
    <w:rsid w:val="28314C7B"/>
    <w:rsid w:val="283B22A5"/>
    <w:rsid w:val="283BD5C1"/>
    <w:rsid w:val="285384E6"/>
    <w:rsid w:val="286DC0D9"/>
    <w:rsid w:val="2954A5F2"/>
    <w:rsid w:val="295F5FB4"/>
    <w:rsid w:val="29789EF7"/>
    <w:rsid w:val="29A95A42"/>
    <w:rsid w:val="29C2CC51"/>
    <w:rsid w:val="29F068DD"/>
    <w:rsid w:val="2A06EFAA"/>
    <w:rsid w:val="2A07A394"/>
    <w:rsid w:val="2A134876"/>
    <w:rsid w:val="2A4C9EAC"/>
    <w:rsid w:val="2A5491FE"/>
    <w:rsid w:val="2A9EAEFF"/>
    <w:rsid w:val="2AB626E5"/>
    <w:rsid w:val="2AD8C420"/>
    <w:rsid w:val="2AF3BAD9"/>
    <w:rsid w:val="2B132886"/>
    <w:rsid w:val="2B2219F7"/>
    <w:rsid w:val="2B3814A9"/>
    <w:rsid w:val="2B3C1DF6"/>
    <w:rsid w:val="2B561362"/>
    <w:rsid w:val="2B731AA2"/>
    <w:rsid w:val="2B7B9DFF"/>
    <w:rsid w:val="2B81F799"/>
    <w:rsid w:val="2B83669C"/>
    <w:rsid w:val="2B96A1FB"/>
    <w:rsid w:val="2BAD1A09"/>
    <w:rsid w:val="2BC64266"/>
    <w:rsid w:val="2BD9582D"/>
    <w:rsid w:val="2BE1F07B"/>
    <w:rsid w:val="2BEC6BB5"/>
    <w:rsid w:val="2C0DDDB5"/>
    <w:rsid w:val="2C28FBB8"/>
    <w:rsid w:val="2C5437C0"/>
    <w:rsid w:val="2C5F901C"/>
    <w:rsid w:val="2C66DD95"/>
    <w:rsid w:val="2CA363A1"/>
    <w:rsid w:val="2D08D92F"/>
    <w:rsid w:val="2D228038"/>
    <w:rsid w:val="2D33A6F6"/>
    <w:rsid w:val="2D47A7DF"/>
    <w:rsid w:val="2D50D7F0"/>
    <w:rsid w:val="2D576FA4"/>
    <w:rsid w:val="2D85E93B"/>
    <w:rsid w:val="2D8CB269"/>
    <w:rsid w:val="2DC9832E"/>
    <w:rsid w:val="2DCF0F0A"/>
    <w:rsid w:val="2E24B6AE"/>
    <w:rsid w:val="2E26354F"/>
    <w:rsid w:val="2E3269C9"/>
    <w:rsid w:val="2E362A87"/>
    <w:rsid w:val="2E444078"/>
    <w:rsid w:val="2E5CD05B"/>
    <w:rsid w:val="2E8E90FF"/>
    <w:rsid w:val="2E94CF69"/>
    <w:rsid w:val="2E9D682C"/>
    <w:rsid w:val="2EA9E683"/>
    <w:rsid w:val="2EB94425"/>
    <w:rsid w:val="2EC7ADA4"/>
    <w:rsid w:val="2ECFCD71"/>
    <w:rsid w:val="2F055F30"/>
    <w:rsid w:val="2F0A332A"/>
    <w:rsid w:val="2F3FB2E9"/>
    <w:rsid w:val="2F4D1433"/>
    <w:rsid w:val="2F73E38B"/>
    <w:rsid w:val="2F7B7BB0"/>
    <w:rsid w:val="30098BC8"/>
    <w:rsid w:val="300993F5"/>
    <w:rsid w:val="304F9CD2"/>
    <w:rsid w:val="3059448E"/>
    <w:rsid w:val="3064BE1C"/>
    <w:rsid w:val="30B07D9E"/>
    <w:rsid w:val="30B53E0E"/>
    <w:rsid w:val="30DB834A"/>
    <w:rsid w:val="30EEF514"/>
    <w:rsid w:val="31146EF0"/>
    <w:rsid w:val="311DE72A"/>
    <w:rsid w:val="3138193B"/>
    <w:rsid w:val="3157A331"/>
    <w:rsid w:val="315CB070"/>
    <w:rsid w:val="317746C9"/>
    <w:rsid w:val="31EB6D33"/>
    <w:rsid w:val="31F64C19"/>
    <w:rsid w:val="31F7F993"/>
    <w:rsid w:val="32385242"/>
    <w:rsid w:val="32507249"/>
    <w:rsid w:val="32C99E0C"/>
    <w:rsid w:val="3310D879"/>
    <w:rsid w:val="333E89A7"/>
    <w:rsid w:val="334026D0"/>
    <w:rsid w:val="33436D15"/>
    <w:rsid w:val="334B26A8"/>
    <w:rsid w:val="33652849"/>
    <w:rsid w:val="339B9649"/>
    <w:rsid w:val="33A664D6"/>
    <w:rsid w:val="33BC8D43"/>
    <w:rsid w:val="33E50C44"/>
    <w:rsid w:val="342D529A"/>
    <w:rsid w:val="347BE6D7"/>
    <w:rsid w:val="34993EA6"/>
    <w:rsid w:val="34C89E53"/>
    <w:rsid w:val="34D1DD6E"/>
    <w:rsid w:val="34E686CF"/>
    <w:rsid w:val="3505179B"/>
    <w:rsid w:val="35226B45"/>
    <w:rsid w:val="35337C35"/>
    <w:rsid w:val="3558A70C"/>
    <w:rsid w:val="35892C25"/>
    <w:rsid w:val="35A034B6"/>
    <w:rsid w:val="35A129FC"/>
    <w:rsid w:val="35DD74AF"/>
    <w:rsid w:val="36062E36"/>
    <w:rsid w:val="361A672B"/>
    <w:rsid w:val="3621D2BA"/>
    <w:rsid w:val="3636B899"/>
    <w:rsid w:val="366440A3"/>
    <w:rsid w:val="3695456B"/>
    <w:rsid w:val="369A126D"/>
    <w:rsid w:val="36AA1A89"/>
    <w:rsid w:val="36B139C2"/>
    <w:rsid w:val="36BBD39A"/>
    <w:rsid w:val="36CD74BB"/>
    <w:rsid w:val="36CDCFD8"/>
    <w:rsid w:val="3713316B"/>
    <w:rsid w:val="3732B45A"/>
    <w:rsid w:val="37408647"/>
    <w:rsid w:val="37C25321"/>
    <w:rsid w:val="37C530E4"/>
    <w:rsid w:val="37CB8B9E"/>
    <w:rsid w:val="37CD1795"/>
    <w:rsid w:val="37E38FA3"/>
    <w:rsid w:val="3833AA9F"/>
    <w:rsid w:val="3839B6D1"/>
    <w:rsid w:val="384F59E2"/>
    <w:rsid w:val="386EEB26"/>
    <w:rsid w:val="387635B6"/>
    <w:rsid w:val="38842AD2"/>
    <w:rsid w:val="38A74B26"/>
    <w:rsid w:val="38BD940D"/>
    <w:rsid w:val="38D08968"/>
    <w:rsid w:val="38D0D7F9"/>
    <w:rsid w:val="38D80857"/>
    <w:rsid w:val="38E0BF08"/>
    <w:rsid w:val="38E2F84B"/>
    <w:rsid w:val="39935D62"/>
    <w:rsid w:val="39B69D5C"/>
    <w:rsid w:val="39B87957"/>
    <w:rsid w:val="39DF2941"/>
    <w:rsid w:val="3A033AF3"/>
    <w:rsid w:val="3A2F4D39"/>
    <w:rsid w:val="3A45CAE0"/>
    <w:rsid w:val="3AB021C8"/>
    <w:rsid w:val="3AC329CB"/>
    <w:rsid w:val="3AF26F3C"/>
    <w:rsid w:val="3B028AEA"/>
    <w:rsid w:val="3B04B857"/>
    <w:rsid w:val="3B20FB9D"/>
    <w:rsid w:val="3B29D614"/>
    <w:rsid w:val="3B2AB482"/>
    <w:rsid w:val="3B3CF16F"/>
    <w:rsid w:val="3B715793"/>
    <w:rsid w:val="3B8389CD"/>
    <w:rsid w:val="3B838E3E"/>
    <w:rsid w:val="3B8D638B"/>
    <w:rsid w:val="3BA13EA3"/>
    <w:rsid w:val="3BAC7E8D"/>
    <w:rsid w:val="3BC77AC8"/>
    <w:rsid w:val="3BC872E4"/>
    <w:rsid w:val="3BCB0E2D"/>
    <w:rsid w:val="3BD36A53"/>
    <w:rsid w:val="3BEFAD91"/>
    <w:rsid w:val="3C040341"/>
    <w:rsid w:val="3C3D5388"/>
    <w:rsid w:val="3C9FB5D3"/>
    <w:rsid w:val="3CC4AEF4"/>
    <w:rsid w:val="3CDBD3E9"/>
    <w:rsid w:val="3D32A7CE"/>
    <w:rsid w:val="3D3E876E"/>
    <w:rsid w:val="3D5B1F94"/>
    <w:rsid w:val="3D97D5B9"/>
    <w:rsid w:val="3D9E8CF4"/>
    <w:rsid w:val="3DEDBF11"/>
    <w:rsid w:val="3E153ACD"/>
    <w:rsid w:val="3E30CA32"/>
    <w:rsid w:val="3E32F7A6"/>
    <w:rsid w:val="3E5A6442"/>
    <w:rsid w:val="3EAFC183"/>
    <w:rsid w:val="3ECEA6A0"/>
    <w:rsid w:val="3EF136D9"/>
    <w:rsid w:val="3F2B890B"/>
    <w:rsid w:val="3FA19C69"/>
    <w:rsid w:val="3FCB9F99"/>
    <w:rsid w:val="3FD69F8F"/>
    <w:rsid w:val="400947AB"/>
    <w:rsid w:val="402D6A54"/>
    <w:rsid w:val="4037AF63"/>
    <w:rsid w:val="404A01D7"/>
    <w:rsid w:val="40660CDE"/>
    <w:rsid w:val="4076D310"/>
    <w:rsid w:val="40949735"/>
    <w:rsid w:val="40E92D43"/>
    <w:rsid w:val="410CB760"/>
    <w:rsid w:val="41374A25"/>
    <w:rsid w:val="4151F074"/>
    <w:rsid w:val="415B36F1"/>
    <w:rsid w:val="415F4F79"/>
    <w:rsid w:val="4178AA94"/>
    <w:rsid w:val="41841380"/>
    <w:rsid w:val="418B1F30"/>
    <w:rsid w:val="419F4273"/>
    <w:rsid w:val="41BAC7A7"/>
    <w:rsid w:val="41C84DE2"/>
    <w:rsid w:val="41DB2B80"/>
    <w:rsid w:val="41FAF12E"/>
    <w:rsid w:val="41FCA50F"/>
    <w:rsid w:val="420738EB"/>
    <w:rsid w:val="42214480"/>
    <w:rsid w:val="4229E6BE"/>
    <w:rsid w:val="42481FD3"/>
    <w:rsid w:val="427FC4F0"/>
    <w:rsid w:val="428FAE68"/>
    <w:rsid w:val="429AA187"/>
    <w:rsid w:val="42DE5E3A"/>
    <w:rsid w:val="433EC1B1"/>
    <w:rsid w:val="4340D7A2"/>
    <w:rsid w:val="436E8C09"/>
    <w:rsid w:val="4388D665"/>
    <w:rsid w:val="438CECEB"/>
    <w:rsid w:val="438F1142"/>
    <w:rsid w:val="43BF7CFD"/>
    <w:rsid w:val="43CEFEF4"/>
    <w:rsid w:val="43EC9CAD"/>
    <w:rsid w:val="44092955"/>
    <w:rsid w:val="446CB56A"/>
    <w:rsid w:val="446E0332"/>
    <w:rsid w:val="44B27CDA"/>
    <w:rsid w:val="44C2BFF2"/>
    <w:rsid w:val="450DC610"/>
    <w:rsid w:val="4588D360"/>
    <w:rsid w:val="45C37977"/>
    <w:rsid w:val="45CD001B"/>
    <w:rsid w:val="45D6A861"/>
    <w:rsid w:val="45E21A46"/>
    <w:rsid w:val="45EF5A09"/>
    <w:rsid w:val="45F2D46F"/>
    <w:rsid w:val="460ABB48"/>
    <w:rsid w:val="461D7411"/>
    <w:rsid w:val="463BC8C5"/>
    <w:rsid w:val="466B4D8B"/>
    <w:rsid w:val="466E0F8C"/>
    <w:rsid w:val="46768D0A"/>
    <w:rsid w:val="46BAF94B"/>
    <w:rsid w:val="46D54A21"/>
    <w:rsid w:val="46D604B4"/>
    <w:rsid w:val="46F7D239"/>
    <w:rsid w:val="4753A977"/>
    <w:rsid w:val="477D69F9"/>
    <w:rsid w:val="478A849F"/>
    <w:rsid w:val="47904BC0"/>
    <w:rsid w:val="479C996A"/>
    <w:rsid w:val="47A6E78A"/>
    <w:rsid w:val="47AB2AF8"/>
    <w:rsid w:val="4811ACDA"/>
    <w:rsid w:val="48166530"/>
    <w:rsid w:val="48231084"/>
    <w:rsid w:val="482AC9A4"/>
    <w:rsid w:val="4836C7E3"/>
    <w:rsid w:val="4845FA19"/>
    <w:rsid w:val="484AE5EB"/>
    <w:rsid w:val="488C720E"/>
    <w:rsid w:val="48E13F9B"/>
    <w:rsid w:val="48E84B61"/>
    <w:rsid w:val="48ED0C8A"/>
    <w:rsid w:val="48FD8247"/>
    <w:rsid w:val="490C1BB6"/>
    <w:rsid w:val="4961F089"/>
    <w:rsid w:val="497B18E6"/>
    <w:rsid w:val="497C34D2"/>
    <w:rsid w:val="497C7244"/>
    <w:rsid w:val="497F2327"/>
    <w:rsid w:val="498448F7"/>
    <w:rsid w:val="49E1D8F9"/>
    <w:rsid w:val="4A66EE53"/>
    <w:rsid w:val="4A75219F"/>
    <w:rsid w:val="4A7A870A"/>
    <w:rsid w:val="4A9F796A"/>
    <w:rsid w:val="4AB53933"/>
    <w:rsid w:val="4AF06BE5"/>
    <w:rsid w:val="4AF426DB"/>
    <w:rsid w:val="4B06F0FB"/>
    <w:rsid w:val="4B31726A"/>
    <w:rsid w:val="4B3EBEAE"/>
    <w:rsid w:val="4B5C32B8"/>
    <w:rsid w:val="4B725B39"/>
    <w:rsid w:val="4B8E8340"/>
    <w:rsid w:val="4BB4C186"/>
    <w:rsid w:val="4BE9FA64"/>
    <w:rsid w:val="4C18E05D"/>
    <w:rsid w:val="4C1E9DDE"/>
    <w:rsid w:val="4C202A2B"/>
    <w:rsid w:val="4C657C1F"/>
    <w:rsid w:val="4D0A2361"/>
    <w:rsid w:val="4DC6C681"/>
    <w:rsid w:val="4E1C72E8"/>
    <w:rsid w:val="4E1C9D5C"/>
    <w:rsid w:val="4E65AACE"/>
    <w:rsid w:val="4E8A97B5"/>
    <w:rsid w:val="4E972C63"/>
    <w:rsid w:val="4F1550DD"/>
    <w:rsid w:val="4F186D17"/>
    <w:rsid w:val="4F199D2C"/>
    <w:rsid w:val="4F40D66C"/>
    <w:rsid w:val="4F71FAAE"/>
    <w:rsid w:val="4F7B9D01"/>
    <w:rsid w:val="4F7D5AD8"/>
    <w:rsid w:val="4F965748"/>
    <w:rsid w:val="4FB0E154"/>
    <w:rsid w:val="4FC586DC"/>
    <w:rsid w:val="4FCAA0AD"/>
    <w:rsid w:val="4FDD126D"/>
    <w:rsid w:val="4FEA73E0"/>
    <w:rsid w:val="50141FA3"/>
    <w:rsid w:val="5056A9B3"/>
    <w:rsid w:val="5076A5B5"/>
    <w:rsid w:val="508CE8B7"/>
    <w:rsid w:val="509AA864"/>
    <w:rsid w:val="50BA0019"/>
    <w:rsid w:val="50E7D050"/>
    <w:rsid w:val="50EBE857"/>
    <w:rsid w:val="5114C6DB"/>
    <w:rsid w:val="517D60C9"/>
    <w:rsid w:val="5196EDF7"/>
    <w:rsid w:val="52628CB2"/>
    <w:rsid w:val="52998D0A"/>
    <w:rsid w:val="52B8ED61"/>
    <w:rsid w:val="53002B4D"/>
    <w:rsid w:val="530C38CA"/>
    <w:rsid w:val="534A0D51"/>
    <w:rsid w:val="53C3D8E6"/>
    <w:rsid w:val="5407A0E5"/>
    <w:rsid w:val="54302907"/>
    <w:rsid w:val="5471F8C8"/>
    <w:rsid w:val="547F9408"/>
    <w:rsid w:val="5498F7FF"/>
    <w:rsid w:val="54A5073D"/>
    <w:rsid w:val="54B5665C"/>
    <w:rsid w:val="54C527A2"/>
    <w:rsid w:val="54E3F74B"/>
    <w:rsid w:val="550FC7AF"/>
    <w:rsid w:val="553434C4"/>
    <w:rsid w:val="553892F2"/>
    <w:rsid w:val="553A8EDD"/>
    <w:rsid w:val="554CF6ED"/>
    <w:rsid w:val="554FD776"/>
    <w:rsid w:val="555BBC97"/>
    <w:rsid w:val="558F49DD"/>
    <w:rsid w:val="55B18E80"/>
    <w:rsid w:val="55BA6426"/>
    <w:rsid w:val="55C114BF"/>
    <w:rsid w:val="560BBD1B"/>
    <w:rsid w:val="5655E4E8"/>
    <w:rsid w:val="5676C95D"/>
    <w:rsid w:val="56A050D9"/>
    <w:rsid w:val="56A9F0AF"/>
    <w:rsid w:val="56BC3C3A"/>
    <w:rsid w:val="56D4FF25"/>
    <w:rsid w:val="56E392CF"/>
    <w:rsid w:val="571FA932"/>
    <w:rsid w:val="574016E4"/>
    <w:rsid w:val="574E382D"/>
    <w:rsid w:val="575302C1"/>
    <w:rsid w:val="579C7FA2"/>
    <w:rsid w:val="57E25951"/>
    <w:rsid w:val="58086E22"/>
    <w:rsid w:val="58140A3B"/>
    <w:rsid w:val="582B64B3"/>
    <w:rsid w:val="582E8A7E"/>
    <w:rsid w:val="58447DBA"/>
    <w:rsid w:val="5858D447"/>
    <w:rsid w:val="5863D2A6"/>
    <w:rsid w:val="586EBA43"/>
    <w:rsid w:val="587752BF"/>
    <w:rsid w:val="58974A09"/>
    <w:rsid w:val="58BD8E9A"/>
    <w:rsid w:val="59175BC5"/>
    <w:rsid w:val="591C73F0"/>
    <w:rsid w:val="595018FD"/>
    <w:rsid w:val="59B03121"/>
    <w:rsid w:val="59D1FDFB"/>
    <w:rsid w:val="59FCDA16"/>
    <w:rsid w:val="5A076904"/>
    <w:rsid w:val="5A1580FC"/>
    <w:rsid w:val="5A36B1DD"/>
    <w:rsid w:val="5AA574BF"/>
    <w:rsid w:val="5AAD5EF1"/>
    <w:rsid w:val="5AD27A95"/>
    <w:rsid w:val="5AFB2064"/>
    <w:rsid w:val="5B1AC3C4"/>
    <w:rsid w:val="5B348907"/>
    <w:rsid w:val="5B5F7166"/>
    <w:rsid w:val="5C0FBDB9"/>
    <w:rsid w:val="5C1AA0EA"/>
    <w:rsid w:val="5C384C03"/>
    <w:rsid w:val="5CA11F29"/>
    <w:rsid w:val="5CAAC6E5"/>
    <w:rsid w:val="5CDCBF07"/>
    <w:rsid w:val="5D6553E9"/>
    <w:rsid w:val="5D8968C1"/>
    <w:rsid w:val="5DC83892"/>
    <w:rsid w:val="5DE9A6EA"/>
    <w:rsid w:val="5E0A2E81"/>
    <w:rsid w:val="5E0FE022"/>
    <w:rsid w:val="5E562B27"/>
    <w:rsid w:val="5E5C9C16"/>
    <w:rsid w:val="5E89FEE5"/>
    <w:rsid w:val="5EF08AA9"/>
    <w:rsid w:val="5F27D193"/>
    <w:rsid w:val="5F3448C0"/>
    <w:rsid w:val="5F40C8FC"/>
    <w:rsid w:val="5F736174"/>
    <w:rsid w:val="5F98CC7E"/>
    <w:rsid w:val="5FC2DEA3"/>
    <w:rsid w:val="5FC75E31"/>
    <w:rsid w:val="5FDD1F20"/>
    <w:rsid w:val="5FE267A7"/>
    <w:rsid w:val="5FFF65F5"/>
    <w:rsid w:val="6033E7C7"/>
    <w:rsid w:val="605B94DF"/>
    <w:rsid w:val="605D822B"/>
    <w:rsid w:val="6071E497"/>
    <w:rsid w:val="607F4430"/>
    <w:rsid w:val="60996C9F"/>
    <w:rsid w:val="6099EB85"/>
    <w:rsid w:val="60A25BEE"/>
    <w:rsid w:val="60E02E39"/>
    <w:rsid w:val="60F44127"/>
    <w:rsid w:val="6105B032"/>
    <w:rsid w:val="610A3527"/>
    <w:rsid w:val="61266D4D"/>
    <w:rsid w:val="614954FA"/>
    <w:rsid w:val="6159D50E"/>
    <w:rsid w:val="6169091C"/>
    <w:rsid w:val="6188F347"/>
    <w:rsid w:val="6193E964"/>
    <w:rsid w:val="61A0736E"/>
    <w:rsid w:val="61D2689E"/>
    <w:rsid w:val="62BAB12A"/>
    <w:rsid w:val="630B74BF"/>
    <w:rsid w:val="630FF070"/>
    <w:rsid w:val="631129F4"/>
    <w:rsid w:val="6338EDBA"/>
    <w:rsid w:val="63580403"/>
    <w:rsid w:val="635D7008"/>
    <w:rsid w:val="63699DA8"/>
    <w:rsid w:val="63B62D3D"/>
    <w:rsid w:val="63C98C4C"/>
    <w:rsid w:val="63E72BA8"/>
    <w:rsid w:val="63E7845B"/>
    <w:rsid w:val="63F93A55"/>
    <w:rsid w:val="640D6AFC"/>
    <w:rsid w:val="6410769C"/>
    <w:rsid w:val="64295F5A"/>
    <w:rsid w:val="642DD1BB"/>
    <w:rsid w:val="643246D6"/>
    <w:rsid w:val="644F83C5"/>
    <w:rsid w:val="646A5B58"/>
    <w:rsid w:val="648B8196"/>
    <w:rsid w:val="64A31640"/>
    <w:rsid w:val="64CBE491"/>
    <w:rsid w:val="64DA66F3"/>
    <w:rsid w:val="6504195B"/>
    <w:rsid w:val="650C4D94"/>
    <w:rsid w:val="650E359F"/>
    <w:rsid w:val="651227B0"/>
    <w:rsid w:val="6516B8AF"/>
    <w:rsid w:val="651E8084"/>
    <w:rsid w:val="65477A43"/>
    <w:rsid w:val="659171DC"/>
    <w:rsid w:val="65CE29E6"/>
    <w:rsid w:val="66167E52"/>
    <w:rsid w:val="665D766B"/>
    <w:rsid w:val="666C87A8"/>
    <w:rsid w:val="66B59892"/>
    <w:rsid w:val="66BE74AE"/>
    <w:rsid w:val="66CF5365"/>
    <w:rsid w:val="66D4A5A2"/>
    <w:rsid w:val="66E3AD8C"/>
    <w:rsid w:val="674AABC7"/>
    <w:rsid w:val="676787BD"/>
    <w:rsid w:val="676CFD44"/>
    <w:rsid w:val="679172B8"/>
    <w:rsid w:val="67C06B72"/>
    <w:rsid w:val="67F506B2"/>
    <w:rsid w:val="67FD1487"/>
    <w:rsid w:val="681C1A2D"/>
    <w:rsid w:val="68449D94"/>
    <w:rsid w:val="68476D79"/>
    <w:rsid w:val="688FDD97"/>
    <w:rsid w:val="68E0B9B1"/>
    <w:rsid w:val="68F39764"/>
    <w:rsid w:val="6929BA63"/>
    <w:rsid w:val="6933A5A1"/>
    <w:rsid w:val="693E0ECA"/>
    <w:rsid w:val="695C93E6"/>
    <w:rsid w:val="698F6329"/>
    <w:rsid w:val="69A2BCCF"/>
    <w:rsid w:val="69A6F86E"/>
    <w:rsid w:val="69B0AEC6"/>
    <w:rsid w:val="69BAB504"/>
    <w:rsid w:val="69C9361A"/>
    <w:rsid w:val="69D85C0D"/>
    <w:rsid w:val="69DABE7B"/>
    <w:rsid w:val="69DCAF24"/>
    <w:rsid w:val="69E31DB3"/>
    <w:rsid w:val="6A01C309"/>
    <w:rsid w:val="6A256EC1"/>
    <w:rsid w:val="6A2F5489"/>
    <w:rsid w:val="6A38969F"/>
    <w:rsid w:val="6A72739D"/>
    <w:rsid w:val="6A7E440A"/>
    <w:rsid w:val="6A8B2B21"/>
    <w:rsid w:val="6A8D7577"/>
    <w:rsid w:val="6AC78BB7"/>
    <w:rsid w:val="6AF192B0"/>
    <w:rsid w:val="6B0158AE"/>
    <w:rsid w:val="6B08B5C5"/>
    <w:rsid w:val="6B0B9813"/>
    <w:rsid w:val="6B0DEE77"/>
    <w:rsid w:val="6B114FC1"/>
    <w:rsid w:val="6B37AF46"/>
    <w:rsid w:val="6B7F70F6"/>
    <w:rsid w:val="6BC486B7"/>
    <w:rsid w:val="6BCB3EDF"/>
    <w:rsid w:val="6BECFC1B"/>
    <w:rsid w:val="6C1E6D81"/>
    <w:rsid w:val="6C24AA81"/>
    <w:rsid w:val="6C26FB82"/>
    <w:rsid w:val="6C44E480"/>
    <w:rsid w:val="6C71D032"/>
    <w:rsid w:val="6C93D2AE"/>
    <w:rsid w:val="6CAFD4E8"/>
    <w:rsid w:val="6CCABFB1"/>
    <w:rsid w:val="6CEC7DFD"/>
    <w:rsid w:val="6D7B86DD"/>
    <w:rsid w:val="6D7C4060"/>
    <w:rsid w:val="6D994CA2"/>
    <w:rsid w:val="6DCC634A"/>
    <w:rsid w:val="6DDBF440"/>
    <w:rsid w:val="6E180D6E"/>
    <w:rsid w:val="6E18F311"/>
    <w:rsid w:val="6E44C338"/>
    <w:rsid w:val="6E50D276"/>
    <w:rsid w:val="6E5CBB10"/>
    <w:rsid w:val="6E87262C"/>
    <w:rsid w:val="6E9FCAC3"/>
    <w:rsid w:val="6EA2E40F"/>
    <w:rsid w:val="6EB061DB"/>
    <w:rsid w:val="6EBB2D77"/>
    <w:rsid w:val="6F3D5FC2"/>
    <w:rsid w:val="6F79FB94"/>
    <w:rsid w:val="6F8C38DF"/>
    <w:rsid w:val="6FCA8AA5"/>
    <w:rsid w:val="6FCE283D"/>
    <w:rsid w:val="6FE5139C"/>
    <w:rsid w:val="6FFE3FB8"/>
    <w:rsid w:val="70093AA3"/>
    <w:rsid w:val="700ACD9E"/>
    <w:rsid w:val="701E665A"/>
    <w:rsid w:val="703A4C23"/>
    <w:rsid w:val="704EE868"/>
    <w:rsid w:val="70644755"/>
    <w:rsid w:val="707F33AB"/>
    <w:rsid w:val="709A657F"/>
    <w:rsid w:val="70CF4A35"/>
    <w:rsid w:val="70FDAADB"/>
    <w:rsid w:val="712CC7E7"/>
    <w:rsid w:val="713F58FC"/>
    <w:rsid w:val="716F4ADB"/>
    <w:rsid w:val="718A6C82"/>
    <w:rsid w:val="718BBACD"/>
    <w:rsid w:val="7191F6F8"/>
    <w:rsid w:val="71945BD2"/>
    <w:rsid w:val="719BC68A"/>
    <w:rsid w:val="71A42474"/>
    <w:rsid w:val="71A69DFF"/>
    <w:rsid w:val="72B101DA"/>
    <w:rsid w:val="72BCCFE2"/>
    <w:rsid w:val="72BD2A34"/>
    <w:rsid w:val="72BF714A"/>
    <w:rsid w:val="72C54A6D"/>
    <w:rsid w:val="732696AB"/>
    <w:rsid w:val="732FBFEC"/>
    <w:rsid w:val="7334A2B8"/>
    <w:rsid w:val="7389FFF9"/>
    <w:rsid w:val="73970023"/>
    <w:rsid w:val="73A6EC8A"/>
    <w:rsid w:val="73ADD66D"/>
    <w:rsid w:val="73EE4568"/>
    <w:rsid w:val="7463F8B6"/>
    <w:rsid w:val="74733A9B"/>
    <w:rsid w:val="747F5F20"/>
    <w:rsid w:val="74A5C384"/>
    <w:rsid w:val="74D04C94"/>
    <w:rsid w:val="74D7FC9A"/>
    <w:rsid w:val="74F87843"/>
    <w:rsid w:val="7503C965"/>
    <w:rsid w:val="750C5B40"/>
    <w:rsid w:val="751D479B"/>
    <w:rsid w:val="75782A78"/>
    <w:rsid w:val="75E750C0"/>
    <w:rsid w:val="75EDA570"/>
    <w:rsid w:val="75F14B6F"/>
    <w:rsid w:val="765E6D3A"/>
    <w:rsid w:val="76637147"/>
    <w:rsid w:val="7664D61C"/>
    <w:rsid w:val="767ADBDA"/>
    <w:rsid w:val="76A0BAE5"/>
    <w:rsid w:val="76BFC357"/>
    <w:rsid w:val="76DEEC1A"/>
    <w:rsid w:val="772FAEC2"/>
    <w:rsid w:val="77421797"/>
    <w:rsid w:val="7764832A"/>
    <w:rsid w:val="77943A3D"/>
    <w:rsid w:val="77963E38"/>
    <w:rsid w:val="77AA8160"/>
    <w:rsid w:val="77AB735C"/>
    <w:rsid w:val="77AB8DC5"/>
    <w:rsid w:val="77B3B327"/>
    <w:rsid w:val="77BFD557"/>
    <w:rsid w:val="77C74BCC"/>
    <w:rsid w:val="77DE8C5F"/>
    <w:rsid w:val="77DFB1DE"/>
    <w:rsid w:val="77E73F14"/>
    <w:rsid w:val="77FFD7D0"/>
    <w:rsid w:val="78053557"/>
    <w:rsid w:val="7816B0D6"/>
    <w:rsid w:val="7829B504"/>
    <w:rsid w:val="782BD893"/>
    <w:rsid w:val="78384E73"/>
    <w:rsid w:val="78513A57"/>
    <w:rsid w:val="785470D1"/>
    <w:rsid w:val="78821B24"/>
    <w:rsid w:val="78881305"/>
    <w:rsid w:val="788BDC43"/>
    <w:rsid w:val="788E30A0"/>
    <w:rsid w:val="78A1CA42"/>
    <w:rsid w:val="78D3EC75"/>
    <w:rsid w:val="78F93B7F"/>
    <w:rsid w:val="78FE51E1"/>
    <w:rsid w:val="78FECB01"/>
    <w:rsid w:val="795378B4"/>
    <w:rsid w:val="79563821"/>
    <w:rsid w:val="796B60A0"/>
    <w:rsid w:val="797D6DA1"/>
    <w:rsid w:val="79960DFC"/>
    <w:rsid w:val="79A6ACFB"/>
    <w:rsid w:val="79AB71AB"/>
    <w:rsid w:val="79C4DC3B"/>
    <w:rsid w:val="79C5E0CE"/>
    <w:rsid w:val="79F2FE58"/>
    <w:rsid w:val="7A00B63A"/>
    <w:rsid w:val="7A2FA3CD"/>
    <w:rsid w:val="7A32BD9D"/>
    <w:rsid w:val="7A6E1FB3"/>
    <w:rsid w:val="7A94A7BA"/>
    <w:rsid w:val="7A9D5689"/>
    <w:rsid w:val="7AA92E44"/>
    <w:rsid w:val="7ADE4DBC"/>
    <w:rsid w:val="7AF69076"/>
    <w:rsid w:val="7B0858BC"/>
    <w:rsid w:val="7B300754"/>
    <w:rsid w:val="7B46C7E7"/>
    <w:rsid w:val="7B69EF6E"/>
    <w:rsid w:val="7B88DB19"/>
    <w:rsid w:val="7B961DAA"/>
    <w:rsid w:val="7BF85EE3"/>
    <w:rsid w:val="7C1EAD00"/>
    <w:rsid w:val="7C3526CF"/>
    <w:rsid w:val="7C3FC4D1"/>
    <w:rsid w:val="7C4D2B33"/>
    <w:rsid w:val="7C8DD8E3"/>
    <w:rsid w:val="7CC6AB35"/>
    <w:rsid w:val="7CE06C5C"/>
    <w:rsid w:val="7D039153"/>
    <w:rsid w:val="7D0EDB4A"/>
    <w:rsid w:val="7D61F876"/>
    <w:rsid w:val="7D6DE110"/>
    <w:rsid w:val="7D78A27A"/>
    <w:rsid w:val="7D8D2427"/>
    <w:rsid w:val="7D8ED7D7"/>
    <w:rsid w:val="7DD033A8"/>
    <w:rsid w:val="7DD97863"/>
    <w:rsid w:val="7E0125CC"/>
    <w:rsid w:val="7E646C05"/>
    <w:rsid w:val="7E65A6B9"/>
    <w:rsid w:val="7E674C7E"/>
    <w:rsid w:val="7E74E345"/>
    <w:rsid w:val="7E760CF6"/>
    <w:rsid w:val="7ECB5392"/>
    <w:rsid w:val="7EE0AFFE"/>
    <w:rsid w:val="7EF8769A"/>
    <w:rsid w:val="7EFC3857"/>
    <w:rsid w:val="7F12B192"/>
    <w:rsid w:val="7F1C14B0"/>
    <w:rsid w:val="7F3D30A0"/>
    <w:rsid w:val="7F51E461"/>
    <w:rsid w:val="7F843E1B"/>
    <w:rsid w:val="7F9B52EA"/>
    <w:rsid w:val="7FC0A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1CF1E"/>
  <w15:chartTrackingRefBased/>
  <w15:docId w15:val="{915D856B-1A12-419C-97CD-47C790FF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8C2"/>
    <w:pPr>
      <w:spacing w:after="200"/>
    </w:pPr>
    <w:rPr>
      <w:sz w:val="18"/>
    </w:rPr>
  </w:style>
  <w:style w:type="paragraph" w:styleId="Heading1">
    <w:name w:val="heading 1"/>
    <w:basedOn w:val="Normal"/>
    <w:next w:val="Normal"/>
    <w:link w:val="Heading1Char"/>
    <w:uiPriority w:val="9"/>
    <w:qFormat/>
    <w:rsid w:val="005A6436"/>
    <w:pPr>
      <w:keepNext/>
      <w:keepLines/>
      <w:numPr>
        <w:numId w:val="30"/>
      </w:numPr>
      <w:pBdr>
        <w:bottom w:val="single" w:sz="4" w:space="1" w:color="A6A6A6" w:themeColor="background1" w:themeShade="A6"/>
      </w:pBdr>
      <w:spacing w:before="480" w:after="120" w:line="276" w:lineRule="auto"/>
      <w:ind w:left="431" w:hanging="431"/>
      <w:outlineLvl w:val="0"/>
    </w:pPr>
    <w:rPr>
      <w:rFonts w:asciiTheme="majorHAnsi" w:eastAsiaTheme="majorEastAsia" w:hAnsiTheme="majorHAnsi" w:cstheme="majorBidi"/>
      <w:bCs/>
      <w:color w:val="2E74B5" w:themeColor="accent1" w:themeShade="BF"/>
      <w:sz w:val="28"/>
      <w:szCs w:val="28"/>
    </w:rPr>
  </w:style>
  <w:style w:type="paragraph" w:styleId="Heading2">
    <w:name w:val="heading 2"/>
    <w:basedOn w:val="Normal"/>
    <w:next w:val="Normal"/>
    <w:link w:val="Heading2Char"/>
    <w:uiPriority w:val="9"/>
    <w:unhideWhenUsed/>
    <w:qFormat/>
    <w:rsid w:val="005A6436"/>
    <w:pPr>
      <w:keepNext/>
      <w:keepLines/>
      <w:numPr>
        <w:ilvl w:val="1"/>
        <w:numId w:val="30"/>
      </w:numPr>
      <w:spacing w:before="200" w:after="0" w:line="276" w:lineRule="auto"/>
      <w:outlineLvl w:val="1"/>
    </w:pPr>
    <w:rPr>
      <w:rFonts w:asciiTheme="majorHAnsi" w:eastAsiaTheme="majorEastAsia" w:hAnsiTheme="majorHAnsi" w:cstheme="majorBidi"/>
      <w:bCs/>
      <w:color w:val="2E74B5" w:themeColor="accent1" w:themeShade="BF"/>
      <w:sz w:val="26"/>
      <w:szCs w:val="26"/>
    </w:rPr>
  </w:style>
  <w:style w:type="paragraph" w:styleId="Heading3">
    <w:name w:val="heading 3"/>
    <w:basedOn w:val="Normal"/>
    <w:next w:val="Normal"/>
    <w:link w:val="Heading3Char"/>
    <w:uiPriority w:val="9"/>
    <w:unhideWhenUsed/>
    <w:qFormat/>
    <w:rsid w:val="005A6436"/>
    <w:pPr>
      <w:keepNext/>
      <w:keepLines/>
      <w:numPr>
        <w:ilvl w:val="2"/>
        <w:numId w:val="30"/>
      </w:numPr>
      <w:spacing w:before="200" w:after="0" w:line="276" w:lineRule="auto"/>
      <w:outlineLvl w:val="2"/>
    </w:pPr>
    <w:rPr>
      <w:rFonts w:asciiTheme="majorHAnsi" w:eastAsiaTheme="majorEastAsia" w:hAnsiTheme="majorHAnsi" w:cstheme="majorBidi"/>
      <w:bCs/>
      <w:color w:val="2E74B5" w:themeColor="accent1" w:themeShade="BF"/>
      <w:sz w:val="22"/>
    </w:rPr>
  </w:style>
  <w:style w:type="paragraph" w:styleId="Heading4">
    <w:name w:val="heading 4"/>
    <w:basedOn w:val="Normal"/>
    <w:next w:val="Normal"/>
    <w:link w:val="Heading4Char"/>
    <w:uiPriority w:val="9"/>
    <w:semiHidden/>
    <w:unhideWhenUsed/>
    <w:qFormat/>
    <w:rsid w:val="005A6436"/>
    <w:pPr>
      <w:keepNext/>
      <w:keepLines/>
      <w:numPr>
        <w:ilvl w:val="3"/>
        <w:numId w:val="30"/>
      </w:numPr>
      <w:spacing w:before="200" w:after="0" w:line="276" w:lineRule="auto"/>
      <w:ind w:left="862" w:hanging="862"/>
      <w:outlineLvl w:val="3"/>
    </w:pPr>
    <w:rPr>
      <w:rFonts w:asciiTheme="majorHAnsi" w:eastAsiaTheme="majorEastAsia" w:hAnsiTheme="majorHAnsi" w:cstheme="majorBidi"/>
      <w:bCs/>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08C2"/>
    <w:pPr>
      <w:ind w:left="720"/>
      <w:contextualSpacing/>
    </w:pPr>
  </w:style>
  <w:style w:type="character" w:customStyle="1" w:styleId="ListParagraphChar">
    <w:name w:val="List Paragraph Char"/>
    <w:basedOn w:val="DefaultParagraphFont"/>
    <w:link w:val="ListParagraph"/>
    <w:uiPriority w:val="34"/>
    <w:rsid w:val="002908C2"/>
    <w:rPr>
      <w:sz w:val="18"/>
    </w:rPr>
  </w:style>
  <w:style w:type="paragraph" w:styleId="ListBullet">
    <w:name w:val="List Bullet"/>
    <w:basedOn w:val="Normal"/>
    <w:uiPriority w:val="99"/>
    <w:unhideWhenUsed/>
    <w:rsid w:val="00432A4C"/>
    <w:pPr>
      <w:numPr>
        <w:numId w:val="19"/>
      </w:numPr>
      <w:contextualSpacing/>
    </w:pPr>
  </w:style>
  <w:style w:type="paragraph" w:customStyle="1" w:styleId="paragraph">
    <w:name w:val="paragraph"/>
    <w:basedOn w:val="Normal"/>
    <w:rsid w:val="00B334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334CD"/>
  </w:style>
  <w:style w:type="character" w:customStyle="1" w:styleId="eop">
    <w:name w:val="eop"/>
    <w:basedOn w:val="DefaultParagraphFont"/>
    <w:rsid w:val="00B334CD"/>
  </w:style>
  <w:style w:type="table" w:styleId="TableGrid">
    <w:name w:val="Table Grid"/>
    <w:basedOn w:val="TableNormal"/>
    <w:uiPriority w:val="59"/>
    <w:rsid w:val="00D8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7155"/>
    <w:rPr>
      <w:sz w:val="16"/>
      <w:szCs w:val="16"/>
    </w:rPr>
  </w:style>
  <w:style w:type="paragraph" w:styleId="CommentText">
    <w:name w:val="annotation text"/>
    <w:basedOn w:val="Normal"/>
    <w:link w:val="CommentTextChar"/>
    <w:uiPriority w:val="99"/>
    <w:unhideWhenUsed/>
    <w:rsid w:val="00D87155"/>
    <w:pPr>
      <w:spacing w:line="240" w:lineRule="auto"/>
    </w:pPr>
    <w:rPr>
      <w:sz w:val="20"/>
      <w:szCs w:val="20"/>
    </w:rPr>
  </w:style>
  <w:style w:type="character" w:customStyle="1" w:styleId="CommentTextChar">
    <w:name w:val="Comment Text Char"/>
    <w:basedOn w:val="DefaultParagraphFont"/>
    <w:link w:val="CommentText"/>
    <w:uiPriority w:val="99"/>
    <w:rsid w:val="00D87155"/>
    <w:rPr>
      <w:sz w:val="20"/>
      <w:szCs w:val="20"/>
    </w:rPr>
  </w:style>
  <w:style w:type="table" w:styleId="GridTable4-Accent3">
    <w:name w:val="Grid Table 4 Accent 3"/>
    <w:basedOn w:val="TableNormal"/>
    <w:uiPriority w:val="49"/>
    <w:rsid w:val="005A64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Number">
    <w:name w:val="List Number"/>
    <w:basedOn w:val="Normal"/>
    <w:uiPriority w:val="99"/>
    <w:unhideWhenUsed/>
    <w:rsid w:val="005A6436"/>
    <w:pPr>
      <w:numPr>
        <w:numId w:val="28"/>
      </w:numPr>
      <w:contextualSpacing/>
    </w:pPr>
  </w:style>
  <w:style w:type="character" w:customStyle="1" w:styleId="Heading1Char">
    <w:name w:val="Heading 1 Char"/>
    <w:basedOn w:val="DefaultParagraphFont"/>
    <w:link w:val="Heading1"/>
    <w:uiPriority w:val="9"/>
    <w:rsid w:val="005A6436"/>
    <w:rPr>
      <w:rFonts w:asciiTheme="majorHAnsi" w:eastAsiaTheme="majorEastAsia" w:hAnsiTheme="majorHAnsi" w:cstheme="majorBidi"/>
      <w:bCs/>
      <w:color w:val="2E74B5" w:themeColor="accent1" w:themeShade="BF"/>
      <w:sz w:val="28"/>
      <w:szCs w:val="28"/>
    </w:rPr>
  </w:style>
  <w:style w:type="character" w:customStyle="1" w:styleId="Heading2Char">
    <w:name w:val="Heading 2 Char"/>
    <w:basedOn w:val="DefaultParagraphFont"/>
    <w:link w:val="Heading2"/>
    <w:uiPriority w:val="9"/>
    <w:rsid w:val="005A6436"/>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rsid w:val="005A6436"/>
    <w:rPr>
      <w:rFonts w:asciiTheme="majorHAnsi" w:eastAsiaTheme="majorEastAsia" w:hAnsiTheme="majorHAnsi" w:cstheme="majorBidi"/>
      <w:bCs/>
      <w:color w:val="2E74B5" w:themeColor="accent1" w:themeShade="BF"/>
    </w:rPr>
  </w:style>
  <w:style w:type="character" w:customStyle="1" w:styleId="Heading4Char">
    <w:name w:val="Heading 4 Char"/>
    <w:basedOn w:val="DefaultParagraphFont"/>
    <w:link w:val="Heading4"/>
    <w:uiPriority w:val="9"/>
    <w:semiHidden/>
    <w:rsid w:val="005A6436"/>
    <w:rPr>
      <w:rFonts w:asciiTheme="majorHAnsi" w:eastAsiaTheme="majorEastAsia" w:hAnsiTheme="majorHAnsi" w:cstheme="majorBidi"/>
      <w:bCs/>
      <w:iCs/>
      <w:color w:val="2E74B5" w:themeColor="accent1" w:themeShade="BF"/>
      <w:sz w:val="18"/>
    </w:rPr>
  </w:style>
  <w:style w:type="paragraph" w:styleId="CommentSubject">
    <w:name w:val="annotation subject"/>
    <w:basedOn w:val="CommentText"/>
    <w:next w:val="CommentText"/>
    <w:link w:val="CommentSubjectChar"/>
    <w:uiPriority w:val="99"/>
    <w:semiHidden/>
    <w:unhideWhenUsed/>
    <w:rsid w:val="0009525F"/>
    <w:rPr>
      <w:b/>
      <w:bCs/>
    </w:rPr>
  </w:style>
  <w:style w:type="character" w:customStyle="1" w:styleId="CommentSubjectChar">
    <w:name w:val="Comment Subject Char"/>
    <w:basedOn w:val="CommentTextChar"/>
    <w:link w:val="CommentSubject"/>
    <w:uiPriority w:val="99"/>
    <w:semiHidden/>
    <w:rsid w:val="0009525F"/>
    <w:rPr>
      <w:b/>
      <w:bCs/>
      <w:sz w:val="20"/>
      <w:szCs w:val="20"/>
    </w:rPr>
  </w:style>
  <w:style w:type="paragraph" w:styleId="Revision">
    <w:name w:val="Revision"/>
    <w:hidden/>
    <w:uiPriority w:val="99"/>
    <w:semiHidden/>
    <w:rsid w:val="0009525F"/>
    <w:pPr>
      <w:spacing w:after="0" w:line="240" w:lineRule="auto"/>
    </w:pPr>
    <w:rPr>
      <w:sz w:val="18"/>
    </w:rPr>
  </w:style>
  <w:style w:type="paragraph" w:styleId="BalloonText">
    <w:name w:val="Balloon Text"/>
    <w:basedOn w:val="Normal"/>
    <w:link w:val="BalloonTextChar"/>
    <w:uiPriority w:val="99"/>
    <w:semiHidden/>
    <w:unhideWhenUsed/>
    <w:rsid w:val="0009525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9525F"/>
    <w:rPr>
      <w:rFonts w:ascii="Segoe UI" w:hAnsi="Segoe UI" w:cs="Segoe UI"/>
      <w:sz w:val="18"/>
      <w:szCs w:val="18"/>
    </w:rPr>
  </w:style>
  <w:style w:type="character" w:styleId="Hyperlink">
    <w:name w:val="Hyperlink"/>
    <w:basedOn w:val="DefaultParagraphFont"/>
    <w:uiPriority w:val="99"/>
    <w:unhideWhenUsed/>
    <w:rsid w:val="001A16BA"/>
    <w:rPr>
      <w:color w:val="0563C1"/>
      <w:u w:val="single"/>
    </w:rPr>
  </w:style>
  <w:style w:type="character" w:customStyle="1"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A3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59A"/>
    <w:rPr>
      <w:sz w:val="18"/>
    </w:rPr>
  </w:style>
  <w:style w:type="paragraph" w:styleId="Footer">
    <w:name w:val="footer"/>
    <w:basedOn w:val="Normal"/>
    <w:link w:val="FooterChar"/>
    <w:uiPriority w:val="99"/>
    <w:unhideWhenUsed/>
    <w:rsid w:val="001A3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59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3215">
      <w:bodyDiv w:val="1"/>
      <w:marLeft w:val="0"/>
      <w:marRight w:val="0"/>
      <w:marTop w:val="0"/>
      <w:marBottom w:val="0"/>
      <w:divBdr>
        <w:top w:val="none" w:sz="0" w:space="0" w:color="auto"/>
        <w:left w:val="none" w:sz="0" w:space="0" w:color="auto"/>
        <w:bottom w:val="none" w:sz="0" w:space="0" w:color="auto"/>
        <w:right w:val="none" w:sz="0" w:space="0" w:color="auto"/>
      </w:divBdr>
      <w:divsChild>
        <w:div w:id="1080055448">
          <w:marLeft w:val="0"/>
          <w:marRight w:val="0"/>
          <w:marTop w:val="0"/>
          <w:marBottom w:val="0"/>
          <w:divBdr>
            <w:top w:val="none" w:sz="0" w:space="0" w:color="auto"/>
            <w:left w:val="none" w:sz="0" w:space="0" w:color="auto"/>
            <w:bottom w:val="none" w:sz="0" w:space="0" w:color="auto"/>
            <w:right w:val="none" w:sz="0" w:space="0" w:color="auto"/>
          </w:divBdr>
          <w:divsChild>
            <w:div w:id="1785540359">
              <w:marLeft w:val="0"/>
              <w:marRight w:val="0"/>
              <w:marTop w:val="0"/>
              <w:marBottom w:val="0"/>
              <w:divBdr>
                <w:top w:val="none" w:sz="0" w:space="0" w:color="auto"/>
                <w:left w:val="none" w:sz="0" w:space="0" w:color="auto"/>
                <w:bottom w:val="none" w:sz="0" w:space="0" w:color="auto"/>
                <w:right w:val="none" w:sz="0" w:space="0" w:color="auto"/>
              </w:divBdr>
            </w:div>
          </w:divsChild>
        </w:div>
        <w:div w:id="960067430">
          <w:marLeft w:val="0"/>
          <w:marRight w:val="0"/>
          <w:marTop w:val="0"/>
          <w:marBottom w:val="0"/>
          <w:divBdr>
            <w:top w:val="none" w:sz="0" w:space="0" w:color="auto"/>
            <w:left w:val="none" w:sz="0" w:space="0" w:color="auto"/>
            <w:bottom w:val="none" w:sz="0" w:space="0" w:color="auto"/>
            <w:right w:val="none" w:sz="0" w:space="0" w:color="auto"/>
          </w:divBdr>
          <w:divsChild>
            <w:div w:id="962880084">
              <w:marLeft w:val="0"/>
              <w:marRight w:val="0"/>
              <w:marTop w:val="0"/>
              <w:marBottom w:val="0"/>
              <w:divBdr>
                <w:top w:val="none" w:sz="0" w:space="0" w:color="auto"/>
                <w:left w:val="none" w:sz="0" w:space="0" w:color="auto"/>
                <w:bottom w:val="none" w:sz="0" w:space="0" w:color="auto"/>
                <w:right w:val="none" w:sz="0" w:space="0" w:color="auto"/>
              </w:divBdr>
            </w:div>
            <w:div w:id="1347832065">
              <w:marLeft w:val="0"/>
              <w:marRight w:val="0"/>
              <w:marTop w:val="0"/>
              <w:marBottom w:val="0"/>
              <w:divBdr>
                <w:top w:val="none" w:sz="0" w:space="0" w:color="auto"/>
                <w:left w:val="none" w:sz="0" w:space="0" w:color="auto"/>
                <w:bottom w:val="none" w:sz="0" w:space="0" w:color="auto"/>
                <w:right w:val="none" w:sz="0" w:space="0" w:color="auto"/>
              </w:divBdr>
            </w:div>
          </w:divsChild>
        </w:div>
        <w:div w:id="1945263240">
          <w:marLeft w:val="0"/>
          <w:marRight w:val="0"/>
          <w:marTop w:val="0"/>
          <w:marBottom w:val="0"/>
          <w:divBdr>
            <w:top w:val="none" w:sz="0" w:space="0" w:color="auto"/>
            <w:left w:val="none" w:sz="0" w:space="0" w:color="auto"/>
            <w:bottom w:val="none" w:sz="0" w:space="0" w:color="auto"/>
            <w:right w:val="none" w:sz="0" w:space="0" w:color="auto"/>
          </w:divBdr>
          <w:divsChild>
            <w:div w:id="1091661294">
              <w:marLeft w:val="0"/>
              <w:marRight w:val="0"/>
              <w:marTop w:val="0"/>
              <w:marBottom w:val="0"/>
              <w:divBdr>
                <w:top w:val="none" w:sz="0" w:space="0" w:color="auto"/>
                <w:left w:val="none" w:sz="0" w:space="0" w:color="auto"/>
                <w:bottom w:val="none" w:sz="0" w:space="0" w:color="auto"/>
                <w:right w:val="none" w:sz="0" w:space="0" w:color="auto"/>
              </w:divBdr>
            </w:div>
          </w:divsChild>
        </w:div>
        <w:div w:id="1147477543">
          <w:marLeft w:val="0"/>
          <w:marRight w:val="0"/>
          <w:marTop w:val="0"/>
          <w:marBottom w:val="0"/>
          <w:divBdr>
            <w:top w:val="none" w:sz="0" w:space="0" w:color="auto"/>
            <w:left w:val="none" w:sz="0" w:space="0" w:color="auto"/>
            <w:bottom w:val="none" w:sz="0" w:space="0" w:color="auto"/>
            <w:right w:val="none" w:sz="0" w:space="0" w:color="auto"/>
          </w:divBdr>
          <w:divsChild>
            <w:div w:id="1589734232">
              <w:marLeft w:val="0"/>
              <w:marRight w:val="0"/>
              <w:marTop w:val="0"/>
              <w:marBottom w:val="0"/>
              <w:divBdr>
                <w:top w:val="none" w:sz="0" w:space="0" w:color="auto"/>
                <w:left w:val="none" w:sz="0" w:space="0" w:color="auto"/>
                <w:bottom w:val="none" w:sz="0" w:space="0" w:color="auto"/>
                <w:right w:val="none" w:sz="0" w:space="0" w:color="auto"/>
              </w:divBdr>
            </w:div>
          </w:divsChild>
        </w:div>
        <w:div w:id="1956478290">
          <w:marLeft w:val="0"/>
          <w:marRight w:val="0"/>
          <w:marTop w:val="0"/>
          <w:marBottom w:val="0"/>
          <w:divBdr>
            <w:top w:val="none" w:sz="0" w:space="0" w:color="auto"/>
            <w:left w:val="none" w:sz="0" w:space="0" w:color="auto"/>
            <w:bottom w:val="none" w:sz="0" w:space="0" w:color="auto"/>
            <w:right w:val="none" w:sz="0" w:space="0" w:color="auto"/>
          </w:divBdr>
          <w:divsChild>
            <w:div w:id="1461193939">
              <w:marLeft w:val="0"/>
              <w:marRight w:val="0"/>
              <w:marTop w:val="0"/>
              <w:marBottom w:val="0"/>
              <w:divBdr>
                <w:top w:val="none" w:sz="0" w:space="0" w:color="auto"/>
                <w:left w:val="none" w:sz="0" w:space="0" w:color="auto"/>
                <w:bottom w:val="none" w:sz="0" w:space="0" w:color="auto"/>
                <w:right w:val="none" w:sz="0" w:space="0" w:color="auto"/>
              </w:divBdr>
            </w:div>
          </w:divsChild>
        </w:div>
        <w:div w:id="541982960">
          <w:marLeft w:val="0"/>
          <w:marRight w:val="0"/>
          <w:marTop w:val="0"/>
          <w:marBottom w:val="0"/>
          <w:divBdr>
            <w:top w:val="none" w:sz="0" w:space="0" w:color="auto"/>
            <w:left w:val="none" w:sz="0" w:space="0" w:color="auto"/>
            <w:bottom w:val="none" w:sz="0" w:space="0" w:color="auto"/>
            <w:right w:val="none" w:sz="0" w:space="0" w:color="auto"/>
          </w:divBdr>
          <w:divsChild>
            <w:div w:id="1408304776">
              <w:marLeft w:val="0"/>
              <w:marRight w:val="0"/>
              <w:marTop w:val="0"/>
              <w:marBottom w:val="0"/>
              <w:divBdr>
                <w:top w:val="none" w:sz="0" w:space="0" w:color="auto"/>
                <w:left w:val="none" w:sz="0" w:space="0" w:color="auto"/>
                <w:bottom w:val="none" w:sz="0" w:space="0" w:color="auto"/>
                <w:right w:val="none" w:sz="0" w:space="0" w:color="auto"/>
              </w:divBdr>
            </w:div>
            <w:div w:id="459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876">
      <w:bodyDiv w:val="1"/>
      <w:marLeft w:val="0"/>
      <w:marRight w:val="0"/>
      <w:marTop w:val="0"/>
      <w:marBottom w:val="0"/>
      <w:divBdr>
        <w:top w:val="none" w:sz="0" w:space="0" w:color="auto"/>
        <w:left w:val="none" w:sz="0" w:space="0" w:color="auto"/>
        <w:bottom w:val="none" w:sz="0" w:space="0" w:color="auto"/>
        <w:right w:val="none" w:sz="0" w:space="0" w:color="auto"/>
      </w:divBdr>
    </w:div>
    <w:div w:id="9367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b5a36076350f41ed"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016/j.jenvp.2010.03.00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4E6BEF6EC844BB624026880FC51BD" ma:contentTypeVersion="12" ma:contentTypeDescription="Create a new document." ma:contentTypeScope="" ma:versionID="1880109ec8fd41643060359fb80275e0">
  <xsd:schema xmlns:xsd="http://www.w3.org/2001/XMLSchema" xmlns:xs="http://www.w3.org/2001/XMLSchema" xmlns:p="http://schemas.microsoft.com/office/2006/metadata/properties" xmlns:ns2="9d460969-d833-421f-a389-84110bbdfa1e" xmlns:ns3="25bdfd9a-054e-4090-a678-b4a01d3f4c72" targetNamespace="http://schemas.microsoft.com/office/2006/metadata/properties" ma:root="true" ma:fieldsID="056d496dcaaf2a018c5420f492abfec4" ns2:_="" ns3:_="">
    <xsd:import namespace="9d460969-d833-421f-a389-84110bbdfa1e"/>
    <xsd:import namespace="25bdfd9a-054e-4090-a678-b4a01d3f4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60969-d833-421f-a389-84110bbd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dfd9a-054e-4090-a678-b4a01d3f4c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3F6-187F-403F-968F-B5537B523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DCBC3F-5DE1-4DF5-AF7F-2AEAE1BFB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60969-d833-421f-a389-84110bbdfa1e"/>
    <ds:schemaRef ds:uri="25bdfd9a-054e-4090-a678-b4a01d3f4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EAB09-483C-4D1C-B593-AA0697F36E47}">
  <ds:schemaRefs>
    <ds:schemaRef ds:uri="http://schemas.microsoft.com/sharepoint/v3/contenttype/forms"/>
  </ds:schemaRefs>
</ds:datastoreItem>
</file>

<file path=customXml/itemProps4.xml><?xml version="1.0" encoding="utf-8"?>
<ds:datastoreItem xmlns:ds="http://schemas.openxmlformats.org/officeDocument/2006/customXml" ds:itemID="{3B5C3638-B7B9-4D95-8BEF-6CF23104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22</Pages>
  <Words>6407</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Melbourne Water</Company>
  <LinksUpToDate>false</LinksUpToDate>
  <CharactersWithSpaces>42842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Sridevi Patnaikuni</dc:creator>
  <cp:keywords/>
  <dc:description/>
  <cp:lastModifiedBy>Gary Howell</cp:lastModifiedBy>
  <cp:revision>133</cp:revision>
  <dcterms:created xsi:type="dcterms:W3CDTF">2021-04-21T04:53:00Z</dcterms:created>
  <dcterms:modified xsi:type="dcterms:W3CDTF">2021-05-04T01:46:00Z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0x0101008C24E6BEF6EC844BB624026880FC51BD</vt:lpwstr>
  </property>
</Properties>
</file>