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4679C997CB2B4FB981FBDBCB49555A44"/>
            </w:placeholder>
            <w:showingPlcHdr/>
            <w:text/>
          </w:sdtPr>
          <w:sdtEndPr/>
          <w:sdtContent>
            <w:p w14:paraId="7B9FE8A1" w14:textId="77777777" w:rsidR="00067DD9" w:rsidRDefault="00067DD9" w:rsidP="00633068">
              <w:pPr>
                <w:pStyle w:val="NoSpacing"/>
                <w:sectPr w:rsidR="00067DD9" w:rsidSect="00DB206F">
                  <w:headerReference w:type="default" r:id="rId8"/>
                  <w:headerReference w:type="first" r:id="rId9"/>
                  <w:type w:val="continuous"/>
                  <w:pgSz w:w="11906" w:h="16838" w:code="9"/>
                  <w:pgMar w:top="1134" w:right="1134" w:bottom="1134" w:left="1134" w:header="709" w:footer="692" w:gutter="0"/>
                  <w:pgNumType w:start="0"/>
                  <w:cols w:space="708"/>
                  <w:titlePg/>
                  <w:docGrid w:linePitch="360"/>
                </w:sectPr>
              </w:pPr>
              <w:r>
                <w:t xml:space="preserve">  </w:t>
              </w:r>
            </w:p>
          </w:sdtContent>
        </w:sdt>
        <w:p w14:paraId="40AC646C" w14:textId="526F336C" w:rsidR="00067DD9" w:rsidRPr="0063494B" w:rsidRDefault="00BE462A" w:rsidP="00633068">
          <w:pPr>
            <w:pStyle w:val="Title"/>
          </w:pPr>
          <w:sdt>
            <w:sdtPr>
              <w:alias w:val="Title"/>
              <w:tag w:val=""/>
              <w:id w:val="-1656833702"/>
              <w:placeholder>
                <w:docPart w:val="12601B8F64434A30BB9E8ED0305DC625"/>
              </w:placeholder>
              <w:dataBinding w:prefixMappings="xmlns:ns0='http://purl.org/dc/elements/1.1/' xmlns:ns1='http://schemas.openxmlformats.org/package/2006/metadata/core-properties' " w:xpath="/ns1:coreProperties[1]/ns0:title[1]" w:storeItemID="{6C3C8BC8-F283-45AE-878A-BAB7291924A1}"/>
              <w:text/>
            </w:sdtPr>
            <w:sdtEndPr/>
            <w:sdtContent>
              <w:r w:rsidR="00273AD9">
                <w:t>Guideline: Applications for electricity and gas industry licences</w:t>
              </w:r>
            </w:sdtContent>
          </w:sdt>
        </w:p>
        <w:sdt>
          <w:sdtPr>
            <w:alias w:val="Subtitle"/>
            <w:tag w:val=""/>
            <w:id w:val="1140151582"/>
            <w:placeholder>
              <w:docPart w:val="8D03D22B335146539CE25A508410F1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95477F" w14:textId="269F5925" w:rsidR="00067DD9" w:rsidRDefault="00026FEF" w:rsidP="00633068">
              <w:pPr>
                <w:pStyle w:val="Subtitle"/>
              </w:pPr>
              <w:r>
                <w:t>Version 1.4</w:t>
              </w:r>
              <w:r w:rsidR="00D51438">
                <w:t>.1</w:t>
              </w:r>
            </w:p>
          </w:sdtContent>
        </w:sdt>
        <w:p w14:paraId="69E498D1" w14:textId="066E9DAF" w:rsidR="00067DD9" w:rsidRDefault="00BE462A" w:rsidP="000A7FD9">
          <w:pPr>
            <w:pStyle w:val="Subtitle"/>
          </w:pPr>
          <w:sdt>
            <w:sdtPr>
              <w:id w:val="1251166870"/>
              <w:placeholder>
                <w:docPart w:val="CEC2DAE80427491D8CE02B38AC7E9B94"/>
              </w:placeholder>
              <w:date w:fullDate="2024-03-28T00:00:00Z">
                <w:dateFormat w:val="d MMMM yyyy"/>
                <w:lid w:val="en-US"/>
                <w:storeMappedDataAs w:val="dateTime"/>
                <w:calendar w:val="gregorian"/>
              </w:date>
            </w:sdtPr>
            <w:sdtEndPr/>
            <w:sdtContent>
              <w:r w:rsidR="00124899" w:rsidRPr="00124899">
                <w:rPr>
                  <w:lang w:val="en-US"/>
                </w:rPr>
                <w:t>28</w:t>
              </w:r>
              <w:r w:rsidR="00E07D0B" w:rsidRPr="00124899">
                <w:rPr>
                  <w:lang w:val="en-US"/>
                </w:rPr>
                <w:t xml:space="preserve"> March 2024</w:t>
              </w:r>
            </w:sdtContent>
          </w:sdt>
        </w:p>
        <w:p w14:paraId="01C78749" w14:textId="77777777" w:rsidR="00067DD9" w:rsidRDefault="00067DD9"/>
        <w:p w14:paraId="5E9DAA93" w14:textId="77777777" w:rsidR="00067DD9" w:rsidRDefault="00067DD9">
          <w:pPr>
            <w:spacing w:line="259" w:lineRule="auto"/>
          </w:pPr>
          <w:r>
            <w:br w:type="page"/>
          </w:r>
        </w:p>
      </w:sdtContent>
    </w:sdt>
    <w:p w14:paraId="61A5A5F0" w14:textId="77777777" w:rsidR="00F83935" w:rsidRDefault="00F83935" w:rsidP="000D4547">
      <w:pPr>
        <w:pStyle w:val="NoSpacing"/>
        <w:rPr>
          <w:b/>
        </w:rPr>
      </w:pPr>
    </w:p>
    <w:p w14:paraId="2ADBE58B"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101DAEA" w14:textId="477D81EE" w:rsidR="00943BDE" w:rsidRDefault="00881E07" w:rsidP="00943BDE">
      <w:r w:rsidRPr="00124899">
        <w:t>Essential Services Commission</w:t>
      </w:r>
      <w:r w:rsidR="003904B9" w:rsidRPr="00124899">
        <w:t xml:space="preserve"> </w:t>
      </w:r>
      <w:sdt>
        <w:sdtPr>
          <w:alias w:val="Year"/>
          <w:tag w:val="Year"/>
          <w:id w:val="-1184668763"/>
          <w:placeholder>
            <w:docPart w:val="AF358E34DBB84D12B869252DDB6E872C"/>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A95552" w:rsidRPr="00124899">
            <w:t>2023</w:t>
          </w:r>
        </w:sdtContent>
      </w:sdt>
      <w:r w:rsidRPr="00124899">
        <w:t xml:space="preserve">, </w:t>
      </w:r>
      <w:sdt>
        <w:sdtPr>
          <w:alias w:val="Title"/>
          <w:tag w:val=""/>
          <w:id w:val="1260560542"/>
          <w:placeholder>
            <w:docPart w:val="62C017D03560418B8EE379209E006D69"/>
          </w:placeholder>
          <w:dataBinding w:prefixMappings="xmlns:ns0='http://purl.org/dc/elements/1.1/' xmlns:ns1='http://schemas.openxmlformats.org/package/2006/metadata/core-properties' " w:xpath="/ns1:coreProperties[1]/ns0:title[1]" w:storeItemID="{6C3C8BC8-F283-45AE-878A-BAB7291924A1}"/>
          <w:text/>
        </w:sdtPr>
        <w:sdtEndPr/>
        <w:sdtContent>
          <w:r w:rsidR="00140AB7" w:rsidRPr="00124899">
            <w:t>Guideline: Applications for electricity and gas industry licences</w:t>
          </w:r>
        </w:sdtContent>
      </w:sdt>
      <w:r w:rsidR="00633068" w:rsidRPr="00124899">
        <w:t xml:space="preserve">: </w:t>
      </w:r>
      <w:sdt>
        <w:sdtPr>
          <w:alias w:val="Subtitle"/>
          <w:tag w:val=""/>
          <w:id w:val="-295916621"/>
          <w:placeholder>
            <w:docPart w:val="60909126DAC043E9A60C2A8F121EDE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51438" w:rsidRPr="00124899">
            <w:t>Version 1.4.1</w:t>
          </w:r>
        </w:sdtContent>
      </w:sdt>
      <w:r w:rsidR="00012434" w:rsidRPr="00124899">
        <w:t>,</w:t>
      </w:r>
      <w:r w:rsidR="00633068" w:rsidRPr="00124899">
        <w:t xml:space="preserve"> </w:t>
      </w:r>
      <w:sdt>
        <w:sdtPr>
          <w:alias w:val="Date"/>
          <w:tag w:val="Year"/>
          <w:id w:val="-733004738"/>
          <w:placeholder>
            <w:docPart w:val="618DC9DC933A4544A6A4E42986B20F7B"/>
          </w:placeholder>
          <w:date w:fullDate="2024-03-28T00:00:00Z">
            <w:dateFormat w:val="d MMMM "/>
            <w:lid w:val="en-US"/>
            <w:storeMappedDataAs w:val="dateTime"/>
            <w:calendar w:val="gregorian"/>
          </w:date>
        </w:sdtPr>
        <w:sdtEndPr/>
        <w:sdtContent>
          <w:r w:rsidR="00124899" w:rsidRPr="00124899">
            <w:rPr>
              <w:lang w:val="en-US"/>
            </w:rPr>
            <w:t>28</w:t>
          </w:r>
          <w:r w:rsidR="00D51438" w:rsidRPr="00124899">
            <w:rPr>
              <w:lang w:val="en-US"/>
            </w:rPr>
            <w:t xml:space="preserve"> March </w:t>
          </w:r>
        </w:sdtContent>
      </w:sdt>
    </w:p>
    <w:p w14:paraId="65ED5BDD" w14:textId="52B23E75" w:rsidR="00D51438" w:rsidRDefault="00381353" w:rsidP="00440760">
      <w:bookmarkStart w:id="5" w:name="_Toc480988876"/>
      <w:bookmarkStart w:id="6" w:name="_Toc481138188"/>
      <w:bookmarkStart w:id="7" w:name="_Toc481138396"/>
      <w:r>
        <w:t>This Guide</w:t>
      </w:r>
      <w:r w:rsidR="0042260E">
        <w:t>line:</w:t>
      </w:r>
      <w:r>
        <w:t xml:space="preserve"> Applications for </w:t>
      </w:r>
      <w:r w:rsidR="004F6DB9">
        <w:t>e</w:t>
      </w:r>
      <w:r>
        <w:t xml:space="preserve">lectricity and </w:t>
      </w:r>
      <w:r w:rsidR="004F6DB9">
        <w:t>g</w:t>
      </w:r>
      <w:r>
        <w:t xml:space="preserve">as </w:t>
      </w:r>
      <w:r w:rsidR="004F6DB9">
        <w:t>i</w:t>
      </w:r>
      <w:r>
        <w:t xml:space="preserve">ndustry </w:t>
      </w:r>
      <w:r w:rsidR="004F6DB9">
        <w:t>l</w:t>
      </w:r>
      <w:r>
        <w:t xml:space="preserve">icences </w:t>
      </w:r>
      <w:r w:rsidR="00066CE4">
        <w:t xml:space="preserve">– </w:t>
      </w:r>
      <w:r w:rsidR="00066CE4" w:rsidRPr="0026353E">
        <w:t>version 1.</w:t>
      </w:r>
      <w:r w:rsidR="0026353E" w:rsidRPr="00176594">
        <w:t>4</w:t>
      </w:r>
      <w:r w:rsidR="00D51438">
        <w:t>.1</w:t>
      </w:r>
      <w:r w:rsidR="00066CE4">
        <w:t xml:space="preserve"> </w:t>
      </w:r>
      <w:r>
        <w:t xml:space="preserve">supersedes </w:t>
      </w:r>
      <w:r w:rsidR="00520CB9" w:rsidRPr="00520CB9">
        <w:t>Guideline: Applications for electricity and gas industry licences – version 1.</w:t>
      </w:r>
      <w:r w:rsidR="00BE462A">
        <w:t>4</w:t>
      </w:r>
      <w:r w:rsidR="00284A9C">
        <w:t xml:space="preserve"> and all preceding versions.</w:t>
      </w:r>
    </w:p>
    <w:p w14:paraId="4F381F8B" w14:textId="77777777" w:rsidR="00710792" w:rsidRDefault="00710792" w:rsidP="00710792">
      <w:pPr>
        <w:rPr>
          <w:rStyle w:val="Strong"/>
        </w:rPr>
      </w:pPr>
    </w:p>
    <w:p w14:paraId="371EFDD9" w14:textId="77777777" w:rsidR="00881E07" w:rsidRPr="00710792" w:rsidRDefault="00881E07" w:rsidP="00710792">
      <w:pPr>
        <w:rPr>
          <w:rStyle w:val="Strong"/>
        </w:rPr>
      </w:pPr>
      <w:r w:rsidRPr="00710792">
        <w:rPr>
          <w:rStyle w:val="Strong"/>
        </w:rPr>
        <w:t>Copyright notice</w:t>
      </w:r>
      <w:bookmarkEnd w:id="5"/>
      <w:bookmarkEnd w:id="6"/>
      <w:bookmarkEnd w:id="7"/>
    </w:p>
    <w:p w14:paraId="3AFD4C51" w14:textId="706D912D"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8D6C0890214C4102AD3BD9A4D0D0869A"/>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6C781E">
            <w:t>2024</w:t>
          </w:r>
        </w:sdtContent>
      </w:sdt>
    </w:p>
    <w:p w14:paraId="22659B24" w14:textId="77777777" w:rsidR="0050064B" w:rsidRDefault="0050064B" w:rsidP="00943BDE"/>
    <w:p w14:paraId="2EFD7425" w14:textId="77777777" w:rsidR="00881E07" w:rsidRDefault="0050064B" w:rsidP="00881E07">
      <w:r w:rsidRPr="00F70F20">
        <w:rPr>
          <w:noProof/>
          <w:lang w:eastAsia="en-AU"/>
        </w:rPr>
        <w:drawing>
          <wp:inline distT="0" distB="0" distL="0" distR="0" wp14:anchorId="404B4360" wp14:editId="226495BD">
            <wp:extent cx="1198800" cy="421200"/>
            <wp:effectExtent l="0" t="0" r="1905" b="0"/>
            <wp:docPr id="4" name="Picture 4" descr="untitl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4C5D6E88" w14:textId="26D04D92" w:rsidR="00881E07" w:rsidRDefault="00881E07" w:rsidP="00881E07">
      <w:r>
        <w:t xml:space="preserve">This work, </w:t>
      </w:r>
      <w:sdt>
        <w:sdtPr>
          <w:alias w:val="Title"/>
          <w:tag w:val=""/>
          <w:id w:val="1731569904"/>
          <w:placeholder>
            <w:docPart w:val="5455C73884A44ED1B21AFC77D1D461D1"/>
          </w:placeholder>
          <w:dataBinding w:prefixMappings="xmlns:ns0='http://purl.org/dc/elements/1.1/' xmlns:ns1='http://schemas.openxmlformats.org/package/2006/metadata/core-properties' " w:xpath="/ns1:coreProperties[1]/ns0:title[1]" w:storeItemID="{6C3C8BC8-F283-45AE-878A-BAB7291924A1}"/>
          <w:text/>
        </w:sdtPr>
        <w:sdtEndPr/>
        <w:sdtContent>
          <w:r w:rsidR="00140AB7">
            <w:t>Guideline: Applications for electricity and gas industry licences</w:t>
          </w:r>
        </w:sdtContent>
      </w:sdt>
      <w:r>
        <w:t>, is licensed under a Creative Commons Attribution 4.0 licence [creativecommons.org/licen</w:t>
      </w:r>
      <w:r w:rsidR="00E11553">
        <w:t>c</w:t>
      </w:r>
      <w:r w:rsidR="00563AD8">
        <w:t>es/by/4.0]. You are free to re-</w:t>
      </w:r>
      <w:r>
        <w:t>use the work under that licence, on the condition that you credit the Essential Services Commission as author, indicate if changes were made and comply with the other licence terms.</w:t>
      </w:r>
    </w:p>
    <w:p w14:paraId="4941A11F" w14:textId="77777777" w:rsidR="00D27CD6" w:rsidRDefault="00881E07" w:rsidP="004309BF">
      <w:r>
        <w:t>The licence does not apply to any brand logo, images or photographs within the publication.</w:t>
      </w:r>
      <w:bookmarkEnd w:id="4"/>
    </w:p>
    <w:p w14:paraId="69A103BF" w14:textId="38D11C90" w:rsidR="004309BF" w:rsidRDefault="00BE462A" w:rsidP="004309BF">
      <w:sdt>
        <w:sdtPr>
          <w:id w:val="1641840776"/>
          <w:lock w:val="sdtContentLocked"/>
          <w:placeholder>
            <w:docPart w:val="385365EC413044F9B569C4FCCBFA2C2A"/>
          </w:placeholder>
          <w:showingPlcHdr/>
          <w:text/>
        </w:sdtPr>
        <w:sdtEndPr/>
        <w:sdtContent>
          <w:r w:rsidR="004309BF">
            <w:t xml:space="preserve">  </w:t>
          </w:r>
        </w:sdtContent>
      </w:sdt>
    </w:p>
    <w:p w14:paraId="61199F0F" w14:textId="77777777" w:rsidR="008F7087" w:rsidRDefault="008F7087" w:rsidP="00710792">
      <w:pPr>
        <w:pStyle w:val="Heading1"/>
        <w:sectPr w:rsidR="008F7087" w:rsidSect="00440760">
          <w:headerReference w:type="default" r:id="rId12"/>
          <w:footerReference w:type="default" r:id="rId13"/>
          <w:type w:val="continuous"/>
          <w:pgSz w:w="11906" w:h="16838" w:code="9"/>
          <w:pgMar w:top="1134" w:right="1134" w:bottom="1134" w:left="1134" w:header="709" w:footer="692" w:gutter="0"/>
          <w:pgNumType w:start="0"/>
          <w:cols w:space="708"/>
          <w:docGrid w:linePitch="360"/>
        </w:sectPr>
      </w:pPr>
      <w:bookmarkStart w:id="8" w:name="_Toc481138189"/>
      <w:bookmarkStart w:id="9" w:name="_Toc481138397"/>
    </w:p>
    <w:bookmarkEnd w:id="8"/>
    <w:bookmarkEnd w:id="9"/>
    <w:p w14:paraId="5A06DCF0" w14:textId="77777777" w:rsidR="008F7087" w:rsidRDefault="008F7087" w:rsidP="00D3670C">
      <w:pPr>
        <w:pStyle w:val="TOCHeading"/>
        <w:rPr>
          <w:rStyle w:val="Hyperlink"/>
          <w:color w:val="ED8B00" w:themeColor="accent4"/>
          <w:u w:val="none"/>
        </w:rPr>
        <w:sectPr w:rsidR="008F7087" w:rsidSect="00DB206F">
          <w:footerReference w:type="default" r:id="rId14"/>
          <w:type w:val="continuous"/>
          <w:pgSz w:w="11906" w:h="16838" w:code="9"/>
          <w:pgMar w:top="1134" w:right="1134" w:bottom="1134" w:left="1134" w:header="709" w:footer="692" w:gutter="0"/>
          <w:pgNumType w:fmt="lowerRoman"/>
          <w:cols w:space="708"/>
          <w:docGrid w:linePitch="360"/>
        </w:sectPr>
      </w:pPr>
    </w:p>
    <w:p w14:paraId="5456D826" w14:textId="77777777" w:rsidR="00D3670C" w:rsidRPr="00394187" w:rsidRDefault="00B503C2" w:rsidP="00394187">
      <w:pPr>
        <w:pStyle w:val="TOCHeading"/>
        <w:rPr>
          <w:rStyle w:val="Hyperlink"/>
          <w:color w:val="CE0058" w:themeColor="accent2"/>
          <w:u w:val="none"/>
        </w:rPr>
      </w:pPr>
      <w:r>
        <w:rPr>
          <w:rStyle w:val="Hyperlink"/>
          <w:color w:val="ED8B00" w:themeColor="accent4"/>
          <w:u w:val="none"/>
        </w:rPr>
        <w:br w:type="page"/>
      </w:r>
      <w:r w:rsidR="00D3670C" w:rsidRPr="00394187">
        <w:rPr>
          <w:rStyle w:val="Hyperlink"/>
          <w:color w:val="CE0058" w:themeColor="accent2"/>
          <w:u w:val="none"/>
        </w:rPr>
        <w:lastRenderedPageBreak/>
        <w:t>Contents</w:t>
      </w:r>
    </w:p>
    <w:p w14:paraId="727112B9" w14:textId="5AE44E1B" w:rsidR="005F4C7F" w:rsidRPr="005F4C7F" w:rsidRDefault="00782E55" w:rsidP="00487614">
      <w:pPr>
        <w:pStyle w:val="TOC2"/>
        <w:rPr>
          <w:rFonts w:eastAsiaTheme="minorEastAsia"/>
          <w:b/>
          <w:bCs/>
          <w:lang w:eastAsia="en-AU"/>
        </w:rPr>
      </w:pPr>
      <w:r>
        <w:rPr>
          <w:b/>
        </w:rPr>
        <w:fldChar w:fldCharType="begin"/>
      </w:r>
      <w:r>
        <w:instrText xml:space="preserve"> TOC \h \z \t "Heading 1,1,Heading 2,3,Heading 3,5,Heading 1 numbered,2,Heading 2 numbered,4,Heading 3 numbered,6" </w:instrText>
      </w:r>
      <w:r>
        <w:rPr>
          <w:b/>
        </w:rPr>
        <w:fldChar w:fldCharType="separate"/>
      </w:r>
      <w:hyperlink w:anchor="_Toc127875375" w:history="1">
        <w:r w:rsidR="005F4C7F" w:rsidRPr="005F4C7F">
          <w:rPr>
            <w:rStyle w:val="Hyperlink"/>
            <w:b/>
            <w:bCs/>
          </w:rPr>
          <w:t>1.</w:t>
        </w:r>
        <w:r w:rsidR="005F4C7F" w:rsidRPr="005F4C7F">
          <w:rPr>
            <w:rFonts w:eastAsiaTheme="minorEastAsia"/>
            <w:b/>
            <w:bCs/>
            <w:lang w:eastAsia="en-AU"/>
          </w:rPr>
          <w:tab/>
        </w:r>
        <w:r w:rsidR="005F4C7F" w:rsidRPr="005F4C7F">
          <w:rPr>
            <w:rStyle w:val="Hyperlink"/>
            <w:b/>
            <w:bCs/>
          </w:rPr>
          <w:t>Introduction</w:t>
        </w:r>
        <w:r w:rsidR="005F4C7F" w:rsidRPr="005F4C7F">
          <w:rPr>
            <w:b/>
            <w:bCs/>
            <w:webHidden/>
          </w:rPr>
          <w:tab/>
        </w:r>
        <w:r w:rsidR="005F4C7F" w:rsidRPr="005F4C7F">
          <w:rPr>
            <w:b/>
            <w:bCs/>
            <w:webHidden/>
          </w:rPr>
          <w:fldChar w:fldCharType="begin"/>
        </w:r>
        <w:r w:rsidR="005F4C7F" w:rsidRPr="005F4C7F">
          <w:rPr>
            <w:b/>
            <w:bCs/>
            <w:webHidden/>
          </w:rPr>
          <w:instrText xml:space="preserve"> PAGEREF _Toc127875375 \h </w:instrText>
        </w:r>
        <w:r w:rsidR="005F4C7F" w:rsidRPr="005F4C7F">
          <w:rPr>
            <w:b/>
            <w:bCs/>
            <w:webHidden/>
          </w:rPr>
        </w:r>
        <w:r w:rsidR="005F4C7F" w:rsidRPr="005F4C7F">
          <w:rPr>
            <w:b/>
            <w:bCs/>
            <w:webHidden/>
          </w:rPr>
          <w:fldChar w:fldCharType="separate"/>
        </w:r>
        <w:r w:rsidR="00156C01">
          <w:rPr>
            <w:b/>
            <w:bCs/>
            <w:webHidden/>
          </w:rPr>
          <w:t>4</w:t>
        </w:r>
        <w:r w:rsidR="005F4C7F" w:rsidRPr="005F4C7F">
          <w:rPr>
            <w:b/>
            <w:bCs/>
            <w:webHidden/>
          </w:rPr>
          <w:fldChar w:fldCharType="end"/>
        </w:r>
      </w:hyperlink>
    </w:p>
    <w:p w14:paraId="76E82B81" w14:textId="03954518" w:rsidR="005F4C7F" w:rsidRDefault="00BE462A" w:rsidP="00793CBD">
      <w:pPr>
        <w:pStyle w:val="TOC4"/>
        <w:rPr>
          <w:rFonts w:eastAsiaTheme="minorEastAsia"/>
          <w:lang w:eastAsia="en-AU"/>
        </w:rPr>
      </w:pPr>
      <w:hyperlink w:anchor="_Toc127875376" w:history="1">
        <w:r w:rsidR="005F4C7F" w:rsidRPr="007C61A0">
          <w:rPr>
            <w:rStyle w:val="Hyperlink"/>
          </w:rPr>
          <w:t>1.1.</w:t>
        </w:r>
        <w:r w:rsidR="005F4C7F">
          <w:rPr>
            <w:rFonts w:eastAsiaTheme="minorEastAsia"/>
            <w:lang w:eastAsia="en-AU"/>
          </w:rPr>
          <w:tab/>
        </w:r>
        <w:r w:rsidR="005F4C7F" w:rsidRPr="007C61A0">
          <w:rPr>
            <w:rStyle w:val="Hyperlink"/>
          </w:rPr>
          <w:t>About this guideline</w:t>
        </w:r>
        <w:r w:rsidR="005F4C7F">
          <w:rPr>
            <w:webHidden/>
          </w:rPr>
          <w:tab/>
        </w:r>
        <w:r w:rsidR="005F4C7F">
          <w:rPr>
            <w:webHidden/>
          </w:rPr>
          <w:fldChar w:fldCharType="begin"/>
        </w:r>
        <w:r w:rsidR="005F4C7F">
          <w:rPr>
            <w:webHidden/>
          </w:rPr>
          <w:instrText xml:space="preserve"> PAGEREF _Toc127875376 \h </w:instrText>
        </w:r>
        <w:r w:rsidR="005F4C7F">
          <w:rPr>
            <w:webHidden/>
          </w:rPr>
        </w:r>
        <w:r w:rsidR="005F4C7F">
          <w:rPr>
            <w:webHidden/>
          </w:rPr>
          <w:fldChar w:fldCharType="separate"/>
        </w:r>
        <w:r w:rsidR="00156C01">
          <w:rPr>
            <w:webHidden/>
          </w:rPr>
          <w:t>4</w:t>
        </w:r>
        <w:r w:rsidR="005F4C7F">
          <w:rPr>
            <w:webHidden/>
          </w:rPr>
          <w:fldChar w:fldCharType="end"/>
        </w:r>
      </w:hyperlink>
    </w:p>
    <w:p w14:paraId="43D9EE12" w14:textId="108850AF" w:rsidR="005F4C7F" w:rsidRDefault="00BE462A" w:rsidP="00793CBD">
      <w:pPr>
        <w:pStyle w:val="TOC4"/>
        <w:rPr>
          <w:rFonts w:eastAsiaTheme="minorEastAsia"/>
          <w:lang w:eastAsia="en-AU"/>
        </w:rPr>
      </w:pPr>
      <w:hyperlink w:anchor="_Toc127875377" w:history="1">
        <w:r w:rsidR="005F4C7F" w:rsidRPr="007C61A0">
          <w:rPr>
            <w:rStyle w:val="Hyperlink"/>
          </w:rPr>
          <w:t>1.2.</w:t>
        </w:r>
        <w:r w:rsidR="005F4C7F">
          <w:rPr>
            <w:rFonts w:eastAsiaTheme="minorEastAsia"/>
            <w:lang w:eastAsia="en-AU"/>
          </w:rPr>
          <w:tab/>
        </w:r>
        <w:r w:rsidR="005F4C7F" w:rsidRPr="007C61A0">
          <w:rPr>
            <w:rStyle w:val="Hyperlink"/>
          </w:rPr>
          <w:t>Assessment of licence applications</w:t>
        </w:r>
        <w:r w:rsidR="005F4C7F">
          <w:rPr>
            <w:webHidden/>
          </w:rPr>
          <w:tab/>
        </w:r>
        <w:r w:rsidR="005F4C7F">
          <w:rPr>
            <w:webHidden/>
          </w:rPr>
          <w:fldChar w:fldCharType="begin"/>
        </w:r>
        <w:r w:rsidR="005F4C7F">
          <w:rPr>
            <w:webHidden/>
          </w:rPr>
          <w:instrText xml:space="preserve"> PAGEREF _Toc127875377 \h </w:instrText>
        </w:r>
        <w:r w:rsidR="005F4C7F">
          <w:rPr>
            <w:webHidden/>
          </w:rPr>
        </w:r>
        <w:r w:rsidR="005F4C7F">
          <w:rPr>
            <w:webHidden/>
          </w:rPr>
          <w:fldChar w:fldCharType="separate"/>
        </w:r>
        <w:r w:rsidR="00156C01">
          <w:rPr>
            <w:webHidden/>
          </w:rPr>
          <w:t>4</w:t>
        </w:r>
        <w:r w:rsidR="005F4C7F">
          <w:rPr>
            <w:webHidden/>
          </w:rPr>
          <w:fldChar w:fldCharType="end"/>
        </w:r>
      </w:hyperlink>
    </w:p>
    <w:p w14:paraId="1A8F0C45" w14:textId="588C0E6F" w:rsidR="005F4C7F" w:rsidRDefault="00BE462A" w:rsidP="00793CBD">
      <w:pPr>
        <w:pStyle w:val="TOC4"/>
        <w:rPr>
          <w:rFonts w:eastAsiaTheme="minorEastAsia"/>
          <w:lang w:eastAsia="en-AU"/>
        </w:rPr>
      </w:pPr>
      <w:hyperlink w:anchor="_Toc127875378" w:history="1">
        <w:r w:rsidR="005F4C7F" w:rsidRPr="007C61A0">
          <w:rPr>
            <w:rStyle w:val="Hyperlink"/>
          </w:rPr>
          <w:t>1.2.1 Additional scrutiny for retail electricity and gas licence applicants</w:t>
        </w:r>
        <w:r w:rsidR="005F4C7F">
          <w:rPr>
            <w:webHidden/>
          </w:rPr>
          <w:tab/>
        </w:r>
        <w:r w:rsidR="005F4C7F">
          <w:rPr>
            <w:webHidden/>
          </w:rPr>
          <w:fldChar w:fldCharType="begin"/>
        </w:r>
        <w:r w:rsidR="005F4C7F">
          <w:rPr>
            <w:webHidden/>
          </w:rPr>
          <w:instrText xml:space="preserve"> PAGEREF _Toc127875378 \h </w:instrText>
        </w:r>
        <w:r w:rsidR="005F4C7F">
          <w:rPr>
            <w:webHidden/>
          </w:rPr>
        </w:r>
        <w:r w:rsidR="005F4C7F">
          <w:rPr>
            <w:webHidden/>
          </w:rPr>
          <w:fldChar w:fldCharType="separate"/>
        </w:r>
        <w:r w:rsidR="00156C01">
          <w:rPr>
            <w:webHidden/>
          </w:rPr>
          <w:t>6</w:t>
        </w:r>
        <w:r w:rsidR="005F4C7F">
          <w:rPr>
            <w:webHidden/>
          </w:rPr>
          <w:fldChar w:fldCharType="end"/>
        </w:r>
      </w:hyperlink>
    </w:p>
    <w:p w14:paraId="7CD683D6" w14:textId="10128F65" w:rsidR="005F4C7F" w:rsidRDefault="00BE462A" w:rsidP="00793CBD">
      <w:pPr>
        <w:pStyle w:val="TOC4"/>
        <w:rPr>
          <w:rFonts w:eastAsiaTheme="minorEastAsia"/>
          <w:lang w:eastAsia="en-AU"/>
        </w:rPr>
      </w:pPr>
      <w:hyperlink w:anchor="_Toc127875379" w:history="1">
        <w:r w:rsidR="005F4C7F" w:rsidRPr="007C61A0">
          <w:rPr>
            <w:rStyle w:val="Hyperlink"/>
          </w:rPr>
          <w:t>1.3.</w:t>
        </w:r>
        <w:r w:rsidR="005F4C7F">
          <w:rPr>
            <w:rFonts w:eastAsiaTheme="minorEastAsia"/>
            <w:lang w:eastAsia="en-AU"/>
          </w:rPr>
          <w:tab/>
        </w:r>
        <w:r w:rsidR="005F4C7F" w:rsidRPr="007C61A0">
          <w:rPr>
            <w:rStyle w:val="Hyperlink"/>
          </w:rPr>
          <w:t>Legislative framework</w:t>
        </w:r>
        <w:r w:rsidR="005F4C7F">
          <w:rPr>
            <w:webHidden/>
          </w:rPr>
          <w:tab/>
        </w:r>
        <w:r w:rsidR="005F4C7F">
          <w:rPr>
            <w:webHidden/>
          </w:rPr>
          <w:fldChar w:fldCharType="begin"/>
        </w:r>
        <w:r w:rsidR="005F4C7F">
          <w:rPr>
            <w:webHidden/>
          </w:rPr>
          <w:instrText xml:space="preserve"> PAGEREF _Toc127875379 \h </w:instrText>
        </w:r>
        <w:r w:rsidR="005F4C7F">
          <w:rPr>
            <w:webHidden/>
          </w:rPr>
        </w:r>
        <w:r w:rsidR="005F4C7F">
          <w:rPr>
            <w:webHidden/>
          </w:rPr>
          <w:fldChar w:fldCharType="separate"/>
        </w:r>
        <w:r w:rsidR="00156C01">
          <w:rPr>
            <w:webHidden/>
          </w:rPr>
          <w:t>6</w:t>
        </w:r>
        <w:r w:rsidR="005F4C7F">
          <w:rPr>
            <w:webHidden/>
          </w:rPr>
          <w:fldChar w:fldCharType="end"/>
        </w:r>
      </w:hyperlink>
    </w:p>
    <w:p w14:paraId="4C8CA19A" w14:textId="3313CBB7" w:rsidR="005F4C7F" w:rsidRPr="005F4C7F" w:rsidRDefault="00BE462A" w:rsidP="00487614">
      <w:pPr>
        <w:pStyle w:val="TOC2"/>
        <w:rPr>
          <w:rFonts w:eastAsiaTheme="minorEastAsia"/>
          <w:lang w:eastAsia="en-AU"/>
        </w:rPr>
      </w:pPr>
      <w:hyperlink w:anchor="_Toc127875380" w:history="1">
        <w:r w:rsidR="005F4C7F" w:rsidRPr="005F4C7F">
          <w:rPr>
            <w:rStyle w:val="Hyperlink"/>
            <w:b/>
            <w:bCs/>
          </w:rPr>
          <w:t>2.</w:t>
        </w:r>
        <w:r w:rsidR="005F4C7F" w:rsidRPr="005F4C7F">
          <w:rPr>
            <w:rFonts w:eastAsiaTheme="minorEastAsia"/>
            <w:lang w:eastAsia="en-AU"/>
          </w:rPr>
          <w:tab/>
        </w:r>
        <w:r w:rsidR="005F4C7F" w:rsidRPr="005F4C7F">
          <w:rPr>
            <w:rStyle w:val="Hyperlink"/>
            <w:b/>
            <w:bCs/>
          </w:rPr>
          <w:t>Applying for a licence</w:t>
        </w:r>
        <w:r w:rsidR="005F4C7F" w:rsidRPr="005F4C7F">
          <w:rPr>
            <w:webHidden/>
          </w:rPr>
          <w:tab/>
        </w:r>
        <w:r w:rsidR="005F4C7F" w:rsidRPr="00176594">
          <w:rPr>
            <w:b/>
            <w:bCs/>
            <w:webHidden/>
          </w:rPr>
          <w:fldChar w:fldCharType="begin"/>
        </w:r>
        <w:r w:rsidR="005F4C7F" w:rsidRPr="00440760">
          <w:rPr>
            <w:b/>
            <w:bCs/>
            <w:webHidden/>
          </w:rPr>
          <w:instrText xml:space="preserve"> PAGEREF _Toc127875380 \h </w:instrText>
        </w:r>
        <w:r w:rsidR="005F4C7F" w:rsidRPr="00176594">
          <w:rPr>
            <w:b/>
            <w:bCs/>
            <w:webHidden/>
          </w:rPr>
        </w:r>
        <w:r w:rsidR="005F4C7F" w:rsidRPr="00176594">
          <w:rPr>
            <w:b/>
            <w:bCs/>
            <w:webHidden/>
          </w:rPr>
          <w:fldChar w:fldCharType="separate"/>
        </w:r>
        <w:r w:rsidR="00156C01">
          <w:rPr>
            <w:b/>
            <w:bCs/>
            <w:webHidden/>
          </w:rPr>
          <w:t>8</w:t>
        </w:r>
        <w:r w:rsidR="005F4C7F" w:rsidRPr="00176594">
          <w:rPr>
            <w:b/>
            <w:bCs/>
            <w:webHidden/>
          </w:rPr>
          <w:fldChar w:fldCharType="end"/>
        </w:r>
      </w:hyperlink>
    </w:p>
    <w:p w14:paraId="4A206A56" w14:textId="197B03E6" w:rsidR="005F4C7F" w:rsidRDefault="00BE462A" w:rsidP="00793CBD">
      <w:pPr>
        <w:pStyle w:val="TOC4"/>
        <w:rPr>
          <w:rFonts w:eastAsiaTheme="minorEastAsia"/>
          <w:lang w:eastAsia="en-AU"/>
        </w:rPr>
      </w:pPr>
      <w:hyperlink w:anchor="_Toc127875381" w:history="1">
        <w:r w:rsidR="005F4C7F" w:rsidRPr="007C61A0">
          <w:rPr>
            <w:rStyle w:val="Hyperlink"/>
          </w:rPr>
          <w:t>2.1.</w:t>
        </w:r>
        <w:r w:rsidR="005F4C7F">
          <w:rPr>
            <w:rFonts w:eastAsiaTheme="minorEastAsia"/>
            <w:lang w:eastAsia="en-AU"/>
          </w:rPr>
          <w:tab/>
        </w:r>
        <w:r w:rsidR="005F4C7F" w:rsidRPr="007C61A0">
          <w:rPr>
            <w:rStyle w:val="Hyperlink"/>
          </w:rPr>
          <w:t>Who may apply for a licence</w:t>
        </w:r>
        <w:r w:rsidR="005F4C7F">
          <w:rPr>
            <w:webHidden/>
          </w:rPr>
          <w:tab/>
        </w:r>
        <w:r w:rsidR="005F4C7F">
          <w:rPr>
            <w:webHidden/>
          </w:rPr>
          <w:fldChar w:fldCharType="begin"/>
        </w:r>
        <w:r w:rsidR="005F4C7F">
          <w:rPr>
            <w:webHidden/>
          </w:rPr>
          <w:instrText xml:space="preserve"> PAGEREF _Toc127875381 \h </w:instrText>
        </w:r>
        <w:r w:rsidR="005F4C7F">
          <w:rPr>
            <w:webHidden/>
          </w:rPr>
        </w:r>
        <w:r w:rsidR="005F4C7F">
          <w:rPr>
            <w:webHidden/>
          </w:rPr>
          <w:fldChar w:fldCharType="separate"/>
        </w:r>
        <w:r w:rsidR="00156C01">
          <w:rPr>
            <w:webHidden/>
          </w:rPr>
          <w:t>8</w:t>
        </w:r>
        <w:r w:rsidR="005F4C7F">
          <w:rPr>
            <w:webHidden/>
          </w:rPr>
          <w:fldChar w:fldCharType="end"/>
        </w:r>
      </w:hyperlink>
    </w:p>
    <w:p w14:paraId="589C3377" w14:textId="1F514EEC" w:rsidR="005F4C7F" w:rsidRDefault="00BE462A" w:rsidP="00793CBD">
      <w:pPr>
        <w:pStyle w:val="TOC4"/>
        <w:rPr>
          <w:rFonts w:eastAsiaTheme="minorEastAsia"/>
          <w:lang w:eastAsia="en-AU"/>
        </w:rPr>
      </w:pPr>
      <w:hyperlink w:anchor="_Toc127875382" w:history="1">
        <w:r w:rsidR="005F4C7F" w:rsidRPr="007C61A0">
          <w:rPr>
            <w:rStyle w:val="Hyperlink"/>
          </w:rPr>
          <w:t>2.2.</w:t>
        </w:r>
        <w:r w:rsidR="005F4C7F">
          <w:rPr>
            <w:rFonts w:eastAsiaTheme="minorEastAsia"/>
            <w:lang w:eastAsia="en-AU"/>
          </w:rPr>
          <w:tab/>
        </w:r>
        <w:r w:rsidR="005F4C7F" w:rsidRPr="007C61A0">
          <w:rPr>
            <w:rStyle w:val="Hyperlink"/>
          </w:rPr>
          <w:t>How to apply for a licence</w:t>
        </w:r>
        <w:r w:rsidR="005F4C7F">
          <w:rPr>
            <w:webHidden/>
          </w:rPr>
          <w:tab/>
        </w:r>
        <w:r w:rsidR="005F4C7F">
          <w:rPr>
            <w:webHidden/>
          </w:rPr>
          <w:fldChar w:fldCharType="begin"/>
        </w:r>
        <w:r w:rsidR="005F4C7F">
          <w:rPr>
            <w:webHidden/>
          </w:rPr>
          <w:instrText xml:space="preserve"> PAGEREF _Toc127875382 \h </w:instrText>
        </w:r>
        <w:r w:rsidR="005F4C7F">
          <w:rPr>
            <w:webHidden/>
          </w:rPr>
        </w:r>
        <w:r w:rsidR="005F4C7F">
          <w:rPr>
            <w:webHidden/>
          </w:rPr>
          <w:fldChar w:fldCharType="separate"/>
        </w:r>
        <w:r w:rsidR="00156C01">
          <w:rPr>
            <w:webHidden/>
          </w:rPr>
          <w:t>8</w:t>
        </w:r>
        <w:r w:rsidR="005F4C7F">
          <w:rPr>
            <w:webHidden/>
          </w:rPr>
          <w:fldChar w:fldCharType="end"/>
        </w:r>
      </w:hyperlink>
    </w:p>
    <w:p w14:paraId="7B6F4E58" w14:textId="0D4D6856" w:rsidR="005F4C7F" w:rsidRDefault="00BE462A">
      <w:pPr>
        <w:pStyle w:val="TOC5"/>
        <w:rPr>
          <w:rFonts w:eastAsiaTheme="minorEastAsia"/>
          <w:noProof/>
          <w:lang w:eastAsia="en-AU"/>
        </w:rPr>
      </w:pPr>
      <w:hyperlink w:anchor="_Toc127875383" w:history="1">
        <w:r w:rsidR="005F4C7F" w:rsidRPr="007C61A0">
          <w:rPr>
            <w:rStyle w:val="Hyperlink"/>
            <w:noProof/>
          </w:rPr>
          <w:t>Large files</w:t>
        </w:r>
        <w:r w:rsidR="005F4C7F">
          <w:rPr>
            <w:noProof/>
            <w:webHidden/>
          </w:rPr>
          <w:tab/>
        </w:r>
        <w:r w:rsidR="005F4C7F">
          <w:rPr>
            <w:noProof/>
            <w:webHidden/>
          </w:rPr>
          <w:fldChar w:fldCharType="begin"/>
        </w:r>
        <w:r w:rsidR="005F4C7F">
          <w:rPr>
            <w:noProof/>
            <w:webHidden/>
          </w:rPr>
          <w:instrText xml:space="preserve"> PAGEREF _Toc127875383 \h </w:instrText>
        </w:r>
        <w:r w:rsidR="005F4C7F">
          <w:rPr>
            <w:noProof/>
            <w:webHidden/>
          </w:rPr>
        </w:r>
        <w:r w:rsidR="005F4C7F">
          <w:rPr>
            <w:noProof/>
            <w:webHidden/>
          </w:rPr>
          <w:fldChar w:fldCharType="separate"/>
        </w:r>
        <w:r w:rsidR="00156C01">
          <w:rPr>
            <w:noProof/>
            <w:webHidden/>
          </w:rPr>
          <w:t>8</w:t>
        </w:r>
        <w:r w:rsidR="005F4C7F">
          <w:rPr>
            <w:noProof/>
            <w:webHidden/>
          </w:rPr>
          <w:fldChar w:fldCharType="end"/>
        </w:r>
      </w:hyperlink>
    </w:p>
    <w:p w14:paraId="781D784E" w14:textId="6DA87259" w:rsidR="005F4C7F" w:rsidRDefault="00BE462A" w:rsidP="00793CBD">
      <w:pPr>
        <w:pStyle w:val="TOC4"/>
        <w:rPr>
          <w:rFonts w:eastAsiaTheme="minorEastAsia"/>
          <w:lang w:eastAsia="en-AU"/>
        </w:rPr>
      </w:pPr>
      <w:hyperlink w:anchor="_Toc127875384" w:history="1">
        <w:r w:rsidR="005F4C7F" w:rsidRPr="007C61A0">
          <w:rPr>
            <w:rStyle w:val="Hyperlink"/>
          </w:rPr>
          <w:t>2.3.</w:t>
        </w:r>
        <w:r w:rsidR="005F4C7F">
          <w:rPr>
            <w:rFonts w:eastAsiaTheme="minorEastAsia"/>
            <w:lang w:eastAsia="en-AU"/>
          </w:rPr>
          <w:tab/>
        </w:r>
        <w:r w:rsidR="005F4C7F" w:rsidRPr="007C61A0">
          <w:rPr>
            <w:rStyle w:val="Hyperlink"/>
          </w:rPr>
          <w:t>Application fee and annual licence fees</w:t>
        </w:r>
        <w:r w:rsidR="005F4C7F">
          <w:rPr>
            <w:webHidden/>
          </w:rPr>
          <w:tab/>
        </w:r>
        <w:r w:rsidR="005F4C7F">
          <w:rPr>
            <w:webHidden/>
          </w:rPr>
          <w:fldChar w:fldCharType="begin"/>
        </w:r>
        <w:r w:rsidR="005F4C7F">
          <w:rPr>
            <w:webHidden/>
          </w:rPr>
          <w:instrText xml:space="preserve"> PAGEREF _Toc127875384 \h </w:instrText>
        </w:r>
        <w:r w:rsidR="005F4C7F">
          <w:rPr>
            <w:webHidden/>
          </w:rPr>
        </w:r>
        <w:r w:rsidR="005F4C7F">
          <w:rPr>
            <w:webHidden/>
          </w:rPr>
          <w:fldChar w:fldCharType="separate"/>
        </w:r>
        <w:r w:rsidR="00156C01">
          <w:rPr>
            <w:webHidden/>
          </w:rPr>
          <w:t>9</w:t>
        </w:r>
        <w:r w:rsidR="005F4C7F">
          <w:rPr>
            <w:webHidden/>
          </w:rPr>
          <w:fldChar w:fldCharType="end"/>
        </w:r>
      </w:hyperlink>
    </w:p>
    <w:p w14:paraId="1D9D4FBC" w14:textId="7237A8A1" w:rsidR="005F4C7F" w:rsidRPr="005F4C7F" w:rsidRDefault="00BE462A" w:rsidP="00487614">
      <w:pPr>
        <w:pStyle w:val="TOC2"/>
        <w:rPr>
          <w:rFonts w:eastAsiaTheme="minorEastAsia"/>
          <w:lang w:eastAsia="en-AU"/>
        </w:rPr>
      </w:pPr>
      <w:hyperlink w:anchor="_Toc127875385" w:history="1">
        <w:r w:rsidR="005F4C7F" w:rsidRPr="005F4C7F">
          <w:rPr>
            <w:rStyle w:val="Hyperlink"/>
            <w:b/>
            <w:bCs/>
          </w:rPr>
          <w:t>3.</w:t>
        </w:r>
        <w:r w:rsidR="005F4C7F" w:rsidRPr="005F4C7F">
          <w:rPr>
            <w:rFonts w:eastAsiaTheme="minorEastAsia"/>
            <w:lang w:eastAsia="en-AU"/>
          </w:rPr>
          <w:tab/>
        </w:r>
        <w:r w:rsidR="005F4C7F" w:rsidRPr="005F4C7F">
          <w:rPr>
            <w:rStyle w:val="Hyperlink"/>
            <w:b/>
            <w:bCs/>
          </w:rPr>
          <w:t>The licence assessment process</w:t>
        </w:r>
        <w:r w:rsidR="005F4C7F" w:rsidRPr="005F4C7F">
          <w:rPr>
            <w:webHidden/>
          </w:rPr>
          <w:tab/>
        </w:r>
        <w:r w:rsidR="005F4C7F" w:rsidRPr="00176594">
          <w:rPr>
            <w:b/>
            <w:bCs/>
            <w:webHidden/>
          </w:rPr>
          <w:fldChar w:fldCharType="begin"/>
        </w:r>
        <w:r w:rsidR="005F4C7F" w:rsidRPr="00440760">
          <w:rPr>
            <w:b/>
            <w:bCs/>
            <w:webHidden/>
          </w:rPr>
          <w:instrText xml:space="preserve"> PAGEREF _Toc127875385 \h </w:instrText>
        </w:r>
        <w:r w:rsidR="005F4C7F" w:rsidRPr="00176594">
          <w:rPr>
            <w:b/>
            <w:bCs/>
            <w:webHidden/>
          </w:rPr>
        </w:r>
        <w:r w:rsidR="005F4C7F" w:rsidRPr="00176594">
          <w:rPr>
            <w:b/>
            <w:bCs/>
            <w:webHidden/>
          </w:rPr>
          <w:fldChar w:fldCharType="separate"/>
        </w:r>
        <w:r w:rsidR="00156C01">
          <w:rPr>
            <w:b/>
            <w:bCs/>
            <w:webHidden/>
          </w:rPr>
          <w:t>10</w:t>
        </w:r>
        <w:r w:rsidR="005F4C7F" w:rsidRPr="00176594">
          <w:rPr>
            <w:b/>
            <w:bCs/>
            <w:webHidden/>
          </w:rPr>
          <w:fldChar w:fldCharType="end"/>
        </w:r>
      </w:hyperlink>
    </w:p>
    <w:p w14:paraId="37089B77" w14:textId="5C4D22B2" w:rsidR="005F4C7F" w:rsidRDefault="00BE462A" w:rsidP="00793CBD">
      <w:pPr>
        <w:pStyle w:val="TOC4"/>
        <w:rPr>
          <w:rFonts w:eastAsiaTheme="minorEastAsia"/>
          <w:lang w:eastAsia="en-AU"/>
        </w:rPr>
      </w:pPr>
      <w:hyperlink w:anchor="_Toc127875386" w:history="1">
        <w:r w:rsidR="005F4C7F" w:rsidRPr="007C61A0">
          <w:rPr>
            <w:rStyle w:val="Hyperlink"/>
          </w:rPr>
          <w:t>3.1.</w:t>
        </w:r>
        <w:r w:rsidR="005F4C7F">
          <w:rPr>
            <w:rFonts w:eastAsiaTheme="minorEastAsia"/>
            <w:lang w:eastAsia="en-AU"/>
          </w:rPr>
          <w:tab/>
        </w:r>
        <w:r w:rsidR="005F4C7F" w:rsidRPr="007C61A0">
          <w:rPr>
            <w:rStyle w:val="Hyperlink"/>
          </w:rPr>
          <w:t>The assessment process</w:t>
        </w:r>
        <w:r w:rsidR="005F4C7F">
          <w:rPr>
            <w:webHidden/>
          </w:rPr>
          <w:tab/>
        </w:r>
        <w:r w:rsidR="005F4C7F">
          <w:rPr>
            <w:webHidden/>
          </w:rPr>
          <w:fldChar w:fldCharType="begin"/>
        </w:r>
        <w:r w:rsidR="005F4C7F">
          <w:rPr>
            <w:webHidden/>
          </w:rPr>
          <w:instrText xml:space="preserve"> PAGEREF _Toc127875386 \h </w:instrText>
        </w:r>
        <w:r w:rsidR="005F4C7F">
          <w:rPr>
            <w:webHidden/>
          </w:rPr>
        </w:r>
        <w:r w:rsidR="005F4C7F">
          <w:rPr>
            <w:webHidden/>
          </w:rPr>
          <w:fldChar w:fldCharType="separate"/>
        </w:r>
        <w:r w:rsidR="00156C01">
          <w:rPr>
            <w:webHidden/>
          </w:rPr>
          <w:t>10</w:t>
        </w:r>
        <w:r w:rsidR="005F4C7F">
          <w:rPr>
            <w:webHidden/>
          </w:rPr>
          <w:fldChar w:fldCharType="end"/>
        </w:r>
      </w:hyperlink>
    </w:p>
    <w:p w14:paraId="6040F899" w14:textId="1638EA66" w:rsidR="005F4C7F" w:rsidRDefault="00BE462A">
      <w:pPr>
        <w:pStyle w:val="TOC6"/>
        <w:rPr>
          <w:rFonts w:eastAsiaTheme="minorEastAsia"/>
          <w:noProof/>
          <w:lang w:eastAsia="en-AU"/>
        </w:rPr>
      </w:pPr>
      <w:hyperlink w:anchor="_Toc127875387" w:history="1">
        <w:r w:rsidR="005F4C7F" w:rsidRPr="007C61A0">
          <w:rPr>
            <w:rStyle w:val="Hyperlink"/>
            <w:noProof/>
          </w:rPr>
          <w:t>3.1.1.</w:t>
        </w:r>
        <w:r w:rsidR="005F4C7F">
          <w:rPr>
            <w:rFonts w:eastAsiaTheme="minorEastAsia"/>
            <w:noProof/>
            <w:lang w:eastAsia="en-AU"/>
          </w:rPr>
          <w:tab/>
        </w:r>
        <w:r w:rsidR="005F4C7F" w:rsidRPr="007C61A0">
          <w:rPr>
            <w:rStyle w:val="Hyperlink"/>
            <w:noProof/>
          </w:rPr>
          <w:t>Timing of the application</w:t>
        </w:r>
        <w:r w:rsidR="005F4C7F">
          <w:rPr>
            <w:noProof/>
            <w:webHidden/>
          </w:rPr>
          <w:tab/>
        </w:r>
        <w:r w:rsidR="005F4C7F">
          <w:rPr>
            <w:noProof/>
            <w:webHidden/>
          </w:rPr>
          <w:fldChar w:fldCharType="begin"/>
        </w:r>
        <w:r w:rsidR="005F4C7F">
          <w:rPr>
            <w:noProof/>
            <w:webHidden/>
          </w:rPr>
          <w:instrText xml:space="preserve"> PAGEREF _Toc127875387 \h </w:instrText>
        </w:r>
        <w:r w:rsidR="005F4C7F">
          <w:rPr>
            <w:noProof/>
            <w:webHidden/>
          </w:rPr>
        </w:r>
        <w:r w:rsidR="005F4C7F">
          <w:rPr>
            <w:noProof/>
            <w:webHidden/>
          </w:rPr>
          <w:fldChar w:fldCharType="separate"/>
        </w:r>
        <w:r w:rsidR="00156C01">
          <w:rPr>
            <w:noProof/>
            <w:webHidden/>
          </w:rPr>
          <w:t>10</w:t>
        </w:r>
        <w:r w:rsidR="005F4C7F">
          <w:rPr>
            <w:noProof/>
            <w:webHidden/>
          </w:rPr>
          <w:fldChar w:fldCharType="end"/>
        </w:r>
      </w:hyperlink>
    </w:p>
    <w:p w14:paraId="378DF3A7" w14:textId="2084F577" w:rsidR="005F4C7F" w:rsidRDefault="00BE462A">
      <w:pPr>
        <w:pStyle w:val="TOC6"/>
        <w:rPr>
          <w:rFonts w:eastAsiaTheme="minorEastAsia"/>
          <w:noProof/>
          <w:lang w:eastAsia="en-AU"/>
        </w:rPr>
      </w:pPr>
      <w:hyperlink w:anchor="_Toc127875388" w:history="1">
        <w:r w:rsidR="005F4C7F" w:rsidRPr="007C61A0">
          <w:rPr>
            <w:rStyle w:val="Hyperlink"/>
            <w:noProof/>
          </w:rPr>
          <w:t>3.1.2.</w:t>
        </w:r>
        <w:r w:rsidR="005F4C7F">
          <w:rPr>
            <w:rFonts w:eastAsiaTheme="minorEastAsia"/>
            <w:noProof/>
            <w:lang w:eastAsia="en-AU"/>
          </w:rPr>
          <w:tab/>
        </w:r>
        <w:r w:rsidR="005F4C7F" w:rsidRPr="007C61A0">
          <w:rPr>
            <w:rStyle w:val="Hyperlink"/>
            <w:noProof/>
          </w:rPr>
          <w:t>Consultation (publication of the licence application)</w:t>
        </w:r>
        <w:r w:rsidR="005F4C7F">
          <w:rPr>
            <w:noProof/>
            <w:webHidden/>
          </w:rPr>
          <w:tab/>
        </w:r>
        <w:r w:rsidR="005F4C7F">
          <w:rPr>
            <w:noProof/>
            <w:webHidden/>
          </w:rPr>
          <w:fldChar w:fldCharType="begin"/>
        </w:r>
        <w:r w:rsidR="005F4C7F">
          <w:rPr>
            <w:noProof/>
            <w:webHidden/>
          </w:rPr>
          <w:instrText xml:space="preserve"> PAGEREF _Toc127875388 \h </w:instrText>
        </w:r>
        <w:r w:rsidR="005F4C7F">
          <w:rPr>
            <w:noProof/>
            <w:webHidden/>
          </w:rPr>
        </w:r>
        <w:r w:rsidR="005F4C7F">
          <w:rPr>
            <w:noProof/>
            <w:webHidden/>
          </w:rPr>
          <w:fldChar w:fldCharType="separate"/>
        </w:r>
        <w:r w:rsidR="00156C01">
          <w:rPr>
            <w:noProof/>
            <w:webHidden/>
          </w:rPr>
          <w:t>11</w:t>
        </w:r>
        <w:r w:rsidR="005F4C7F">
          <w:rPr>
            <w:noProof/>
            <w:webHidden/>
          </w:rPr>
          <w:fldChar w:fldCharType="end"/>
        </w:r>
      </w:hyperlink>
    </w:p>
    <w:p w14:paraId="5BC920FD" w14:textId="27C9A8BA" w:rsidR="005F4C7F" w:rsidRDefault="00BE462A">
      <w:pPr>
        <w:pStyle w:val="TOC6"/>
        <w:rPr>
          <w:rFonts w:eastAsiaTheme="minorEastAsia"/>
          <w:noProof/>
          <w:lang w:eastAsia="en-AU"/>
        </w:rPr>
      </w:pPr>
      <w:hyperlink w:anchor="_Toc127875389" w:history="1">
        <w:r w:rsidR="005F4C7F" w:rsidRPr="007C61A0">
          <w:rPr>
            <w:rStyle w:val="Hyperlink"/>
            <w:noProof/>
          </w:rPr>
          <w:t>3.1.3.</w:t>
        </w:r>
        <w:r w:rsidR="005F4C7F">
          <w:rPr>
            <w:rFonts w:eastAsiaTheme="minorEastAsia"/>
            <w:noProof/>
            <w:lang w:eastAsia="en-AU"/>
          </w:rPr>
          <w:tab/>
        </w:r>
        <w:r w:rsidR="005F4C7F" w:rsidRPr="007C61A0">
          <w:rPr>
            <w:rStyle w:val="Hyperlink"/>
            <w:noProof/>
          </w:rPr>
          <w:t>Confidential information</w:t>
        </w:r>
        <w:r w:rsidR="005F4C7F">
          <w:rPr>
            <w:noProof/>
            <w:webHidden/>
          </w:rPr>
          <w:tab/>
        </w:r>
        <w:r w:rsidR="005F4C7F">
          <w:rPr>
            <w:noProof/>
            <w:webHidden/>
          </w:rPr>
          <w:fldChar w:fldCharType="begin"/>
        </w:r>
        <w:r w:rsidR="005F4C7F">
          <w:rPr>
            <w:noProof/>
            <w:webHidden/>
          </w:rPr>
          <w:instrText xml:space="preserve"> PAGEREF _Toc127875389 \h </w:instrText>
        </w:r>
        <w:r w:rsidR="005F4C7F">
          <w:rPr>
            <w:noProof/>
            <w:webHidden/>
          </w:rPr>
        </w:r>
        <w:r w:rsidR="005F4C7F">
          <w:rPr>
            <w:noProof/>
            <w:webHidden/>
          </w:rPr>
          <w:fldChar w:fldCharType="separate"/>
        </w:r>
        <w:r w:rsidR="00156C01">
          <w:rPr>
            <w:noProof/>
            <w:webHidden/>
          </w:rPr>
          <w:t>11</w:t>
        </w:r>
        <w:r w:rsidR="005F4C7F">
          <w:rPr>
            <w:noProof/>
            <w:webHidden/>
          </w:rPr>
          <w:fldChar w:fldCharType="end"/>
        </w:r>
      </w:hyperlink>
    </w:p>
    <w:p w14:paraId="4E036326" w14:textId="7E5AC0E2" w:rsidR="005F4C7F" w:rsidRDefault="00BE462A">
      <w:pPr>
        <w:pStyle w:val="TOC6"/>
        <w:rPr>
          <w:rFonts w:eastAsiaTheme="minorEastAsia"/>
          <w:noProof/>
          <w:lang w:eastAsia="en-AU"/>
        </w:rPr>
      </w:pPr>
      <w:hyperlink w:anchor="_Toc127875390" w:history="1">
        <w:r w:rsidR="005F4C7F" w:rsidRPr="007C61A0">
          <w:rPr>
            <w:rStyle w:val="Hyperlink"/>
            <w:noProof/>
          </w:rPr>
          <w:t>3.1.4.</w:t>
        </w:r>
        <w:r w:rsidR="005F4C7F">
          <w:rPr>
            <w:rFonts w:eastAsiaTheme="minorEastAsia"/>
            <w:noProof/>
            <w:lang w:eastAsia="en-AU"/>
          </w:rPr>
          <w:tab/>
        </w:r>
        <w:r w:rsidR="005F4C7F" w:rsidRPr="007C61A0">
          <w:rPr>
            <w:rStyle w:val="Hyperlink"/>
            <w:noProof/>
          </w:rPr>
          <w:t>Submissions</w:t>
        </w:r>
        <w:r w:rsidR="005F4C7F">
          <w:rPr>
            <w:noProof/>
            <w:webHidden/>
          </w:rPr>
          <w:tab/>
        </w:r>
        <w:r w:rsidR="005F4C7F">
          <w:rPr>
            <w:noProof/>
            <w:webHidden/>
          </w:rPr>
          <w:fldChar w:fldCharType="begin"/>
        </w:r>
        <w:r w:rsidR="005F4C7F">
          <w:rPr>
            <w:noProof/>
            <w:webHidden/>
          </w:rPr>
          <w:instrText xml:space="preserve"> PAGEREF _Toc127875390 \h </w:instrText>
        </w:r>
        <w:r w:rsidR="005F4C7F">
          <w:rPr>
            <w:noProof/>
            <w:webHidden/>
          </w:rPr>
        </w:r>
        <w:r w:rsidR="005F4C7F">
          <w:rPr>
            <w:noProof/>
            <w:webHidden/>
          </w:rPr>
          <w:fldChar w:fldCharType="separate"/>
        </w:r>
        <w:r w:rsidR="00156C01">
          <w:rPr>
            <w:noProof/>
            <w:webHidden/>
          </w:rPr>
          <w:t>12</w:t>
        </w:r>
        <w:r w:rsidR="005F4C7F">
          <w:rPr>
            <w:noProof/>
            <w:webHidden/>
          </w:rPr>
          <w:fldChar w:fldCharType="end"/>
        </w:r>
      </w:hyperlink>
    </w:p>
    <w:p w14:paraId="72FF8F74" w14:textId="7AA68BB8" w:rsidR="005F4C7F" w:rsidRDefault="00BE462A">
      <w:pPr>
        <w:pStyle w:val="TOC6"/>
        <w:rPr>
          <w:rFonts w:eastAsiaTheme="minorEastAsia"/>
          <w:noProof/>
          <w:lang w:eastAsia="en-AU"/>
        </w:rPr>
      </w:pPr>
      <w:hyperlink w:anchor="_Toc127875391" w:history="1">
        <w:r w:rsidR="005F4C7F" w:rsidRPr="007C61A0">
          <w:rPr>
            <w:rStyle w:val="Hyperlink"/>
            <w:noProof/>
          </w:rPr>
          <w:t>3.1.5.</w:t>
        </w:r>
        <w:r w:rsidR="005F4C7F">
          <w:rPr>
            <w:rFonts w:eastAsiaTheme="minorEastAsia"/>
            <w:noProof/>
            <w:lang w:eastAsia="en-AU"/>
          </w:rPr>
          <w:tab/>
        </w:r>
        <w:r w:rsidR="005F4C7F" w:rsidRPr="007C61A0">
          <w:rPr>
            <w:rStyle w:val="Hyperlink"/>
            <w:noProof/>
          </w:rPr>
          <w:t>Consideration of the application</w:t>
        </w:r>
        <w:r w:rsidR="005F4C7F">
          <w:rPr>
            <w:noProof/>
            <w:webHidden/>
          </w:rPr>
          <w:tab/>
        </w:r>
        <w:r w:rsidR="005F4C7F">
          <w:rPr>
            <w:noProof/>
            <w:webHidden/>
          </w:rPr>
          <w:fldChar w:fldCharType="begin"/>
        </w:r>
        <w:r w:rsidR="005F4C7F">
          <w:rPr>
            <w:noProof/>
            <w:webHidden/>
          </w:rPr>
          <w:instrText xml:space="preserve"> PAGEREF _Toc127875391 \h </w:instrText>
        </w:r>
        <w:r w:rsidR="005F4C7F">
          <w:rPr>
            <w:noProof/>
            <w:webHidden/>
          </w:rPr>
        </w:r>
        <w:r w:rsidR="005F4C7F">
          <w:rPr>
            <w:noProof/>
            <w:webHidden/>
          </w:rPr>
          <w:fldChar w:fldCharType="separate"/>
        </w:r>
        <w:r w:rsidR="00156C01">
          <w:rPr>
            <w:noProof/>
            <w:webHidden/>
          </w:rPr>
          <w:t>12</w:t>
        </w:r>
        <w:r w:rsidR="005F4C7F">
          <w:rPr>
            <w:noProof/>
            <w:webHidden/>
          </w:rPr>
          <w:fldChar w:fldCharType="end"/>
        </w:r>
      </w:hyperlink>
    </w:p>
    <w:p w14:paraId="512F4F7F" w14:textId="624B0827" w:rsidR="005F4C7F" w:rsidRDefault="00BE462A">
      <w:pPr>
        <w:pStyle w:val="TOC6"/>
        <w:rPr>
          <w:rFonts w:eastAsiaTheme="minorEastAsia"/>
          <w:noProof/>
          <w:lang w:eastAsia="en-AU"/>
        </w:rPr>
      </w:pPr>
      <w:hyperlink w:anchor="_Toc127875392" w:history="1">
        <w:r w:rsidR="005F4C7F" w:rsidRPr="007C61A0">
          <w:rPr>
            <w:rStyle w:val="Hyperlink"/>
            <w:noProof/>
          </w:rPr>
          <w:t>3.1.6.</w:t>
        </w:r>
        <w:r w:rsidR="005F4C7F">
          <w:rPr>
            <w:rFonts w:eastAsiaTheme="minorEastAsia"/>
            <w:noProof/>
            <w:lang w:eastAsia="en-AU"/>
          </w:rPr>
          <w:tab/>
        </w:r>
        <w:r w:rsidR="005F4C7F" w:rsidRPr="007C61A0">
          <w:rPr>
            <w:rStyle w:val="Hyperlink"/>
            <w:noProof/>
          </w:rPr>
          <w:t>Consideration of draft licence by applicant</w:t>
        </w:r>
        <w:r w:rsidR="005F4C7F">
          <w:rPr>
            <w:noProof/>
            <w:webHidden/>
          </w:rPr>
          <w:tab/>
        </w:r>
        <w:r w:rsidR="005F4C7F">
          <w:rPr>
            <w:noProof/>
            <w:webHidden/>
          </w:rPr>
          <w:fldChar w:fldCharType="begin"/>
        </w:r>
        <w:r w:rsidR="005F4C7F">
          <w:rPr>
            <w:noProof/>
            <w:webHidden/>
          </w:rPr>
          <w:instrText xml:space="preserve"> PAGEREF _Toc127875392 \h </w:instrText>
        </w:r>
        <w:r w:rsidR="005F4C7F">
          <w:rPr>
            <w:noProof/>
            <w:webHidden/>
          </w:rPr>
        </w:r>
        <w:r w:rsidR="005F4C7F">
          <w:rPr>
            <w:noProof/>
            <w:webHidden/>
          </w:rPr>
          <w:fldChar w:fldCharType="separate"/>
        </w:r>
        <w:r w:rsidR="00156C01">
          <w:rPr>
            <w:noProof/>
            <w:webHidden/>
          </w:rPr>
          <w:t>13</w:t>
        </w:r>
        <w:r w:rsidR="005F4C7F">
          <w:rPr>
            <w:noProof/>
            <w:webHidden/>
          </w:rPr>
          <w:fldChar w:fldCharType="end"/>
        </w:r>
      </w:hyperlink>
    </w:p>
    <w:p w14:paraId="1F09ACCE" w14:textId="7384B92D" w:rsidR="005F4C7F" w:rsidRDefault="00BE462A">
      <w:pPr>
        <w:pStyle w:val="TOC6"/>
        <w:rPr>
          <w:rFonts w:eastAsiaTheme="minorEastAsia"/>
          <w:noProof/>
          <w:lang w:eastAsia="en-AU"/>
        </w:rPr>
      </w:pPr>
      <w:hyperlink w:anchor="_Toc127875393" w:history="1">
        <w:r w:rsidR="005F4C7F" w:rsidRPr="007C61A0">
          <w:rPr>
            <w:rStyle w:val="Hyperlink"/>
            <w:noProof/>
          </w:rPr>
          <w:t>3.1.7.</w:t>
        </w:r>
        <w:r w:rsidR="005F4C7F">
          <w:rPr>
            <w:rFonts w:eastAsiaTheme="minorEastAsia"/>
            <w:noProof/>
            <w:lang w:eastAsia="en-AU"/>
          </w:rPr>
          <w:tab/>
        </w:r>
        <w:r w:rsidR="005F4C7F" w:rsidRPr="007C61A0">
          <w:rPr>
            <w:rStyle w:val="Hyperlink"/>
            <w:noProof/>
          </w:rPr>
          <w:t>Decision and notification</w:t>
        </w:r>
        <w:r w:rsidR="005F4C7F">
          <w:rPr>
            <w:noProof/>
            <w:webHidden/>
          </w:rPr>
          <w:tab/>
        </w:r>
        <w:r w:rsidR="005F4C7F">
          <w:rPr>
            <w:noProof/>
            <w:webHidden/>
          </w:rPr>
          <w:fldChar w:fldCharType="begin"/>
        </w:r>
        <w:r w:rsidR="005F4C7F">
          <w:rPr>
            <w:noProof/>
            <w:webHidden/>
          </w:rPr>
          <w:instrText xml:space="preserve"> PAGEREF _Toc127875393 \h </w:instrText>
        </w:r>
        <w:r w:rsidR="005F4C7F">
          <w:rPr>
            <w:noProof/>
            <w:webHidden/>
          </w:rPr>
        </w:r>
        <w:r w:rsidR="005F4C7F">
          <w:rPr>
            <w:noProof/>
            <w:webHidden/>
          </w:rPr>
          <w:fldChar w:fldCharType="separate"/>
        </w:r>
        <w:r w:rsidR="00156C01">
          <w:rPr>
            <w:noProof/>
            <w:webHidden/>
          </w:rPr>
          <w:t>13</w:t>
        </w:r>
        <w:r w:rsidR="005F4C7F">
          <w:rPr>
            <w:noProof/>
            <w:webHidden/>
          </w:rPr>
          <w:fldChar w:fldCharType="end"/>
        </w:r>
      </w:hyperlink>
    </w:p>
    <w:p w14:paraId="5137235E" w14:textId="45C0DA99" w:rsidR="005F4C7F" w:rsidRPr="005F4C7F" w:rsidRDefault="00BE462A" w:rsidP="00487614">
      <w:pPr>
        <w:pStyle w:val="TOC2"/>
        <w:rPr>
          <w:rFonts w:eastAsiaTheme="minorEastAsia"/>
          <w:lang w:eastAsia="en-AU"/>
        </w:rPr>
      </w:pPr>
      <w:hyperlink w:anchor="_Toc127875394" w:history="1">
        <w:r w:rsidR="005F4C7F" w:rsidRPr="005F4C7F">
          <w:rPr>
            <w:rStyle w:val="Hyperlink"/>
            <w:b/>
            <w:bCs/>
          </w:rPr>
          <w:t>4.</w:t>
        </w:r>
        <w:r w:rsidR="005F4C7F" w:rsidRPr="005F4C7F">
          <w:rPr>
            <w:rFonts w:eastAsiaTheme="minorEastAsia"/>
            <w:lang w:eastAsia="en-AU"/>
          </w:rPr>
          <w:tab/>
        </w:r>
        <w:r w:rsidR="005F4C7F" w:rsidRPr="005F4C7F">
          <w:rPr>
            <w:rStyle w:val="Hyperlink"/>
            <w:b/>
            <w:bCs/>
          </w:rPr>
          <w:t>Information required in an application</w:t>
        </w:r>
        <w:r w:rsidR="005F4C7F" w:rsidRPr="005F4C7F">
          <w:rPr>
            <w:webHidden/>
          </w:rPr>
          <w:tab/>
        </w:r>
        <w:r w:rsidR="005F4C7F" w:rsidRPr="00176594">
          <w:rPr>
            <w:b/>
            <w:bCs/>
            <w:webHidden/>
          </w:rPr>
          <w:fldChar w:fldCharType="begin"/>
        </w:r>
        <w:r w:rsidR="005F4C7F" w:rsidRPr="00440760">
          <w:rPr>
            <w:b/>
            <w:bCs/>
            <w:webHidden/>
          </w:rPr>
          <w:instrText xml:space="preserve"> PAGEREF _Toc127875394 \h </w:instrText>
        </w:r>
        <w:r w:rsidR="005F4C7F" w:rsidRPr="00176594">
          <w:rPr>
            <w:b/>
            <w:bCs/>
            <w:webHidden/>
          </w:rPr>
        </w:r>
        <w:r w:rsidR="005F4C7F" w:rsidRPr="00176594">
          <w:rPr>
            <w:b/>
            <w:bCs/>
            <w:webHidden/>
          </w:rPr>
          <w:fldChar w:fldCharType="separate"/>
        </w:r>
        <w:r w:rsidR="00156C01">
          <w:rPr>
            <w:b/>
            <w:bCs/>
            <w:webHidden/>
          </w:rPr>
          <w:t>14</w:t>
        </w:r>
        <w:r w:rsidR="005F4C7F" w:rsidRPr="00176594">
          <w:rPr>
            <w:b/>
            <w:bCs/>
            <w:webHidden/>
          </w:rPr>
          <w:fldChar w:fldCharType="end"/>
        </w:r>
      </w:hyperlink>
    </w:p>
    <w:p w14:paraId="4B54A065" w14:textId="128F051D" w:rsidR="005F4C7F" w:rsidRDefault="00BE462A" w:rsidP="00793CBD">
      <w:pPr>
        <w:pStyle w:val="TOC4"/>
        <w:rPr>
          <w:rFonts w:eastAsiaTheme="minorEastAsia"/>
          <w:lang w:eastAsia="en-AU"/>
        </w:rPr>
      </w:pPr>
      <w:hyperlink w:anchor="_Toc127875395" w:history="1">
        <w:r w:rsidR="005F4C7F" w:rsidRPr="007C61A0">
          <w:rPr>
            <w:rStyle w:val="Hyperlink"/>
          </w:rPr>
          <w:t>4.1.</w:t>
        </w:r>
        <w:r w:rsidR="005F4C7F">
          <w:rPr>
            <w:rFonts w:eastAsiaTheme="minorEastAsia"/>
            <w:lang w:eastAsia="en-AU"/>
          </w:rPr>
          <w:tab/>
        </w:r>
        <w:r w:rsidR="005F4C7F" w:rsidRPr="007C61A0">
          <w:rPr>
            <w:rStyle w:val="Hyperlink"/>
          </w:rPr>
          <w:t>Information about the applicant and proposed activities</w:t>
        </w:r>
        <w:r w:rsidR="005F4C7F">
          <w:rPr>
            <w:webHidden/>
          </w:rPr>
          <w:tab/>
        </w:r>
        <w:r w:rsidR="005F4C7F">
          <w:rPr>
            <w:webHidden/>
          </w:rPr>
          <w:fldChar w:fldCharType="begin"/>
        </w:r>
        <w:r w:rsidR="005F4C7F">
          <w:rPr>
            <w:webHidden/>
          </w:rPr>
          <w:instrText xml:space="preserve"> PAGEREF _Toc127875395 \h </w:instrText>
        </w:r>
        <w:r w:rsidR="005F4C7F">
          <w:rPr>
            <w:webHidden/>
          </w:rPr>
        </w:r>
        <w:r w:rsidR="005F4C7F">
          <w:rPr>
            <w:webHidden/>
          </w:rPr>
          <w:fldChar w:fldCharType="separate"/>
        </w:r>
        <w:r w:rsidR="00156C01">
          <w:rPr>
            <w:webHidden/>
          </w:rPr>
          <w:t>15</w:t>
        </w:r>
        <w:r w:rsidR="005F4C7F">
          <w:rPr>
            <w:webHidden/>
          </w:rPr>
          <w:fldChar w:fldCharType="end"/>
        </w:r>
      </w:hyperlink>
    </w:p>
    <w:p w14:paraId="089A14F7" w14:textId="13C3E1BC" w:rsidR="005F4C7F" w:rsidRDefault="00BE462A" w:rsidP="00793CBD">
      <w:pPr>
        <w:pStyle w:val="TOC4"/>
        <w:rPr>
          <w:rFonts w:eastAsiaTheme="minorEastAsia"/>
          <w:lang w:eastAsia="en-AU"/>
        </w:rPr>
      </w:pPr>
      <w:hyperlink w:anchor="_Toc127875396" w:history="1">
        <w:r w:rsidR="005F4C7F" w:rsidRPr="007C61A0">
          <w:rPr>
            <w:rStyle w:val="Hyperlink"/>
          </w:rPr>
          <w:t>4.2.</w:t>
        </w:r>
        <w:r w:rsidR="005F4C7F">
          <w:rPr>
            <w:rFonts w:eastAsiaTheme="minorEastAsia"/>
            <w:lang w:eastAsia="en-AU"/>
          </w:rPr>
          <w:tab/>
        </w:r>
        <w:r w:rsidR="005F4C7F" w:rsidRPr="007C61A0">
          <w:rPr>
            <w:rStyle w:val="Hyperlink"/>
          </w:rPr>
          <w:t>Dispute resolution</w:t>
        </w:r>
        <w:r w:rsidR="005F4C7F">
          <w:rPr>
            <w:webHidden/>
          </w:rPr>
          <w:tab/>
        </w:r>
        <w:r w:rsidR="005F4C7F">
          <w:rPr>
            <w:webHidden/>
          </w:rPr>
          <w:fldChar w:fldCharType="begin"/>
        </w:r>
        <w:r w:rsidR="005F4C7F">
          <w:rPr>
            <w:webHidden/>
          </w:rPr>
          <w:instrText xml:space="preserve"> PAGEREF _Toc127875396 \h </w:instrText>
        </w:r>
        <w:r w:rsidR="005F4C7F">
          <w:rPr>
            <w:webHidden/>
          </w:rPr>
        </w:r>
        <w:r w:rsidR="005F4C7F">
          <w:rPr>
            <w:webHidden/>
          </w:rPr>
          <w:fldChar w:fldCharType="separate"/>
        </w:r>
        <w:r w:rsidR="00156C01">
          <w:rPr>
            <w:webHidden/>
          </w:rPr>
          <w:t>15</w:t>
        </w:r>
        <w:r w:rsidR="005F4C7F">
          <w:rPr>
            <w:webHidden/>
          </w:rPr>
          <w:fldChar w:fldCharType="end"/>
        </w:r>
      </w:hyperlink>
    </w:p>
    <w:p w14:paraId="1A230C25" w14:textId="5CB7A59D" w:rsidR="005F4C7F" w:rsidRDefault="00BE462A" w:rsidP="00793CBD">
      <w:pPr>
        <w:pStyle w:val="TOC4"/>
        <w:rPr>
          <w:rFonts w:eastAsiaTheme="minorEastAsia"/>
          <w:lang w:eastAsia="en-AU"/>
        </w:rPr>
      </w:pPr>
      <w:hyperlink w:anchor="_Toc127875397" w:history="1">
        <w:r w:rsidR="005F4C7F" w:rsidRPr="007C61A0">
          <w:rPr>
            <w:rStyle w:val="Hyperlink"/>
          </w:rPr>
          <w:t>4.3.</w:t>
        </w:r>
        <w:r w:rsidR="005F4C7F">
          <w:rPr>
            <w:rFonts w:eastAsiaTheme="minorEastAsia"/>
            <w:lang w:eastAsia="en-AU"/>
          </w:rPr>
          <w:tab/>
        </w:r>
        <w:r w:rsidR="005F4C7F" w:rsidRPr="007C61A0">
          <w:rPr>
            <w:rStyle w:val="Hyperlink"/>
          </w:rPr>
          <w:t>Energy Safe Victoria</w:t>
        </w:r>
        <w:r w:rsidR="005F4C7F">
          <w:rPr>
            <w:webHidden/>
          </w:rPr>
          <w:tab/>
        </w:r>
        <w:r w:rsidR="005F4C7F">
          <w:rPr>
            <w:webHidden/>
          </w:rPr>
          <w:fldChar w:fldCharType="begin"/>
        </w:r>
        <w:r w:rsidR="005F4C7F">
          <w:rPr>
            <w:webHidden/>
          </w:rPr>
          <w:instrText xml:space="preserve"> PAGEREF _Toc127875397 \h </w:instrText>
        </w:r>
        <w:r w:rsidR="005F4C7F">
          <w:rPr>
            <w:webHidden/>
          </w:rPr>
        </w:r>
        <w:r w:rsidR="005F4C7F">
          <w:rPr>
            <w:webHidden/>
          </w:rPr>
          <w:fldChar w:fldCharType="separate"/>
        </w:r>
        <w:r w:rsidR="00156C01">
          <w:rPr>
            <w:webHidden/>
          </w:rPr>
          <w:t>15</w:t>
        </w:r>
        <w:r w:rsidR="005F4C7F">
          <w:rPr>
            <w:webHidden/>
          </w:rPr>
          <w:fldChar w:fldCharType="end"/>
        </w:r>
      </w:hyperlink>
    </w:p>
    <w:p w14:paraId="4D9594B3" w14:textId="0C595A58" w:rsidR="005F4C7F" w:rsidRDefault="00BE462A" w:rsidP="00793CBD">
      <w:pPr>
        <w:pStyle w:val="TOC4"/>
        <w:rPr>
          <w:rFonts w:eastAsiaTheme="minorEastAsia"/>
          <w:lang w:eastAsia="en-AU"/>
        </w:rPr>
      </w:pPr>
      <w:hyperlink w:anchor="_Toc127875398" w:history="1">
        <w:r w:rsidR="005F4C7F" w:rsidRPr="007C61A0">
          <w:rPr>
            <w:rStyle w:val="Hyperlink"/>
          </w:rPr>
          <w:t>4.4.</w:t>
        </w:r>
        <w:r w:rsidR="005F4C7F">
          <w:rPr>
            <w:rFonts w:eastAsiaTheme="minorEastAsia"/>
            <w:lang w:eastAsia="en-AU"/>
          </w:rPr>
          <w:tab/>
        </w:r>
        <w:r w:rsidR="005F4C7F" w:rsidRPr="007C61A0">
          <w:rPr>
            <w:rStyle w:val="Hyperlink"/>
          </w:rPr>
          <w:t>Technical capacity</w:t>
        </w:r>
        <w:r w:rsidR="005F4C7F">
          <w:rPr>
            <w:webHidden/>
          </w:rPr>
          <w:tab/>
        </w:r>
        <w:r w:rsidR="005F4C7F">
          <w:rPr>
            <w:webHidden/>
          </w:rPr>
          <w:fldChar w:fldCharType="begin"/>
        </w:r>
        <w:r w:rsidR="005F4C7F">
          <w:rPr>
            <w:webHidden/>
          </w:rPr>
          <w:instrText xml:space="preserve"> PAGEREF _Toc127875398 \h </w:instrText>
        </w:r>
        <w:r w:rsidR="005F4C7F">
          <w:rPr>
            <w:webHidden/>
          </w:rPr>
        </w:r>
        <w:r w:rsidR="005F4C7F">
          <w:rPr>
            <w:webHidden/>
          </w:rPr>
          <w:fldChar w:fldCharType="separate"/>
        </w:r>
        <w:r w:rsidR="00156C01">
          <w:rPr>
            <w:webHidden/>
          </w:rPr>
          <w:t>15</w:t>
        </w:r>
        <w:r w:rsidR="005F4C7F">
          <w:rPr>
            <w:webHidden/>
          </w:rPr>
          <w:fldChar w:fldCharType="end"/>
        </w:r>
      </w:hyperlink>
    </w:p>
    <w:p w14:paraId="7E7665C6" w14:textId="5AEBA16F" w:rsidR="005F4C7F" w:rsidRDefault="00BE462A" w:rsidP="00793CBD">
      <w:pPr>
        <w:pStyle w:val="TOC4"/>
        <w:rPr>
          <w:rFonts w:eastAsiaTheme="minorEastAsia"/>
          <w:lang w:eastAsia="en-AU"/>
        </w:rPr>
      </w:pPr>
      <w:hyperlink w:anchor="_Toc127875399" w:history="1">
        <w:r w:rsidR="005F4C7F" w:rsidRPr="007C61A0">
          <w:rPr>
            <w:rStyle w:val="Hyperlink"/>
          </w:rPr>
          <w:t>4.5.</w:t>
        </w:r>
        <w:r w:rsidR="005F4C7F">
          <w:rPr>
            <w:rFonts w:eastAsiaTheme="minorEastAsia"/>
            <w:lang w:eastAsia="en-AU"/>
          </w:rPr>
          <w:tab/>
        </w:r>
        <w:r w:rsidR="005F4C7F" w:rsidRPr="007C61A0">
          <w:rPr>
            <w:rStyle w:val="Hyperlink"/>
          </w:rPr>
          <w:t>Financial viability</w:t>
        </w:r>
        <w:r w:rsidR="005F4C7F">
          <w:rPr>
            <w:webHidden/>
          </w:rPr>
          <w:tab/>
        </w:r>
        <w:r w:rsidR="005F4C7F">
          <w:rPr>
            <w:webHidden/>
          </w:rPr>
          <w:fldChar w:fldCharType="begin"/>
        </w:r>
        <w:r w:rsidR="005F4C7F">
          <w:rPr>
            <w:webHidden/>
          </w:rPr>
          <w:instrText xml:space="preserve"> PAGEREF _Toc127875399 \h </w:instrText>
        </w:r>
        <w:r w:rsidR="005F4C7F">
          <w:rPr>
            <w:webHidden/>
          </w:rPr>
        </w:r>
        <w:r w:rsidR="005F4C7F">
          <w:rPr>
            <w:webHidden/>
          </w:rPr>
          <w:fldChar w:fldCharType="separate"/>
        </w:r>
        <w:r w:rsidR="00156C01">
          <w:rPr>
            <w:webHidden/>
          </w:rPr>
          <w:t>16</w:t>
        </w:r>
        <w:r w:rsidR="005F4C7F">
          <w:rPr>
            <w:webHidden/>
          </w:rPr>
          <w:fldChar w:fldCharType="end"/>
        </w:r>
      </w:hyperlink>
    </w:p>
    <w:p w14:paraId="1F2B5976" w14:textId="1C9CF365" w:rsidR="005F4C7F" w:rsidRDefault="00BE462A">
      <w:pPr>
        <w:pStyle w:val="TOC5"/>
        <w:rPr>
          <w:rFonts w:eastAsiaTheme="minorEastAsia"/>
          <w:noProof/>
          <w:lang w:eastAsia="en-AU"/>
        </w:rPr>
      </w:pPr>
      <w:hyperlink w:anchor="_Toc127875400" w:history="1">
        <w:r w:rsidR="005F4C7F" w:rsidRPr="007C61A0">
          <w:rPr>
            <w:rStyle w:val="Hyperlink"/>
            <w:noProof/>
          </w:rPr>
          <w:t>Point in time assessment</w:t>
        </w:r>
        <w:r w:rsidR="005F4C7F">
          <w:rPr>
            <w:noProof/>
            <w:webHidden/>
          </w:rPr>
          <w:tab/>
        </w:r>
        <w:r w:rsidR="005F4C7F">
          <w:rPr>
            <w:noProof/>
            <w:webHidden/>
          </w:rPr>
          <w:fldChar w:fldCharType="begin"/>
        </w:r>
        <w:r w:rsidR="005F4C7F">
          <w:rPr>
            <w:noProof/>
            <w:webHidden/>
          </w:rPr>
          <w:instrText xml:space="preserve"> PAGEREF _Toc127875400 \h </w:instrText>
        </w:r>
        <w:r w:rsidR="005F4C7F">
          <w:rPr>
            <w:noProof/>
            <w:webHidden/>
          </w:rPr>
        </w:r>
        <w:r w:rsidR="005F4C7F">
          <w:rPr>
            <w:noProof/>
            <w:webHidden/>
          </w:rPr>
          <w:fldChar w:fldCharType="separate"/>
        </w:r>
        <w:r w:rsidR="00156C01">
          <w:rPr>
            <w:noProof/>
            <w:webHidden/>
          </w:rPr>
          <w:t>17</w:t>
        </w:r>
        <w:r w:rsidR="005F4C7F">
          <w:rPr>
            <w:noProof/>
            <w:webHidden/>
          </w:rPr>
          <w:fldChar w:fldCharType="end"/>
        </w:r>
      </w:hyperlink>
    </w:p>
    <w:p w14:paraId="5D13D982" w14:textId="4C323BE3" w:rsidR="005F4C7F" w:rsidRDefault="00BE462A">
      <w:pPr>
        <w:pStyle w:val="TOC5"/>
        <w:rPr>
          <w:rFonts w:eastAsiaTheme="minorEastAsia"/>
          <w:noProof/>
          <w:lang w:eastAsia="en-AU"/>
        </w:rPr>
      </w:pPr>
      <w:hyperlink w:anchor="_Toc127875401" w:history="1">
        <w:r w:rsidR="005F4C7F" w:rsidRPr="007C61A0">
          <w:rPr>
            <w:rStyle w:val="Hyperlink"/>
            <w:noProof/>
          </w:rPr>
          <w:t>Where a financial viability assessment is required – retail applications</w:t>
        </w:r>
        <w:r w:rsidR="005F4C7F">
          <w:rPr>
            <w:noProof/>
            <w:webHidden/>
          </w:rPr>
          <w:tab/>
        </w:r>
        <w:r w:rsidR="005F4C7F">
          <w:rPr>
            <w:noProof/>
            <w:webHidden/>
          </w:rPr>
          <w:fldChar w:fldCharType="begin"/>
        </w:r>
        <w:r w:rsidR="005F4C7F">
          <w:rPr>
            <w:noProof/>
            <w:webHidden/>
          </w:rPr>
          <w:instrText xml:space="preserve"> PAGEREF _Toc127875401 \h </w:instrText>
        </w:r>
        <w:r w:rsidR="005F4C7F">
          <w:rPr>
            <w:noProof/>
            <w:webHidden/>
          </w:rPr>
        </w:r>
        <w:r w:rsidR="005F4C7F">
          <w:rPr>
            <w:noProof/>
            <w:webHidden/>
          </w:rPr>
          <w:fldChar w:fldCharType="separate"/>
        </w:r>
        <w:r w:rsidR="00156C01">
          <w:rPr>
            <w:noProof/>
            <w:webHidden/>
          </w:rPr>
          <w:t>17</w:t>
        </w:r>
        <w:r w:rsidR="005F4C7F">
          <w:rPr>
            <w:noProof/>
            <w:webHidden/>
          </w:rPr>
          <w:fldChar w:fldCharType="end"/>
        </w:r>
      </w:hyperlink>
    </w:p>
    <w:p w14:paraId="5D8C41AB" w14:textId="3E305745" w:rsidR="005F4C7F" w:rsidRDefault="00BE462A">
      <w:pPr>
        <w:pStyle w:val="TOC5"/>
        <w:rPr>
          <w:rFonts w:eastAsiaTheme="minorEastAsia"/>
          <w:noProof/>
          <w:lang w:eastAsia="en-AU"/>
        </w:rPr>
      </w:pPr>
      <w:hyperlink w:anchor="_Toc127875402" w:history="1">
        <w:r w:rsidR="005F4C7F" w:rsidRPr="007C61A0">
          <w:rPr>
            <w:rStyle w:val="Hyperlink"/>
            <w:noProof/>
          </w:rPr>
          <w:t>Information requirements – retail applications</w:t>
        </w:r>
        <w:r w:rsidR="005F4C7F">
          <w:rPr>
            <w:noProof/>
            <w:webHidden/>
          </w:rPr>
          <w:tab/>
        </w:r>
        <w:r w:rsidR="005F4C7F">
          <w:rPr>
            <w:noProof/>
            <w:webHidden/>
          </w:rPr>
          <w:fldChar w:fldCharType="begin"/>
        </w:r>
        <w:r w:rsidR="005F4C7F">
          <w:rPr>
            <w:noProof/>
            <w:webHidden/>
          </w:rPr>
          <w:instrText xml:space="preserve"> PAGEREF _Toc127875402 \h </w:instrText>
        </w:r>
        <w:r w:rsidR="005F4C7F">
          <w:rPr>
            <w:noProof/>
            <w:webHidden/>
          </w:rPr>
        </w:r>
        <w:r w:rsidR="005F4C7F">
          <w:rPr>
            <w:noProof/>
            <w:webHidden/>
          </w:rPr>
          <w:fldChar w:fldCharType="separate"/>
        </w:r>
        <w:r w:rsidR="00156C01">
          <w:rPr>
            <w:noProof/>
            <w:webHidden/>
          </w:rPr>
          <w:t>17</w:t>
        </w:r>
        <w:r w:rsidR="005F4C7F">
          <w:rPr>
            <w:noProof/>
            <w:webHidden/>
          </w:rPr>
          <w:fldChar w:fldCharType="end"/>
        </w:r>
      </w:hyperlink>
    </w:p>
    <w:p w14:paraId="68C0171C" w14:textId="5F90C9CE" w:rsidR="005F4C7F" w:rsidRDefault="00BE462A">
      <w:pPr>
        <w:pStyle w:val="TOC5"/>
        <w:rPr>
          <w:rFonts w:eastAsiaTheme="minorEastAsia"/>
          <w:noProof/>
          <w:lang w:eastAsia="en-AU"/>
        </w:rPr>
      </w:pPr>
      <w:hyperlink w:anchor="_Toc127875403" w:history="1">
        <w:r w:rsidR="005F4C7F" w:rsidRPr="007C61A0">
          <w:rPr>
            <w:rStyle w:val="Hyperlink"/>
            <w:noProof/>
          </w:rPr>
          <w:t>Required documentation to demonstrate financial viability</w:t>
        </w:r>
        <w:r w:rsidR="005F4C7F">
          <w:rPr>
            <w:noProof/>
            <w:webHidden/>
          </w:rPr>
          <w:tab/>
        </w:r>
        <w:r w:rsidR="005F4C7F">
          <w:rPr>
            <w:noProof/>
            <w:webHidden/>
          </w:rPr>
          <w:fldChar w:fldCharType="begin"/>
        </w:r>
        <w:r w:rsidR="005F4C7F">
          <w:rPr>
            <w:noProof/>
            <w:webHidden/>
          </w:rPr>
          <w:instrText xml:space="preserve"> PAGEREF _Toc127875403 \h </w:instrText>
        </w:r>
        <w:r w:rsidR="005F4C7F">
          <w:rPr>
            <w:noProof/>
            <w:webHidden/>
          </w:rPr>
        </w:r>
        <w:r w:rsidR="005F4C7F">
          <w:rPr>
            <w:noProof/>
            <w:webHidden/>
          </w:rPr>
          <w:fldChar w:fldCharType="separate"/>
        </w:r>
        <w:r w:rsidR="00156C01">
          <w:rPr>
            <w:noProof/>
            <w:webHidden/>
          </w:rPr>
          <w:t>18</w:t>
        </w:r>
        <w:r w:rsidR="005F4C7F">
          <w:rPr>
            <w:noProof/>
            <w:webHidden/>
          </w:rPr>
          <w:fldChar w:fldCharType="end"/>
        </w:r>
      </w:hyperlink>
    </w:p>
    <w:p w14:paraId="2C436CC8" w14:textId="509AD893" w:rsidR="005F4C7F" w:rsidRDefault="00BE462A" w:rsidP="00793CBD">
      <w:pPr>
        <w:pStyle w:val="TOC4"/>
        <w:rPr>
          <w:rFonts w:eastAsiaTheme="minorEastAsia"/>
          <w:lang w:eastAsia="en-AU"/>
        </w:rPr>
      </w:pPr>
      <w:hyperlink w:anchor="_Toc127875404" w:history="1">
        <w:r w:rsidR="005F4C7F" w:rsidRPr="007C61A0">
          <w:rPr>
            <w:rStyle w:val="Hyperlink"/>
          </w:rPr>
          <w:t>4.6.</w:t>
        </w:r>
        <w:r w:rsidR="005F4C7F">
          <w:rPr>
            <w:rFonts w:eastAsiaTheme="minorEastAsia"/>
            <w:lang w:eastAsia="en-AU"/>
          </w:rPr>
          <w:tab/>
        </w:r>
        <w:r w:rsidR="005F4C7F" w:rsidRPr="007C61A0">
          <w:rPr>
            <w:rStyle w:val="Hyperlink"/>
          </w:rPr>
          <w:t>Commission objectives</w:t>
        </w:r>
        <w:r w:rsidR="005F4C7F">
          <w:rPr>
            <w:webHidden/>
          </w:rPr>
          <w:tab/>
        </w:r>
        <w:r w:rsidR="005F4C7F">
          <w:rPr>
            <w:webHidden/>
          </w:rPr>
          <w:fldChar w:fldCharType="begin"/>
        </w:r>
        <w:r w:rsidR="005F4C7F">
          <w:rPr>
            <w:webHidden/>
          </w:rPr>
          <w:instrText xml:space="preserve"> PAGEREF _Toc127875404 \h </w:instrText>
        </w:r>
        <w:r w:rsidR="005F4C7F">
          <w:rPr>
            <w:webHidden/>
          </w:rPr>
        </w:r>
        <w:r w:rsidR="005F4C7F">
          <w:rPr>
            <w:webHidden/>
          </w:rPr>
          <w:fldChar w:fldCharType="separate"/>
        </w:r>
        <w:r w:rsidR="00156C01">
          <w:rPr>
            <w:webHidden/>
          </w:rPr>
          <w:t>18</w:t>
        </w:r>
        <w:r w:rsidR="005F4C7F">
          <w:rPr>
            <w:webHidden/>
          </w:rPr>
          <w:fldChar w:fldCharType="end"/>
        </w:r>
      </w:hyperlink>
    </w:p>
    <w:p w14:paraId="31B105CE" w14:textId="5F735917" w:rsidR="005F4C7F" w:rsidRDefault="00BE462A" w:rsidP="00793CBD">
      <w:pPr>
        <w:pStyle w:val="TOC4"/>
        <w:rPr>
          <w:rFonts w:eastAsiaTheme="minorEastAsia"/>
          <w:lang w:eastAsia="en-AU"/>
        </w:rPr>
      </w:pPr>
      <w:hyperlink w:anchor="_Toc127875405" w:history="1">
        <w:r w:rsidR="005F4C7F" w:rsidRPr="007C61A0">
          <w:rPr>
            <w:rStyle w:val="Hyperlink"/>
          </w:rPr>
          <w:t>4.7.</w:t>
        </w:r>
        <w:r w:rsidR="005F4C7F">
          <w:rPr>
            <w:rFonts w:eastAsiaTheme="minorEastAsia"/>
            <w:lang w:eastAsia="en-AU"/>
          </w:rPr>
          <w:tab/>
        </w:r>
        <w:r w:rsidR="005F4C7F" w:rsidRPr="007C61A0">
          <w:rPr>
            <w:rStyle w:val="Hyperlink"/>
          </w:rPr>
          <w:t>Fit and proper person</w:t>
        </w:r>
        <w:r w:rsidR="005F4C7F">
          <w:rPr>
            <w:webHidden/>
          </w:rPr>
          <w:tab/>
        </w:r>
        <w:r w:rsidR="005F4C7F">
          <w:rPr>
            <w:webHidden/>
          </w:rPr>
          <w:fldChar w:fldCharType="begin"/>
        </w:r>
        <w:r w:rsidR="005F4C7F">
          <w:rPr>
            <w:webHidden/>
          </w:rPr>
          <w:instrText xml:space="preserve"> PAGEREF _Toc127875405 \h </w:instrText>
        </w:r>
        <w:r w:rsidR="005F4C7F">
          <w:rPr>
            <w:webHidden/>
          </w:rPr>
        </w:r>
        <w:r w:rsidR="005F4C7F">
          <w:rPr>
            <w:webHidden/>
          </w:rPr>
          <w:fldChar w:fldCharType="separate"/>
        </w:r>
        <w:r w:rsidR="00156C01">
          <w:rPr>
            <w:webHidden/>
          </w:rPr>
          <w:t>19</w:t>
        </w:r>
        <w:r w:rsidR="005F4C7F">
          <w:rPr>
            <w:webHidden/>
          </w:rPr>
          <w:fldChar w:fldCharType="end"/>
        </w:r>
      </w:hyperlink>
    </w:p>
    <w:p w14:paraId="6F387ECF" w14:textId="672DB174" w:rsidR="005F4C7F" w:rsidRDefault="00BE462A" w:rsidP="00793CBD">
      <w:pPr>
        <w:pStyle w:val="TOC4"/>
        <w:rPr>
          <w:rFonts w:eastAsiaTheme="minorEastAsia"/>
          <w:lang w:eastAsia="en-AU"/>
        </w:rPr>
      </w:pPr>
      <w:hyperlink w:anchor="_Toc127875406" w:history="1">
        <w:r w:rsidR="005F4C7F" w:rsidRPr="007C61A0">
          <w:rPr>
            <w:rStyle w:val="Hyperlink"/>
          </w:rPr>
          <w:t>4.8.</w:t>
        </w:r>
        <w:r w:rsidR="005F4C7F">
          <w:rPr>
            <w:rFonts w:eastAsiaTheme="minorEastAsia"/>
            <w:lang w:eastAsia="en-AU"/>
          </w:rPr>
          <w:tab/>
        </w:r>
        <w:r w:rsidR="005F4C7F" w:rsidRPr="007C61A0">
          <w:rPr>
            <w:rStyle w:val="Hyperlink"/>
          </w:rPr>
          <w:t>Policies</w:t>
        </w:r>
        <w:r w:rsidR="005F4C7F">
          <w:rPr>
            <w:webHidden/>
          </w:rPr>
          <w:tab/>
        </w:r>
        <w:r w:rsidR="005F4C7F">
          <w:rPr>
            <w:webHidden/>
          </w:rPr>
          <w:fldChar w:fldCharType="begin"/>
        </w:r>
        <w:r w:rsidR="005F4C7F">
          <w:rPr>
            <w:webHidden/>
          </w:rPr>
          <w:instrText xml:space="preserve"> PAGEREF _Toc127875406 \h </w:instrText>
        </w:r>
        <w:r w:rsidR="005F4C7F">
          <w:rPr>
            <w:webHidden/>
          </w:rPr>
        </w:r>
        <w:r w:rsidR="005F4C7F">
          <w:rPr>
            <w:webHidden/>
          </w:rPr>
          <w:fldChar w:fldCharType="separate"/>
        </w:r>
        <w:r w:rsidR="00156C01">
          <w:rPr>
            <w:webHidden/>
          </w:rPr>
          <w:t>20</w:t>
        </w:r>
        <w:r w:rsidR="005F4C7F">
          <w:rPr>
            <w:webHidden/>
          </w:rPr>
          <w:fldChar w:fldCharType="end"/>
        </w:r>
      </w:hyperlink>
    </w:p>
    <w:p w14:paraId="6565B645" w14:textId="5EFD90C5" w:rsidR="005F4C7F" w:rsidRPr="005F4C7F" w:rsidRDefault="00BE462A" w:rsidP="00487614">
      <w:pPr>
        <w:pStyle w:val="TOC2"/>
        <w:rPr>
          <w:rFonts w:eastAsiaTheme="minorEastAsia"/>
          <w:lang w:eastAsia="en-AU"/>
        </w:rPr>
      </w:pPr>
      <w:hyperlink w:anchor="_Toc127875407" w:history="1">
        <w:r w:rsidR="005F4C7F" w:rsidRPr="005F4C7F">
          <w:rPr>
            <w:rStyle w:val="Hyperlink"/>
            <w:b/>
            <w:bCs/>
          </w:rPr>
          <w:t>5.</w:t>
        </w:r>
        <w:r w:rsidR="005F4C7F" w:rsidRPr="005F4C7F">
          <w:rPr>
            <w:rFonts w:eastAsiaTheme="minorEastAsia"/>
            <w:lang w:eastAsia="en-AU"/>
          </w:rPr>
          <w:tab/>
        </w:r>
        <w:r w:rsidR="005F4C7F" w:rsidRPr="005F4C7F">
          <w:rPr>
            <w:rStyle w:val="Hyperlink"/>
            <w:b/>
            <w:bCs/>
          </w:rPr>
          <w:t>Licence variation, transfer and revocation</w:t>
        </w:r>
        <w:r w:rsidR="005F4C7F" w:rsidRPr="005F4C7F">
          <w:rPr>
            <w:webHidden/>
          </w:rPr>
          <w:tab/>
        </w:r>
        <w:r w:rsidR="005F4C7F" w:rsidRPr="00176594">
          <w:rPr>
            <w:b/>
            <w:bCs/>
            <w:webHidden/>
          </w:rPr>
          <w:fldChar w:fldCharType="begin"/>
        </w:r>
        <w:r w:rsidR="005F4C7F" w:rsidRPr="00440760">
          <w:rPr>
            <w:b/>
            <w:bCs/>
            <w:webHidden/>
          </w:rPr>
          <w:instrText xml:space="preserve"> PAGEREF _Toc127875407 \h </w:instrText>
        </w:r>
        <w:r w:rsidR="005F4C7F" w:rsidRPr="00176594">
          <w:rPr>
            <w:b/>
            <w:bCs/>
            <w:webHidden/>
          </w:rPr>
        </w:r>
        <w:r w:rsidR="005F4C7F" w:rsidRPr="00176594">
          <w:rPr>
            <w:b/>
            <w:bCs/>
            <w:webHidden/>
          </w:rPr>
          <w:fldChar w:fldCharType="separate"/>
        </w:r>
        <w:r w:rsidR="00156C01">
          <w:rPr>
            <w:b/>
            <w:bCs/>
            <w:webHidden/>
          </w:rPr>
          <w:t>21</w:t>
        </w:r>
        <w:r w:rsidR="005F4C7F" w:rsidRPr="00176594">
          <w:rPr>
            <w:b/>
            <w:bCs/>
            <w:webHidden/>
          </w:rPr>
          <w:fldChar w:fldCharType="end"/>
        </w:r>
      </w:hyperlink>
    </w:p>
    <w:p w14:paraId="0A0E64A3" w14:textId="40A7C968" w:rsidR="005F4C7F" w:rsidRDefault="00BE462A" w:rsidP="00793CBD">
      <w:pPr>
        <w:pStyle w:val="TOC4"/>
        <w:rPr>
          <w:rFonts w:eastAsiaTheme="minorEastAsia"/>
          <w:lang w:eastAsia="en-AU"/>
        </w:rPr>
      </w:pPr>
      <w:hyperlink w:anchor="_Toc127875408" w:history="1">
        <w:r w:rsidR="005F4C7F" w:rsidRPr="007C61A0">
          <w:rPr>
            <w:rStyle w:val="Hyperlink"/>
          </w:rPr>
          <w:t>5.1.</w:t>
        </w:r>
        <w:r w:rsidR="005F4C7F">
          <w:rPr>
            <w:rFonts w:eastAsiaTheme="minorEastAsia"/>
            <w:lang w:eastAsia="en-AU"/>
          </w:rPr>
          <w:tab/>
        </w:r>
        <w:r w:rsidR="005F4C7F" w:rsidRPr="007C61A0">
          <w:rPr>
            <w:rStyle w:val="Hyperlink"/>
          </w:rPr>
          <w:t>Variation</w:t>
        </w:r>
        <w:r w:rsidR="005F4C7F">
          <w:rPr>
            <w:webHidden/>
          </w:rPr>
          <w:tab/>
        </w:r>
        <w:r w:rsidR="005F4C7F">
          <w:rPr>
            <w:webHidden/>
          </w:rPr>
          <w:fldChar w:fldCharType="begin"/>
        </w:r>
        <w:r w:rsidR="005F4C7F">
          <w:rPr>
            <w:webHidden/>
          </w:rPr>
          <w:instrText xml:space="preserve"> PAGEREF _Toc127875408 \h </w:instrText>
        </w:r>
        <w:r w:rsidR="005F4C7F">
          <w:rPr>
            <w:webHidden/>
          </w:rPr>
        </w:r>
        <w:r w:rsidR="005F4C7F">
          <w:rPr>
            <w:webHidden/>
          </w:rPr>
          <w:fldChar w:fldCharType="separate"/>
        </w:r>
        <w:r w:rsidR="00156C01">
          <w:rPr>
            <w:webHidden/>
          </w:rPr>
          <w:t>21</w:t>
        </w:r>
        <w:r w:rsidR="005F4C7F">
          <w:rPr>
            <w:webHidden/>
          </w:rPr>
          <w:fldChar w:fldCharType="end"/>
        </w:r>
      </w:hyperlink>
    </w:p>
    <w:p w14:paraId="65378672" w14:textId="7FE66D93" w:rsidR="005F4C7F" w:rsidRDefault="00BE462A" w:rsidP="00793CBD">
      <w:pPr>
        <w:pStyle w:val="TOC4"/>
        <w:rPr>
          <w:rFonts w:eastAsiaTheme="minorEastAsia"/>
          <w:lang w:eastAsia="en-AU"/>
        </w:rPr>
      </w:pPr>
      <w:hyperlink w:anchor="_Toc127875409" w:history="1">
        <w:r w:rsidR="005F4C7F" w:rsidRPr="007C61A0">
          <w:rPr>
            <w:rStyle w:val="Hyperlink"/>
          </w:rPr>
          <w:t>5.2.</w:t>
        </w:r>
        <w:r w:rsidR="005F4C7F">
          <w:rPr>
            <w:rFonts w:eastAsiaTheme="minorEastAsia"/>
            <w:lang w:eastAsia="en-AU"/>
          </w:rPr>
          <w:tab/>
        </w:r>
        <w:r w:rsidR="005F4C7F" w:rsidRPr="007C61A0">
          <w:rPr>
            <w:rStyle w:val="Hyperlink"/>
          </w:rPr>
          <w:t>Transfer</w:t>
        </w:r>
        <w:r w:rsidR="005F4C7F">
          <w:rPr>
            <w:webHidden/>
          </w:rPr>
          <w:tab/>
        </w:r>
        <w:r w:rsidR="005F4C7F">
          <w:rPr>
            <w:webHidden/>
          </w:rPr>
          <w:fldChar w:fldCharType="begin"/>
        </w:r>
        <w:r w:rsidR="005F4C7F">
          <w:rPr>
            <w:webHidden/>
          </w:rPr>
          <w:instrText xml:space="preserve"> PAGEREF _Toc127875409 \h </w:instrText>
        </w:r>
        <w:r w:rsidR="005F4C7F">
          <w:rPr>
            <w:webHidden/>
          </w:rPr>
        </w:r>
        <w:r w:rsidR="005F4C7F">
          <w:rPr>
            <w:webHidden/>
          </w:rPr>
          <w:fldChar w:fldCharType="separate"/>
        </w:r>
        <w:r w:rsidR="00156C01">
          <w:rPr>
            <w:webHidden/>
          </w:rPr>
          <w:t>21</w:t>
        </w:r>
        <w:r w:rsidR="005F4C7F">
          <w:rPr>
            <w:webHidden/>
          </w:rPr>
          <w:fldChar w:fldCharType="end"/>
        </w:r>
      </w:hyperlink>
    </w:p>
    <w:p w14:paraId="1E2DBD53" w14:textId="46069597" w:rsidR="005F4C7F" w:rsidRDefault="00BE462A" w:rsidP="00793CBD">
      <w:pPr>
        <w:pStyle w:val="TOC4"/>
        <w:rPr>
          <w:rFonts w:eastAsiaTheme="minorEastAsia"/>
          <w:lang w:eastAsia="en-AU"/>
        </w:rPr>
      </w:pPr>
      <w:hyperlink w:anchor="_Toc127875410" w:history="1">
        <w:r w:rsidR="005F4C7F" w:rsidRPr="007C61A0">
          <w:rPr>
            <w:rStyle w:val="Hyperlink"/>
          </w:rPr>
          <w:t>5.3.</w:t>
        </w:r>
        <w:r w:rsidR="005F4C7F">
          <w:rPr>
            <w:rFonts w:eastAsiaTheme="minorEastAsia"/>
            <w:lang w:eastAsia="en-AU"/>
          </w:rPr>
          <w:tab/>
        </w:r>
        <w:r w:rsidR="005F4C7F" w:rsidRPr="007C61A0">
          <w:rPr>
            <w:rStyle w:val="Hyperlink"/>
          </w:rPr>
          <w:t>Revocation</w:t>
        </w:r>
        <w:r w:rsidR="005F4C7F">
          <w:rPr>
            <w:webHidden/>
          </w:rPr>
          <w:tab/>
        </w:r>
        <w:r w:rsidR="005F4C7F">
          <w:rPr>
            <w:webHidden/>
          </w:rPr>
          <w:fldChar w:fldCharType="begin"/>
        </w:r>
        <w:r w:rsidR="005F4C7F">
          <w:rPr>
            <w:webHidden/>
          </w:rPr>
          <w:instrText xml:space="preserve"> PAGEREF _Toc127875410 \h </w:instrText>
        </w:r>
        <w:r w:rsidR="005F4C7F">
          <w:rPr>
            <w:webHidden/>
          </w:rPr>
        </w:r>
        <w:r w:rsidR="005F4C7F">
          <w:rPr>
            <w:webHidden/>
          </w:rPr>
          <w:fldChar w:fldCharType="separate"/>
        </w:r>
        <w:r w:rsidR="00156C01">
          <w:rPr>
            <w:webHidden/>
          </w:rPr>
          <w:t>22</w:t>
        </w:r>
        <w:r w:rsidR="005F4C7F">
          <w:rPr>
            <w:webHidden/>
          </w:rPr>
          <w:fldChar w:fldCharType="end"/>
        </w:r>
      </w:hyperlink>
    </w:p>
    <w:p w14:paraId="5BC4E0EF" w14:textId="05A59EFF" w:rsidR="005F4C7F" w:rsidRPr="005F4C7F" w:rsidRDefault="00BE462A" w:rsidP="00487614">
      <w:pPr>
        <w:pStyle w:val="TOC2"/>
        <w:rPr>
          <w:rFonts w:eastAsiaTheme="minorEastAsia"/>
          <w:lang w:eastAsia="en-AU"/>
        </w:rPr>
      </w:pPr>
      <w:hyperlink w:anchor="_Toc127875411" w:history="1">
        <w:r w:rsidR="005F4C7F" w:rsidRPr="005F4C7F">
          <w:rPr>
            <w:rStyle w:val="Hyperlink"/>
            <w:b/>
            <w:bCs/>
          </w:rPr>
          <w:t>6.</w:t>
        </w:r>
        <w:r w:rsidR="005F4C7F" w:rsidRPr="005F4C7F">
          <w:rPr>
            <w:rFonts w:eastAsiaTheme="minorEastAsia"/>
            <w:lang w:eastAsia="en-AU"/>
          </w:rPr>
          <w:tab/>
        </w:r>
        <w:r w:rsidR="005F4C7F" w:rsidRPr="005F4C7F">
          <w:rPr>
            <w:rStyle w:val="Hyperlink"/>
            <w:b/>
            <w:bCs/>
          </w:rPr>
          <w:t>Licence exemptions and trial waivers</w:t>
        </w:r>
        <w:r w:rsidR="005F4C7F" w:rsidRPr="005F4C7F">
          <w:rPr>
            <w:webHidden/>
          </w:rPr>
          <w:tab/>
        </w:r>
        <w:r w:rsidR="005F4C7F" w:rsidRPr="00176594">
          <w:rPr>
            <w:b/>
            <w:bCs/>
            <w:webHidden/>
          </w:rPr>
          <w:fldChar w:fldCharType="begin"/>
        </w:r>
        <w:r w:rsidR="005F4C7F" w:rsidRPr="00440760">
          <w:rPr>
            <w:b/>
            <w:bCs/>
            <w:webHidden/>
          </w:rPr>
          <w:instrText xml:space="preserve"> PAGEREF _Toc127875411 \h </w:instrText>
        </w:r>
        <w:r w:rsidR="005F4C7F" w:rsidRPr="00176594">
          <w:rPr>
            <w:b/>
            <w:bCs/>
            <w:webHidden/>
          </w:rPr>
        </w:r>
        <w:r w:rsidR="005F4C7F" w:rsidRPr="00176594">
          <w:rPr>
            <w:b/>
            <w:bCs/>
            <w:webHidden/>
          </w:rPr>
          <w:fldChar w:fldCharType="separate"/>
        </w:r>
        <w:r w:rsidR="00156C01">
          <w:rPr>
            <w:b/>
            <w:bCs/>
            <w:webHidden/>
          </w:rPr>
          <w:t>23</w:t>
        </w:r>
        <w:r w:rsidR="005F4C7F" w:rsidRPr="00176594">
          <w:rPr>
            <w:b/>
            <w:bCs/>
            <w:webHidden/>
          </w:rPr>
          <w:fldChar w:fldCharType="end"/>
        </w:r>
      </w:hyperlink>
    </w:p>
    <w:p w14:paraId="2AF60B1D" w14:textId="3DD147A5" w:rsidR="005F4C7F" w:rsidRDefault="00BE462A" w:rsidP="00D51438">
      <w:pPr>
        <w:pStyle w:val="TOC3"/>
        <w:rPr>
          <w:rFonts w:eastAsiaTheme="minorEastAsia"/>
          <w:lang w:eastAsia="en-AU"/>
        </w:rPr>
      </w:pPr>
      <w:hyperlink w:anchor="_Toc127875412" w:history="1">
        <w:r w:rsidR="005F4C7F" w:rsidRPr="007C61A0">
          <w:rPr>
            <w:rStyle w:val="Hyperlink"/>
          </w:rPr>
          <w:t>Licence exemptions</w:t>
        </w:r>
        <w:r w:rsidR="005F4C7F">
          <w:rPr>
            <w:webHidden/>
          </w:rPr>
          <w:tab/>
        </w:r>
        <w:r w:rsidR="005F4C7F">
          <w:rPr>
            <w:webHidden/>
          </w:rPr>
          <w:fldChar w:fldCharType="begin"/>
        </w:r>
        <w:r w:rsidR="005F4C7F">
          <w:rPr>
            <w:webHidden/>
          </w:rPr>
          <w:instrText xml:space="preserve"> PAGEREF _Toc127875412 \h </w:instrText>
        </w:r>
        <w:r w:rsidR="005F4C7F">
          <w:rPr>
            <w:webHidden/>
          </w:rPr>
        </w:r>
        <w:r w:rsidR="005F4C7F">
          <w:rPr>
            <w:webHidden/>
          </w:rPr>
          <w:fldChar w:fldCharType="separate"/>
        </w:r>
        <w:r w:rsidR="00156C01">
          <w:rPr>
            <w:webHidden/>
          </w:rPr>
          <w:t>23</w:t>
        </w:r>
        <w:r w:rsidR="005F4C7F">
          <w:rPr>
            <w:webHidden/>
          </w:rPr>
          <w:fldChar w:fldCharType="end"/>
        </w:r>
      </w:hyperlink>
    </w:p>
    <w:p w14:paraId="3C152CA7" w14:textId="20B668D3" w:rsidR="005F4C7F" w:rsidRDefault="00BE462A" w:rsidP="00D51438">
      <w:pPr>
        <w:pStyle w:val="TOC3"/>
        <w:rPr>
          <w:rFonts w:eastAsiaTheme="minorEastAsia"/>
          <w:lang w:eastAsia="en-AU"/>
        </w:rPr>
      </w:pPr>
      <w:hyperlink w:anchor="_Toc127875413" w:history="1">
        <w:r w:rsidR="005F4C7F" w:rsidRPr="007C61A0">
          <w:rPr>
            <w:rStyle w:val="Hyperlink"/>
          </w:rPr>
          <w:t>Trial waivers</w:t>
        </w:r>
        <w:r w:rsidR="005F4C7F">
          <w:rPr>
            <w:webHidden/>
          </w:rPr>
          <w:tab/>
        </w:r>
        <w:r w:rsidR="005F4C7F">
          <w:rPr>
            <w:webHidden/>
          </w:rPr>
          <w:fldChar w:fldCharType="begin"/>
        </w:r>
        <w:r w:rsidR="005F4C7F">
          <w:rPr>
            <w:webHidden/>
          </w:rPr>
          <w:instrText xml:space="preserve"> PAGEREF _Toc127875413 \h </w:instrText>
        </w:r>
        <w:r w:rsidR="005F4C7F">
          <w:rPr>
            <w:webHidden/>
          </w:rPr>
        </w:r>
        <w:r w:rsidR="005F4C7F">
          <w:rPr>
            <w:webHidden/>
          </w:rPr>
          <w:fldChar w:fldCharType="separate"/>
        </w:r>
        <w:r w:rsidR="00156C01">
          <w:rPr>
            <w:webHidden/>
          </w:rPr>
          <w:t>23</w:t>
        </w:r>
        <w:r w:rsidR="005F4C7F">
          <w:rPr>
            <w:webHidden/>
          </w:rPr>
          <w:fldChar w:fldCharType="end"/>
        </w:r>
      </w:hyperlink>
    </w:p>
    <w:p w14:paraId="135EE9B3" w14:textId="10E01F00" w:rsidR="005F4C7F" w:rsidRPr="005F4C7F" w:rsidRDefault="00BE462A" w:rsidP="00487614">
      <w:pPr>
        <w:pStyle w:val="TOC2"/>
        <w:rPr>
          <w:rFonts w:eastAsiaTheme="minorEastAsia"/>
          <w:lang w:eastAsia="en-AU"/>
        </w:rPr>
      </w:pPr>
      <w:hyperlink w:anchor="_Toc127875414" w:history="1">
        <w:r w:rsidR="005F4C7F" w:rsidRPr="005F4C7F">
          <w:rPr>
            <w:rStyle w:val="Hyperlink"/>
            <w:b/>
            <w:bCs/>
          </w:rPr>
          <w:t>7.</w:t>
        </w:r>
        <w:r w:rsidR="005F4C7F" w:rsidRPr="005F4C7F">
          <w:rPr>
            <w:rFonts w:eastAsiaTheme="minorEastAsia"/>
            <w:lang w:eastAsia="en-AU"/>
          </w:rPr>
          <w:tab/>
        </w:r>
        <w:r w:rsidR="005F4C7F" w:rsidRPr="005F4C7F">
          <w:rPr>
            <w:rStyle w:val="Hyperlink"/>
            <w:b/>
            <w:bCs/>
          </w:rPr>
          <w:t>Obligations once granted a licence</w:t>
        </w:r>
        <w:r w:rsidR="005F4C7F" w:rsidRPr="005F4C7F">
          <w:rPr>
            <w:webHidden/>
          </w:rPr>
          <w:tab/>
        </w:r>
        <w:r w:rsidR="005F4C7F" w:rsidRPr="00176594">
          <w:rPr>
            <w:b/>
            <w:bCs/>
            <w:webHidden/>
          </w:rPr>
          <w:fldChar w:fldCharType="begin"/>
        </w:r>
        <w:r w:rsidR="005F4C7F" w:rsidRPr="00440760">
          <w:rPr>
            <w:b/>
            <w:bCs/>
            <w:webHidden/>
          </w:rPr>
          <w:instrText xml:space="preserve"> PAGEREF _Toc127875414 \h </w:instrText>
        </w:r>
        <w:r w:rsidR="005F4C7F" w:rsidRPr="00176594">
          <w:rPr>
            <w:b/>
            <w:bCs/>
            <w:webHidden/>
          </w:rPr>
        </w:r>
        <w:r w:rsidR="005F4C7F" w:rsidRPr="00176594">
          <w:rPr>
            <w:b/>
            <w:bCs/>
            <w:webHidden/>
          </w:rPr>
          <w:fldChar w:fldCharType="separate"/>
        </w:r>
        <w:r w:rsidR="00156C01">
          <w:rPr>
            <w:b/>
            <w:bCs/>
            <w:webHidden/>
          </w:rPr>
          <w:t>25</w:t>
        </w:r>
        <w:r w:rsidR="005F4C7F" w:rsidRPr="00176594">
          <w:rPr>
            <w:b/>
            <w:bCs/>
            <w:webHidden/>
          </w:rPr>
          <w:fldChar w:fldCharType="end"/>
        </w:r>
      </w:hyperlink>
    </w:p>
    <w:p w14:paraId="3B382223" w14:textId="01120D42" w:rsidR="005F4C7F" w:rsidRDefault="00BE462A" w:rsidP="00793CBD">
      <w:pPr>
        <w:pStyle w:val="TOC4"/>
        <w:rPr>
          <w:rFonts w:eastAsiaTheme="minorEastAsia"/>
          <w:lang w:eastAsia="en-AU"/>
        </w:rPr>
      </w:pPr>
      <w:hyperlink w:anchor="_Toc127875415" w:history="1">
        <w:r w:rsidR="005F4C7F" w:rsidRPr="007C61A0">
          <w:rPr>
            <w:rStyle w:val="Hyperlink"/>
          </w:rPr>
          <w:t>7.1.</w:t>
        </w:r>
        <w:r w:rsidR="005F4C7F">
          <w:rPr>
            <w:rFonts w:eastAsiaTheme="minorEastAsia"/>
            <w:lang w:eastAsia="en-AU"/>
          </w:rPr>
          <w:tab/>
        </w:r>
        <w:r w:rsidR="005F4C7F" w:rsidRPr="007C61A0">
          <w:rPr>
            <w:rStyle w:val="Hyperlink"/>
          </w:rPr>
          <w:t>Ongoing obligations</w:t>
        </w:r>
        <w:r w:rsidR="005F4C7F">
          <w:rPr>
            <w:webHidden/>
          </w:rPr>
          <w:tab/>
        </w:r>
        <w:r w:rsidR="005F4C7F">
          <w:rPr>
            <w:webHidden/>
          </w:rPr>
          <w:fldChar w:fldCharType="begin"/>
        </w:r>
        <w:r w:rsidR="005F4C7F">
          <w:rPr>
            <w:webHidden/>
          </w:rPr>
          <w:instrText xml:space="preserve"> PAGEREF _Toc127875415 \h </w:instrText>
        </w:r>
        <w:r w:rsidR="005F4C7F">
          <w:rPr>
            <w:webHidden/>
          </w:rPr>
        </w:r>
        <w:r w:rsidR="005F4C7F">
          <w:rPr>
            <w:webHidden/>
          </w:rPr>
          <w:fldChar w:fldCharType="separate"/>
        </w:r>
        <w:r w:rsidR="00156C01">
          <w:rPr>
            <w:webHidden/>
          </w:rPr>
          <w:t>25</w:t>
        </w:r>
        <w:r w:rsidR="005F4C7F">
          <w:rPr>
            <w:webHidden/>
          </w:rPr>
          <w:fldChar w:fldCharType="end"/>
        </w:r>
      </w:hyperlink>
    </w:p>
    <w:p w14:paraId="738275B3" w14:textId="2C9350AE" w:rsidR="005F4C7F" w:rsidRDefault="00BE462A" w:rsidP="00793CBD">
      <w:pPr>
        <w:pStyle w:val="TOC4"/>
        <w:rPr>
          <w:rFonts w:eastAsiaTheme="minorEastAsia"/>
          <w:lang w:eastAsia="en-AU"/>
        </w:rPr>
      </w:pPr>
      <w:hyperlink w:anchor="_Toc127875416" w:history="1">
        <w:r w:rsidR="005F4C7F" w:rsidRPr="007C61A0">
          <w:rPr>
            <w:rStyle w:val="Hyperlink"/>
          </w:rPr>
          <w:t>7.2.</w:t>
        </w:r>
        <w:r w:rsidR="005F4C7F">
          <w:rPr>
            <w:rFonts w:eastAsiaTheme="minorEastAsia"/>
            <w:lang w:eastAsia="en-AU"/>
          </w:rPr>
          <w:tab/>
        </w:r>
        <w:r w:rsidR="005F4C7F" w:rsidRPr="007C61A0">
          <w:rPr>
            <w:rStyle w:val="Hyperlink"/>
          </w:rPr>
          <w:t>Annual licence fees</w:t>
        </w:r>
        <w:r w:rsidR="005F4C7F">
          <w:rPr>
            <w:webHidden/>
          </w:rPr>
          <w:tab/>
        </w:r>
        <w:r w:rsidR="005F4C7F">
          <w:rPr>
            <w:webHidden/>
          </w:rPr>
          <w:fldChar w:fldCharType="begin"/>
        </w:r>
        <w:r w:rsidR="005F4C7F">
          <w:rPr>
            <w:webHidden/>
          </w:rPr>
          <w:instrText xml:space="preserve"> PAGEREF _Toc127875416 \h </w:instrText>
        </w:r>
        <w:r w:rsidR="005F4C7F">
          <w:rPr>
            <w:webHidden/>
          </w:rPr>
        </w:r>
        <w:r w:rsidR="005F4C7F">
          <w:rPr>
            <w:webHidden/>
          </w:rPr>
          <w:fldChar w:fldCharType="separate"/>
        </w:r>
        <w:r w:rsidR="00156C01">
          <w:rPr>
            <w:webHidden/>
          </w:rPr>
          <w:t>25</w:t>
        </w:r>
        <w:r w:rsidR="005F4C7F">
          <w:rPr>
            <w:webHidden/>
          </w:rPr>
          <w:fldChar w:fldCharType="end"/>
        </w:r>
      </w:hyperlink>
    </w:p>
    <w:p w14:paraId="6EEA3DD3" w14:textId="2A8AE36D" w:rsidR="005F4C7F" w:rsidRDefault="00BE462A">
      <w:pPr>
        <w:pStyle w:val="TOC5"/>
        <w:rPr>
          <w:rFonts w:eastAsiaTheme="minorEastAsia"/>
          <w:noProof/>
          <w:lang w:eastAsia="en-AU"/>
        </w:rPr>
      </w:pPr>
      <w:hyperlink w:anchor="_Toc127875417" w:history="1">
        <w:r w:rsidR="005F4C7F" w:rsidRPr="007C61A0">
          <w:rPr>
            <w:rStyle w:val="Hyperlink"/>
            <w:noProof/>
          </w:rPr>
          <w:t>Electricity licence fees</w:t>
        </w:r>
        <w:r w:rsidR="005F4C7F">
          <w:rPr>
            <w:noProof/>
            <w:webHidden/>
          </w:rPr>
          <w:tab/>
        </w:r>
        <w:r w:rsidR="005F4C7F">
          <w:rPr>
            <w:noProof/>
            <w:webHidden/>
          </w:rPr>
          <w:fldChar w:fldCharType="begin"/>
        </w:r>
        <w:r w:rsidR="005F4C7F">
          <w:rPr>
            <w:noProof/>
            <w:webHidden/>
          </w:rPr>
          <w:instrText xml:space="preserve"> PAGEREF _Toc127875417 \h </w:instrText>
        </w:r>
        <w:r w:rsidR="005F4C7F">
          <w:rPr>
            <w:noProof/>
            <w:webHidden/>
          </w:rPr>
        </w:r>
        <w:r w:rsidR="005F4C7F">
          <w:rPr>
            <w:noProof/>
            <w:webHidden/>
          </w:rPr>
          <w:fldChar w:fldCharType="separate"/>
        </w:r>
        <w:r w:rsidR="00156C01">
          <w:rPr>
            <w:noProof/>
            <w:webHidden/>
          </w:rPr>
          <w:t>26</w:t>
        </w:r>
        <w:r w:rsidR="005F4C7F">
          <w:rPr>
            <w:noProof/>
            <w:webHidden/>
          </w:rPr>
          <w:fldChar w:fldCharType="end"/>
        </w:r>
      </w:hyperlink>
    </w:p>
    <w:p w14:paraId="2B52B3C7" w14:textId="2D43A520" w:rsidR="005F4C7F" w:rsidRDefault="00BE462A">
      <w:pPr>
        <w:pStyle w:val="TOC5"/>
        <w:rPr>
          <w:rFonts w:eastAsiaTheme="minorEastAsia"/>
          <w:noProof/>
          <w:lang w:eastAsia="en-AU"/>
        </w:rPr>
      </w:pPr>
      <w:hyperlink w:anchor="_Toc127875418" w:history="1">
        <w:r w:rsidR="005F4C7F" w:rsidRPr="007C61A0">
          <w:rPr>
            <w:rStyle w:val="Hyperlink"/>
            <w:noProof/>
          </w:rPr>
          <w:t>Gas licence fees</w:t>
        </w:r>
        <w:r w:rsidR="005F4C7F">
          <w:rPr>
            <w:noProof/>
            <w:webHidden/>
          </w:rPr>
          <w:tab/>
        </w:r>
        <w:r w:rsidR="005F4C7F">
          <w:rPr>
            <w:noProof/>
            <w:webHidden/>
          </w:rPr>
          <w:fldChar w:fldCharType="begin"/>
        </w:r>
        <w:r w:rsidR="005F4C7F">
          <w:rPr>
            <w:noProof/>
            <w:webHidden/>
          </w:rPr>
          <w:instrText xml:space="preserve"> PAGEREF _Toc127875418 \h </w:instrText>
        </w:r>
        <w:r w:rsidR="005F4C7F">
          <w:rPr>
            <w:noProof/>
            <w:webHidden/>
          </w:rPr>
        </w:r>
        <w:r w:rsidR="005F4C7F">
          <w:rPr>
            <w:noProof/>
            <w:webHidden/>
          </w:rPr>
          <w:fldChar w:fldCharType="separate"/>
        </w:r>
        <w:r w:rsidR="00156C01">
          <w:rPr>
            <w:noProof/>
            <w:webHidden/>
          </w:rPr>
          <w:t>26</w:t>
        </w:r>
        <w:r w:rsidR="005F4C7F">
          <w:rPr>
            <w:noProof/>
            <w:webHidden/>
          </w:rPr>
          <w:fldChar w:fldCharType="end"/>
        </w:r>
      </w:hyperlink>
    </w:p>
    <w:p w14:paraId="1EC790F8" w14:textId="17229AA0" w:rsidR="005F4C7F" w:rsidRDefault="00BE462A" w:rsidP="00793CBD">
      <w:pPr>
        <w:pStyle w:val="TOC4"/>
        <w:rPr>
          <w:rFonts w:eastAsiaTheme="minorEastAsia"/>
          <w:lang w:eastAsia="en-AU"/>
        </w:rPr>
      </w:pPr>
      <w:hyperlink w:anchor="_Toc127875419" w:history="1">
        <w:r w:rsidR="005F4C7F" w:rsidRPr="007C61A0">
          <w:rPr>
            <w:rStyle w:val="Hyperlink"/>
          </w:rPr>
          <w:t>7.3.</w:t>
        </w:r>
        <w:r w:rsidR="005F4C7F">
          <w:rPr>
            <w:rFonts w:eastAsiaTheme="minorEastAsia"/>
            <w:lang w:eastAsia="en-AU"/>
          </w:rPr>
          <w:tab/>
        </w:r>
        <w:r w:rsidR="005F4C7F" w:rsidRPr="007C61A0">
          <w:rPr>
            <w:rStyle w:val="Hyperlink"/>
          </w:rPr>
          <w:t>Application for licence transfer</w:t>
        </w:r>
        <w:r w:rsidR="005F4C7F">
          <w:rPr>
            <w:webHidden/>
          </w:rPr>
          <w:tab/>
        </w:r>
        <w:r w:rsidR="005F4C7F">
          <w:rPr>
            <w:webHidden/>
          </w:rPr>
          <w:fldChar w:fldCharType="begin"/>
        </w:r>
        <w:r w:rsidR="005F4C7F">
          <w:rPr>
            <w:webHidden/>
          </w:rPr>
          <w:instrText xml:space="preserve"> PAGEREF _Toc127875419 \h </w:instrText>
        </w:r>
        <w:r w:rsidR="005F4C7F">
          <w:rPr>
            <w:webHidden/>
          </w:rPr>
        </w:r>
        <w:r w:rsidR="005F4C7F">
          <w:rPr>
            <w:webHidden/>
          </w:rPr>
          <w:fldChar w:fldCharType="separate"/>
        </w:r>
        <w:r w:rsidR="00156C01">
          <w:rPr>
            <w:webHidden/>
          </w:rPr>
          <w:t>27</w:t>
        </w:r>
        <w:r w:rsidR="005F4C7F">
          <w:rPr>
            <w:webHidden/>
          </w:rPr>
          <w:fldChar w:fldCharType="end"/>
        </w:r>
      </w:hyperlink>
    </w:p>
    <w:p w14:paraId="69112BFE" w14:textId="2592ADBA" w:rsidR="005F4C7F" w:rsidRDefault="00BE462A">
      <w:pPr>
        <w:pStyle w:val="TOC1"/>
        <w:rPr>
          <w:rFonts w:eastAsiaTheme="minorEastAsia"/>
          <w:b w:val="0"/>
          <w:noProof/>
          <w:lang w:eastAsia="en-AU"/>
        </w:rPr>
      </w:pPr>
      <w:hyperlink w:anchor="_Toc127875420" w:history="1">
        <w:r w:rsidR="005F4C7F" w:rsidRPr="007C61A0">
          <w:rPr>
            <w:rStyle w:val="Hyperlink"/>
            <w:noProof/>
          </w:rPr>
          <w:t>Document version control</w:t>
        </w:r>
        <w:r w:rsidR="005F4C7F">
          <w:rPr>
            <w:noProof/>
            <w:webHidden/>
          </w:rPr>
          <w:tab/>
        </w:r>
        <w:r w:rsidR="005F4C7F">
          <w:rPr>
            <w:noProof/>
            <w:webHidden/>
          </w:rPr>
          <w:fldChar w:fldCharType="begin"/>
        </w:r>
        <w:r w:rsidR="005F4C7F">
          <w:rPr>
            <w:noProof/>
            <w:webHidden/>
          </w:rPr>
          <w:instrText xml:space="preserve"> PAGEREF _Toc127875420 \h </w:instrText>
        </w:r>
        <w:r w:rsidR="005F4C7F">
          <w:rPr>
            <w:noProof/>
            <w:webHidden/>
          </w:rPr>
        </w:r>
        <w:r w:rsidR="005F4C7F">
          <w:rPr>
            <w:noProof/>
            <w:webHidden/>
          </w:rPr>
          <w:fldChar w:fldCharType="separate"/>
        </w:r>
        <w:r w:rsidR="00156C01">
          <w:rPr>
            <w:noProof/>
            <w:webHidden/>
          </w:rPr>
          <w:t>28</w:t>
        </w:r>
        <w:r w:rsidR="005F4C7F">
          <w:rPr>
            <w:noProof/>
            <w:webHidden/>
          </w:rPr>
          <w:fldChar w:fldCharType="end"/>
        </w:r>
      </w:hyperlink>
    </w:p>
    <w:p w14:paraId="559D6CEA" w14:textId="52D1AE6D" w:rsidR="00B245E8" w:rsidRDefault="00782E55" w:rsidP="009C3607">
      <w:pPr>
        <w:pStyle w:val="Heading1numbered"/>
      </w:pPr>
      <w:r>
        <w:rPr>
          <w:color w:val="236192" w:themeColor="accent1"/>
        </w:rPr>
        <w:lastRenderedPageBreak/>
        <w:fldChar w:fldCharType="end"/>
      </w:r>
      <w:bookmarkStart w:id="10" w:name="_Toc56515855"/>
      <w:bookmarkStart w:id="11" w:name="_Toc127875375"/>
      <w:r w:rsidR="00B245E8" w:rsidRPr="009821FD">
        <w:t>Introduction</w:t>
      </w:r>
      <w:bookmarkEnd w:id="10"/>
      <w:bookmarkEnd w:id="11"/>
    </w:p>
    <w:p w14:paraId="136835D6" w14:textId="5846B22B" w:rsidR="00B245E8" w:rsidRDefault="00B245E8" w:rsidP="00B245E8">
      <w:pPr>
        <w:pStyle w:val="Heading2numbered"/>
        <w:numPr>
          <w:ilvl w:val="1"/>
          <w:numId w:val="11"/>
        </w:numPr>
      </w:pPr>
      <w:bookmarkStart w:id="12" w:name="_Toc56515856"/>
      <w:bookmarkStart w:id="13" w:name="_Toc127875376"/>
      <w:r>
        <w:t>About this guid</w:t>
      </w:r>
      <w:r w:rsidR="009C3607">
        <w:t>e</w:t>
      </w:r>
      <w:r w:rsidR="00AC0153">
        <w:t>line</w:t>
      </w:r>
      <w:bookmarkEnd w:id="12"/>
      <w:bookmarkEnd w:id="13"/>
    </w:p>
    <w:p w14:paraId="1FE60AA4" w14:textId="6C4F44B9" w:rsidR="00B245E8" w:rsidRDefault="00B245E8" w:rsidP="00DB4E48">
      <w:pPr>
        <w:rPr>
          <w:b/>
        </w:rPr>
      </w:pPr>
      <w:bookmarkStart w:id="14" w:name="_Toc11401037"/>
      <w:bookmarkStart w:id="15" w:name="_Toc9325102"/>
      <w:r w:rsidRPr="00F767A9">
        <w:t xml:space="preserve">The </w:t>
      </w:r>
      <w:r>
        <w:t>Essential Services Commission (the commission) is the independent regulator established by the Victorian Government to regulate prescribed essential services, including the electricity and gas industries.</w:t>
      </w:r>
      <w:bookmarkEnd w:id="14"/>
    </w:p>
    <w:p w14:paraId="5732FC62" w14:textId="2D153298" w:rsidR="00B245E8" w:rsidRDefault="00B245E8" w:rsidP="00C80606">
      <w:pPr>
        <w:rPr>
          <w:b/>
        </w:rPr>
      </w:pPr>
      <w:bookmarkStart w:id="16" w:name="_Toc11401038"/>
      <w:r>
        <w:t xml:space="preserve">One of the commission’s statutory functions is to administer energy licensing in Victoria under Division 3 of Part 2 of the </w:t>
      </w:r>
      <w:hyperlink r:id="rId15" w:history="1">
        <w:r w:rsidRPr="00BE3873">
          <w:rPr>
            <w:rStyle w:val="Hyperlink"/>
            <w:rFonts w:cstheme="minorHAnsi"/>
            <w:i/>
            <w:iCs/>
          </w:rPr>
          <w:t>Electricity Industry Act 2000</w:t>
        </w:r>
      </w:hyperlink>
      <w:r>
        <w:t xml:space="preserve"> and Division 2 of Part 2 of the </w:t>
      </w:r>
      <w:hyperlink r:id="rId16" w:history="1">
        <w:r w:rsidRPr="00BE3873">
          <w:rPr>
            <w:rStyle w:val="Hyperlink"/>
            <w:rFonts w:cstheme="minorHAnsi"/>
            <w:i/>
            <w:iCs/>
          </w:rPr>
          <w:t>Gas Industry Act 2001</w:t>
        </w:r>
      </w:hyperlink>
      <w:r>
        <w:t>.</w:t>
      </w:r>
      <w:bookmarkEnd w:id="15"/>
      <w:bookmarkEnd w:id="16"/>
    </w:p>
    <w:p w14:paraId="5A092E64" w14:textId="2946F06B" w:rsidR="00B245E8" w:rsidRDefault="00B245E8" w:rsidP="00DB4E48">
      <w:r>
        <w:t>Any person who engages in the following activities must either be licensed by the commission, be exempted from the requirement to hold a licence</w:t>
      </w:r>
      <w:r w:rsidR="00993E34">
        <w:t xml:space="preserve"> or hold a trial waiver</w:t>
      </w:r>
      <w:r>
        <w:t xml:space="preserve"> (refer to section 6 of this guide</w:t>
      </w:r>
      <w:r w:rsidR="0042260E">
        <w:t>line</w:t>
      </w:r>
      <w:r>
        <w:t xml:space="preserve"> for further information on exemptions</w:t>
      </w:r>
      <w:r w:rsidR="00993E34">
        <w:t xml:space="preserve"> and trial waivers</w:t>
      </w:r>
      <w:r>
        <w:t>):</w:t>
      </w:r>
    </w:p>
    <w:tbl>
      <w:tblPr>
        <w:tblStyle w:val="TableGrid"/>
        <w:tblW w:w="0" w:type="auto"/>
        <w:tblLook w:val="04A0" w:firstRow="1" w:lastRow="0" w:firstColumn="1" w:lastColumn="0" w:noHBand="0" w:noVBand="1"/>
      </w:tblPr>
      <w:tblGrid>
        <w:gridCol w:w="4824"/>
        <w:gridCol w:w="4814"/>
      </w:tblGrid>
      <w:tr w:rsidR="00F94FF9" w14:paraId="73824253" w14:textId="77777777" w:rsidTr="008C6624">
        <w:trPr>
          <w:cnfStyle w:val="100000000000" w:firstRow="1" w:lastRow="0" w:firstColumn="0" w:lastColumn="0" w:oddVBand="0" w:evenVBand="0" w:oddHBand="0" w:evenHBand="0" w:firstRowFirstColumn="0" w:firstRowLastColumn="0" w:lastRowFirstColumn="0" w:lastRowLastColumn="0"/>
        </w:trPr>
        <w:tc>
          <w:tcPr>
            <w:tcW w:w="4892" w:type="dxa"/>
          </w:tcPr>
          <w:p w14:paraId="2D4596A9" w14:textId="77777777" w:rsidR="00B245E8" w:rsidRDefault="00B245E8" w:rsidP="009C3607">
            <w:pPr>
              <w:pStyle w:val="TableHeading"/>
            </w:pPr>
            <w:r>
              <w:t>Electricity industry activities</w:t>
            </w:r>
          </w:p>
        </w:tc>
        <w:tc>
          <w:tcPr>
            <w:tcW w:w="4888" w:type="dxa"/>
          </w:tcPr>
          <w:p w14:paraId="61B18D30" w14:textId="77777777" w:rsidR="00B245E8" w:rsidRDefault="00B245E8" w:rsidP="009C3607">
            <w:pPr>
              <w:pStyle w:val="TableHeading"/>
            </w:pPr>
            <w:r>
              <w:t>Gas industry activities</w:t>
            </w:r>
          </w:p>
        </w:tc>
      </w:tr>
      <w:tr w:rsidR="00F94FF9" w14:paraId="699A203A" w14:textId="77777777" w:rsidTr="008C6624">
        <w:trPr>
          <w:cnfStyle w:val="000000100000" w:firstRow="0" w:lastRow="0" w:firstColumn="0" w:lastColumn="0" w:oddVBand="0" w:evenVBand="0" w:oddHBand="1" w:evenHBand="0" w:firstRowFirstColumn="0" w:firstRowLastColumn="0" w:lastRowFirstColumn="0" w:lastRowLastColumn="0"/>
        </w:trPr>
        <w:tc>
          <w:tcPr>
            <w:tcW w:w="4892" w:type="dxa"/>
          </w:tcPr>
          <w:p w14:paraId="46E15B83" w14:textId="11F1FE3D" w:rsidR="00F94FF9" w:rsidRPr="009C5AB3" w:rsidRDefault="009C3607" w:rsidP="00D54FB6">
            <w:pPr>
              <w:pStyle w:val="TableBullet"/>
              <w:spacing w:before="0"/>
            </w:pPr>
            <w:r>
              <w:t>S</w:t>
            </w:r>
            <w:r w:rsidR="00F94FF9" w:rsidRPr="009C5AB3">
              <w:t>upply or sale of electricity (either by retail or through the wholesale market)</w:t>
            </w:r>
          </w:p>
          <w:p w14:paraId="67376CD3" w14:textId="1DE8C7C1" w:rsidR="00B245E8" w:rsidRPr="009C5AB3" w:rsidRDefault="009C3607" w:rsidP="009C5AB3">
            <w:pPr>
              <w:pStyle w:val="TableBullet"/>
            </w:pPr>
            <w:r>
              <w:t>G</w:t>
            </w:r>
            <w:r w:rsidR="00B245E8" w:rsidRPr="009C5AB3">
              <w:t>eneration of electricity for supply or sale</w:t>
            </w:r>
          </w:p>
          <w:p w14:paraId="5456D276" w14:textId="1D71DB8F" w:rsidR="00B245E8" w:rsidRPr="009C5AB3" w:rsidRDefault="009C3607" w:rsidP="009C5AB3">
            <w:pPr>
              <w:pStyle w:val="TableBullet"/>
            </w:pPr>
            <w:r>
              <w:t>T</w:t>
            </w:r>
            <w:r w:rsidR="00B245E8" w:rsidRPr="009C5AB3">
              <w:t>ransmission of electricity</w:t>
            </w:r>
          </w:p>
          <w:p w14:paraId="7F30BE11" w14:textId="5CA14DED" w:rsidR="00B245E8" w:rsidRPr="009C5AB3" w:rsidRDefault="009C3607" w:rsidP="009C3607">
            <w:pPr>
              <w:pStyle w:val="TableBullet"/>
            </w:pPr>
            <w:r>
              <w:t>D</w:t>
            </w:r>
            <w:r w:rsidR="00B245E8" w:rsidRPr="009C5AB3">
              <w:t>istribution or supply of electricity</w:t>
            </w:r>
            <w:r w:rsidR="00D54FB6">
              <w:t>.</w:t>
            </w:r>
          </w:p>
        </w:tc>
        <w:tc>
          <w:tcPr>
            <w:tcW w:w="4888" w:type="dxa"/>
          </w:tcPr>
          <w:p w14:paraId="4814BC78" w14:textId="1D716878" w:rsidR="00D457BC" w:rsidRPr="009C5AB3" w:rsidRDefault="00F94FF9" w:rsidP="009C5AB3">
            <w:pPr>
              <w:pStyle w:val="TableBullet"/>
            </w:pPr>
            <w:r w:rsidRPr="009C5AB3">
              <w:t>Sale of gas by retail</w:t>
            </w:r>
          </w:p>
          <w:p w14:paraId="57CCDF2A" w14:textId="5CAA8F54" w:rsidR="00B245E8" w:rsidRPr="009C5AB3" w:rsidRDefault="009C3607" w:rsidP="009C3607">
            <w:pPr>
              <w:pStyle w:val="TableBullet"/>
            </w:pPr>
            <w:r>
              <w:t>P</w:t>
            </w:r>
            <w:r w:rsidR="00F94FF9" w:rsidRPr="009C5AB3">
              <w:t>roviding gas services</w:t>
            </w:r>
            <w:r w:rsidR="00093B4A" w:rsidRPr="009C5AB3">
              <w:t xml:space="preserve"> (either by retail or through the wholesale market)</w:t>
            </w:r>
            <w:r w:rsidR="00B245E8" w:rsidRPr="009C5AB3">
              <w:t xml:space="preserve"> by means of a distribution pipeline</w:t>
            </w:r>
            <w:r w:rsidR="00093B4A" w:rsidRPr="009C5AB3">
              <w:t>.</w:t>
            </w:r>
          </w:p>
        </w:tc>
      </w:tr>
    </w:tbl>
    <w:p w14:paraId="58D34655" w14:textId="03CE1618" w:rsidR="00B245E8" w:rsidRDefault="00B245E8" w:rsidP="00B245E8">
      <w:pPr>
        <w:spacing w:before="360"/>
      </w:pPr>
      <w:r w:rsidRPr="0047434A">
        <w:t xml:space="preserve">This </w:t>
      </w:r>
      <w:r>
        <w:t>guid</w:t>
      </w:r>
      <w:r w:rsidR="00AC0153">
        <w:t>eline</w:t>
      </w:r>
      <w:r w:rsidR="009C5AB3">
        <w:t>,</w:t>
      </w:r>
      <w:r w:rsidR="00AC0153">
        <w:t xml:space="preserve"> issu</w:t>
      </w:r>
      <w:r>
        <w:t>e</w:t>
      </w:r>
      <w:r w:rsidR="00AC0153">
        <w:t xml:space="preserve">d pursuant to section 13 of the </w:t>
      </w:r>
      <w:r w:rsidR="00AC0153" w:rsidRPr="005D3258">
        <w:rPr>
          <w:i/>
          <w:iCs/>
        </w:rPr>
        <w:t>Essential Services Commission Act 2001</w:t>
      </w:r>
      <w:r w:rsidR="009C5AB3">
        <w:t>,</w:t>
      </w:r>
      <w:r>
        <w:t xml:space="preserve"> </w:t>
      </w:r>
      <w:r w:rsidRPr="0047434A">
        <w:t xml:space="preserve">provides information </w:t>
      </w:r>
      <w:r>
        <w:t>and guidance to licence applicants</w:t>
      </w:r>
      <w:r w:rsidRPr="004535A2">
        <w:t xml:space="preserve"> </w:t>
      </w:r>
      <w:r>
        <w:t>about our</w:t>
      </w:r>
      <w:r w:rsidRPr="004535A2">
        <w:t xml:space="preserve"> app</w:t>
      </w:r>
      <w:r>
        <w:t xml:space="preserve">roach to assessing applications and the information required to assess applications. The </w:t>
      </w:r>
      <w:r w:rsidR="00190FED">
        <w:t>guideline</w:t>
      </w:r>
      <w:r>
        <w:t xml:space="preserve"> also includes information on </w:t>
      </w:r>
      <w:r w:rsidR="00F22050">
        <w:t xml:space="preserve">the </w:t>
      </w:r>
      <w:r>
        <w:t>variation, transfer and revocation of licences.</w:t>
      </w:r>
    </w:p>
    <w:p w14:paraId="640059FA" w14:textId="4F75AE27" w:rsidR="00190FED" w:rsidRPr="00CD6343" w:rsidRDefault="00190FED" w:rsidP="00190FED">
      <w:r>
        <w:t xml:space="preserve">Applicants </w:t>
      </w:r>
      <w:r w:rsidRPr="00CD6343">
        <w:t xml:space="preserve">should note that </w:t>
      </w:r>
      <w:r>
        <w:t xml:space="preserve">this guideline </w:t>
      </w:r>
      <w:r w:rsidRPr="00CD6343">
        <w:t>do</w:t>
      </w:r>
      <w:r>
        <w:t>es</w:t>
      </w:r>
      <w:r w:rsidRPr="00CD6343">
        <w:t xml:space="preserve"> not in any way detract from or amend any statuto</w:t>
      </w:r>
      <w:r>
        <w:t xml:space="preserve">ry or regulatory requirements. </w:t>
      </w:r>
    </w:p>
    <w:p w14:paraId="3C3E0EFC" w14:textId="77777777" w:rsidR="00B245E8" w:rsidRDefault="00B245E8" w:rsidP="00B245E8">
      <w:pPr>
        <w:pStyle w:val="Heading2numbered"/>
        <w:numPr>
          <w:ilvl w:val="1"/>
          <w:numId w:val="11"/>
        </w:numPr>
      </w:pPr>
      <w:bookmarkStart w:id="17" w:name="_Toc56515857"/>
      <w:bookmarkStart w:id="18" w:name="_Toc127875377"/>
      <w:r>
        <w:t>Assessment of licence applications</w:t>
      </w:r>
      <w:bookmarkEnd w:id="17"/>
      <w:bookmarkEnd w:id="18"/>
    </w:p>
    <w:p w14:paraId="33D1A6CD" w14:textId="59D3DE64" w:rsidR="00B245E8" w:rsidRDefault="00B245E8" w:rsidP="00B245E8">
      <w:r>
        <w:t xml:space="preserve">In deciding whether to grant or refuse a licence application, the commission is bound by the provisions of the </w:t>
      </w:r>
      <w:hyperlink r:id="rId17" w:history="1">
        <w:r w:rsidRPr="004F6DB9">
          <w:rPr>
            <w:rStyle w:val="Hyperlink"/>
            <w:i/>
            <w:iCs/>
          </w:rPr>
          <w:t>Essential Services Commission Act 2001</w:t>
        </w:r>
      </w:hyperlink>
      <w:r>
        <w:t xml:space="preserve">, </w:t>
      </w:r>
      <w:r w:rsidRPr="00314F4C">
        <w:t xml:space="preserve">the </w:t>
      </w:r>
      <w:hyperlink r:id="rId18" w:history="1">
        <w:r w:rsidRPr="004F6DB9">
          <w:rPr>
            <w:rStyle w:val="Hyperlink"/>
            <w:i/>
            <w:iCs/>
          </w:rPr>
          <w:t>Electricity Industry Act 2000</w:t>
        </w:r>
      </w:hyperlink>
      <w:r w:rsidRPr="00314F4C">
        <w:t xml:space="preserve"> and</w:t>
      </w:r>
      <w:r>
        <w:t xml:space="preserve">/or </w:t>
      </w:r>
      <w:r w:rsidRPr="00314F4C">
        <w:t xml:space="preserve">the </w:t>
      </w:r>
      <w:hyperlink r:id="rId19" w:history="1">
        <w:r w:rsidRPr="004F6DB9">
          <w:rPr>
            <w:rStyle w:val="Hyperlink"/>
            <w:i/>
            <w:iCs/>
          </w:rPr>
          <w:t>Gas Industry Act 2001</w:t>
        </w:r>
      </w:hyperlink>
      <w:r w:rsidR="00D54FB6" w:rsidRPr="00D54FB6">
        <w:t xml:space="preserve">, </w:t>
      </w:r>
      <w:r w:rsidR="00FB5873" w:rsidRPr="00D54FB6">
        <w:t>and Orders in Council made under those Acts</w:t>
      </w:r>
      <w:r w:rsidRPr="00314F4C">
        <w:t>.</w:t>
      </w:r>
    </w:p>
    <w:p w14:paraId="72A9D635" w14:textId="77777777" w:rsidR="009C3607" w:rsidRDefault="009C3607">
      <w:pPr>
        <w:spacing w:before="0" w:line="259" w:lineRule="auto"/>
      </w:pPr>
      <w:r>
        <w:br w:type="page"/>
      </w:r>
    </w:p>
    <w:p w14:paraId="0CF8C45E" w14:textId="03EB3DAD" w:rsidR="00B245E8" w:rsidRDefault="00B245E8" w:rsidP="00B245E8">
      <w:r>
        <w:lastRenderedPageBreak/>
        <w:t>The commission will not grant a licence application unless it is satisfied that:</w:t>
      </w:r>
    </w:p>
    <w:p w14:paraId="3E91FEF9" w14:textId="4620E662" w:rsidR="00B245E8" w:rsidRDefault="00B245E8" w:rsidP="00D54FB6">
      <w:pPr>
        <w:pStyle w:val="ListBullet"/>
      </w:pPr>
      <w:r>
        <w:t xml:space="preserve">the applicant has and will maintain the technical capacity to comply with the conditions of </w:t>
      </w:r>
      <w:r w:rsidR="001D2A78">
        <w:t xml:space="preserve">the </w:t>
      </w:r>
      <w:r>
        <w:t xml:space="preserve">licence </w:t>
      </w:r>
      <w:r w:rsidR="001D2A78">
        <w:t>and other regulatory instruments such as Codes of Practice</w:t>
      </w:r>
    </w:p>
    <w:p w14:paraId="01EF7279" w14:textId="16E99BFA" w:rsidR="00B245E8" w:rsidRDefault="00B245E8" w:rsidP="00D54FB6">
      <w:pPr>
        <w:pStyle w:val="ListBullet"/>
      </w:pPr>
      <w:r>
        <w:t>the applicant is financially viable</w:t>
      </w:r>
      <w:r>
        <w:rPr>
          <w:rStyle w:val="FootnoteReference"/>
        </w:rPr>
        <w:footnoteReference w:id="1"/>
      </w:r>
      <w:r>
        <w:t xml:space="preserve"> </w:t>
      </w:r>
    </w:p>
    <w:p w14:paraId="5A074188" w14:textId="1CDF6CE7" w:rsidR="00B245E8" w:rsidRPr="00314F4C" w:rsidRDefault="00B245E8" w:rsidP="00D54FB6">
      <w:pPr>
        <w:pStyle w:val="ListBullet"/>
      </w:pPr>
      <w:r>
        <w:t>the applicant is a fit and proper person to hold a Victorian electricity or gas industry licence.</w:t>
      </w:r>
    </w:p>
    <w:p w14:paraId="6D1696DE" w14:textId="6F3DEB61" w:rsidR="00835745" w:rsidRDefault="00B245E8" w:rsidP="00B245E8">
      <w:r>
        <w:t xml:space="preserve">In deciding whether to grant or refuse a licence application, the commission must have regard to its objectives under the </w:t>
      </w:r>
      <w:hyperlink r:id="rId20" w:history="1">
        <w:r w:rsidRPr="004F6DB9">
          <w:rPr>
            <w:rStyle w:val="Hyperlink"/>
            <w:i/>
            <w:iCs/>
          </w:rPr>
          <w:t>Essential Services Commission Act 2001</w:t>
        </w:r>
      </w:hyperlink>
      <w:r>
        <w:t xml:space="preserve">, </w:t>
      </w:r>
      <w:r w:rsidRPr="00314F4C">
        <w:t xml:space="preserve">the </w:t>
      </w:r>
      <w:hyperlink r:id="rId21" w:history="1">
        <w:r w:rsidRPr="004F6DB9">
          <w:rPr>
            <w:rStyle w:val="Hyperlink"/>
            <w:i/>
            <w:iCs/>
          </w:rPr>
          <w:t>Electricity Industry Act 2000</w:t>
        </w:r>
      </w:hyperlink>
      <w:r w:rsidRPr="00314F4C">
        <w:t xml:space="preserve"> and</w:t>
      </w:r>
      <w:r>
        <w:t xml:space="preserve"> </w:t>
      </w:r>
      <w:r w:rsidRPr="00314F4C">
        <w:t xml:space="preserve">the </w:t>
      </w:r>
      <w:hyperlink r:id="rId22" w:history="1">
        <w:r w:rsidRPr="004F6DB9">
          <w:rPr>
            <w:rStyle w:val="Hyperlink"/>
            <w:i/>
            <w:iCs/>
          </w:rPr>
          <w:t>Gas Industry Act 2001</w:t>
        </w:r>
      </w:hyperlink>
      <w:r w:rsidR="00A8105D">
        <w:rPr>
          <w:rStyle w:val="Hyperlink"/>
          <w:i/>
          <w:iCs/>
        </w:rPr>
        <w:t xml:space="preserve"> </w:t>
      </w:r>
      <w:r w:rsidR="00A8105D">
        <w:rPr>
          <w:rStyle w:val="Hyperlink"/>
        </w:rPr>
        <w:t>(as applicable)</w:t>
      </w:r>
      <w:r>
        <w:t xml:space="preserve">. Further information about these matters is provided in part </w:t>
      </w:r>
      <w:r w:rsidR="00473CC1">
        <w:t>four</w:t>
      </w:r>
      <w:r>
        <w:t xml:space="preserve"> of this guide</w:t>
      </w:r>
      <w:r w:rsidR="009C5AB3">
        <w:t>line</w:t>
      </w:r>
      <w:r>
        <w:t xml:space="preserve"> and in the respective licence application forms on our </w:t>
      </w:r>
      <w:hyperlink r:id="rId23" w:history="1">
        <w:r w:rsidRPr="00D54FB6">
          <w:rPr>
            <w:rStyle w:val="Hyperlink"/>
          </w:rPr>
          <w:t>website</w:t>
        </w:r>
      </w:hyperlink>
      <w:r>
        <w:t>.</w:t>
      </w:r>
    </w:p>
    <w:p w14:paraId="1E286EBF" w14:textId="357BED03" w:rsidR="00B245E8" w:rsidRDefault="00B245E8" w:rsidP="00B245E8">
      <w:r>
        <w:t xml:space="preserve">All </w:t>
      </w:r>
      <w:r w:rsidR="005C20C9">
        <w:t xml:space="preserve">electricity and gas </w:t>
      </w:r>
      <w:r w:rsidR="00AC259F">
        <w:t xml:space="preserve">licence </w:t>
      </w:r>
      <w:r>
        <w:t>applications are assessed on a case-by-case basis. We may request additional information</w:t>
      </w:r>
      <w:r w:rsidR="00AC259F">
        <w:t xml:space="preserve"> and documentation</w:t>
      </w:r>
      <w:r>
        <w:t xml:space="preserve"> </w:t>
      </w:r>
      <w:r w:rsidR="00AC259F">
        <w:t xml:space="preserve">as part of </w:t>
      </w:r>
      <w:r>
        <w:t>the assessment of the application. We</w:t>
      </w:r>
      <w:r w:rsidR="00AC0153">
        <w:t xml:space="preserve"> may</w:t>
      </w:r>
      <w:r>
        <w:t xml:space="preserve"> </w:t>
      </w:r>
      <w:r w:rsidR="00AC259F">
        <w:t xml:space="preserve">also </w:t>
      </w:r>
      <w:r>
        <w:t>depart from the process described in this guide</w:t>
      </w:r>
      <w:r w:rsidR="009C5AB3">
        <w:t>line</w:t>
      </w:r>
      <w:r w:rsidR="00AC259F">
        <w:t xml:space="preserve"> or relevant application form</w:t>
      </w:r>
      <w:r>
        <w:t xml:space="preserve"> if we </w:t>
      </w:r>
      <w:r w:rsidR="00AC259F">
        <w:t>consider it appropriate.</w:t>
      </w:r>
      <w:r>
        <w:t xml:space="preserve"> </w:t>
      </w:r>
    </w:p>
    <w:p w14:paraId="23CB7DF8" w14:textId="36CFB5EE" w:rsidR="00190FED" w:rsidRDefault="00190FED" w:rsidP="00B245E8">
      <w:r>
        <w:t xml:space="preserve">Failure to submit a complete application may result in the application being considered invalid and consideration of the application may not proceed. It is an applicant’s responsibility to provide a complete and accurate application. </w:t>
      </w:r>
    </w:p>
    <w:p w14:paraId="0E805BD0" w14:textId="68D6132C" w:rsidR="00AC259F" w:rsidRDefault="00AC259F" w:rsidP="00AC259F">
      <w:pPr>
        <w:pStyle w:val="Pull-out"/>
      </w:pPr>
      <w:r>
        <w:t>The applicant</w:t>
      </w:r>
      <w:r w:rsidRPr="005F3995">
        <w:t xml:space="preserve"> must take all reasonable steps to ensure the information provided in the application form is complete, true and correct</w:t>
      </w:r>
      <w:r>
        <w:t xml:space="preserve">. </w:t>
      </w:r>
      <w:r w:rsidR="00AC0153">
        <w:t>Should information change subsequent to the application being lodged, but prior to the application being considered, the applicant must update the information in its application.</w:t>
      </w:r>
    </w:p>
    <w:p w14:paraId="6648E0C1" w14:textId="77777777" w:rsidR="00AC0153" w:rsidRDefault="00AC259F" w:rsidP="00AC259F">
      <w:pPr>
        <w:pStyle w:val="Pull-out"/>
      </w:pPr>
      <w:r>
        <w:t>An officer of the applicant is required to make a declaration to this effect in the application form.</w:t>
      </w:r>
      <w:r w:rsidRPr="005F3995">
        <w:t xml:space="preserve"> Failure to disclose information or misrepresent any matter relevant to such information may result in a licence not being issued or in the </w:t>
      </w:r>
      <w:r>
        <w:t>revocation</w:t>
      </w:r>
      <w:r w:rsidRPr="005F3995">
        <w:t xml:space="preserve"> of a licence later.  </w:t>
      </w:r>
    </w:p>
    <w:p w14:paraId="6D4EFF6B" w14:textId="70D2E931" w:rsidR="00AC259F" w:rsidRDefault="00AC0153" w:rsidP="00AC259F">
      <w:pPr>
        <w:pStyle w:val="Pull-out"/>
      </w:pPr>
      <w:r>
        <w:t xml:space="preserve">It is a criminal offence under section 61A of the </w:t>
      </w:r>
      <w:r w:rsidRPr="00F74311">
        <w:rPr>
          <w:i/>
          <w:iCs/>
        </w:rPr>
        <w:t>Essential Services Commission Act 2001</w:t>
      </w:r>
      <w:r>
        <w:t xml:space="preserve"> to provide the commission with false or misleading information or documentation.</w:t>
      </w:r>
    </w:p>
    <w:p w14:paraId="6C7239AC" w14:textId="2D0D992B" w:rsidR="00860739" w:rsidRDefault="00860739" w:rsidP="00860739">
      <w:pPr>
        <w:pStyle w:val="Heading2numbered"/>
        <w:numPr>
          <w:ilvl w:val="0"/>
          <w:numId w:val="0"/>
        </w:numPr>
      </w:pPr>
      <w:bookmarkStart w:id="19" w:name="_Toc127875378"/>
      <w:bookmarkStart w:id="20" w:name="_Toc527123352"/>
      <w:bookmarkStart w:id="21" w:name="_Toc528239999"/>
      <w:bookmarkStart w:id="22" w:name="_Toc56515858"/>
      <w:r>
        <w:lastRenderedPageBreak/>
        <w:t xml:space="preserve">1.2.1 </w:t>
      </w:r>
      <w:r w:rsidR="00323DF7">
        <w:t>Additional consideration</w:t>
      </w:r>
      <w:r w:rsidR="00EA3B5D">
        <w:t>s</w:t>
      </w:r>
      <w:r w:rsidR="00323DF7">
        <w:t xml:space="preserve"> for retail electricity and gas licence applicants</w:t>
      </w:r>
      <w:bookmarkEnd w:id="19"/>
    </w:p>
    <w:p w14:paraId="73A89B46" w14:textId="2CD28771" w:rsidR="00860739" w:rsidRDefault="00860739" w:rsidP="00860739">
      <w:r>
        <w:t>It is important to note that, in the context of the significant wholesale market volatility in 2022, and the subsequent exit of a number of energy retailers</w:t>
      </w:r>
      <w:r w:rsidR="00F525FE">
        <w:t xml:space="preserve"> both in Victoria and other Australian jurisdictions</w:t>
      </w:r>
      <w:r>
        <w:t>, the commission is now applying additional scrutiny to retail</w:t>
      </w:r>
      <w:r w:rsidR="00323DF7">
        <w:t xml:space="preserve"> electricity and gas</w:t>
      </w:r>
      <w:r>
        <w:t xml:space="preserve"> licence applications. </w:t>
      </w:r>
    </w:p>
    <w:p w14:paraId="2D26AB8D" w14:textId="23CE6BD6" w:rsidR="00F525FE" w:rsidRDefault="00F525FE" w:rsidP="00860739">
      <w:r>
        <w:t xml:space="preserve">The exit of retailers from the market through retailer of last resort events has the potential to cause harm to customers who generally become unsecured creditors and may lose money they had prepaid to their former energy retailer. More broadly, </w:t>
      </w:r>
      <w:r w:rsidR="0048649B">
        <w:t xml:space="preserve">failing </w:t>
      </w:r>
      <w:r>
        <w:t>retailer</w:t>
      </w:r>
      <w:r w:rsidR="0048649B">
        <w:t>s</w:t>
      </w:r>
      <w:r>
        <w:t xml:space="preserve"> </w:t>
      </w:r>
      <w:r w:rsidR="0048649B">
        <w:t xml:space="preserve">are at increased risk of being unable to meet their regulatory obligations, such as the provision of customer protections. </w:t>
      </w:r>
      <w:r w:rsidR="00273AD9">
        <w:t>High</w:t>
      </w:r>
      <w:r w:rsidR="0048649B">
        <w:t xml:space="preserve"> levels of </w:t>
      </w:r>
      <w:r w:rsidR="00EE7C46">
        <w:t>retailer</w:t>
      </w:r>
      <w:r w:rsidR="00273AD9">
        <w:t>s</w:t>
      </w:r>
      <w:r w:rsidR="00EE7C46">
        <w:t xml:space="preserve"> </w:t>
      </w:r>
      <w:r w:rsidR="00273AD9">
        <w:t xml:space="preserve">exiting the </w:t>
      </w:r>
      <w:r w:rsidR="0048649B">
        <w:t xml:space="preserve">market also have the potential to </w:t>
      </w:r>
      <w:r>
        <w:t>undermine and erode consumer trust in the market, even where the physical supply of energy continues</w:t>
      </w:r>
      <w:r w:rsidR="00CF1AEF">
        <w:t xml:space="preserve">, and </w:t>
      </w:r>
      <w:r w:rsidR="0048649B">
        <w:t xml:space="preserve">can </w:t>
      </w:r>
      <w:r w:rsidR="00CF1AEF">
        <w:t>place additional operational and financial burden</w:t>
      </w:r>
      <w:r w:rsidR="0048649B">
        <w:t>s</w:t>
      </w:r>
      <w:r w:rsidR="00CF1AEF">
        <w:t xml:space="preserve"> on other retailers which increases the risk of wider financial contagion issues in the market</w:t>
      </w:r>
      <w:r>
        <w:t>.</w:t>
      </w:r>
      <w:r w:rsidR="00CF1AEF">
        <w:t xml:space="preserve"> </w:t>
      </w:r>
    </w:p>
    <w:p w14:paraId="7BA427B6" w14:textId="77777777" w:rsidR="00CF1AEF" w:rsidRDefault="00860739" w:rsidP="00860739">
      <w:r>
        <w:t xml:space="preserve">Given the above, the commission will </w:t>
      </w:r>
      <w:r w:rsidRPr="001A5443">
        <w:rPr>
          <w:b/>
          <w:bCs/>
        </w:rPr>
        <w:t>not</w:t>
      </w:r>
      <w:r>
        <w:t xml:space="preserve"> grant new licences to retail energy unless the commission is positively satisfied that</w:t>
      </w:r>
      <w:r w:rsidR="00CF1AEF">
        <w:t>:</w:t>
      </w:r>
    </w:p>
    <w:p w14:paraId="502C72BF" w14:textId="0D464725" w:rsidR="00CF1AEF" w:rsidRDefault="00CF1AEF" w:rsidP="00CF1AEF">
      <w:pPr>
        <w:pStyle w:val="ListParagraph"/>
        <w:numPr>
          <w:ilvl w:val="0"/>
          <w:numId w:val="64"/>
        </w:numPr>
      </w:pPr>
      <w:r>
        <w:t xml:space="preserve">the applicant has the </w:t>
      </w:r>
      <w:r w:rsidRPr="001A5443">
        <w:rPr>
          <w:b/>
          <w:bCs/>
        </w:rPr>
        <w:t>organisational capability</w:t>
      </w:r>
      <w:r>
        <w:t xml:space="preserve"> to satisfy the </w:t>
      </w:r>
      <w:r w:rsidRPr="001A5443">
        <w:rPr>
          <w:b/>
          <w:bCs/>
        </w:rPr>
        <w:t>technical capacity</w:t>
      </w:r>
      <w:r>
        <w:t xml:space="preserve"> statutory threshold, including appropriate risk management strategies</w:t>
      </w:r>
      <w:r w:rsidR="00D742CD">
        <w:t xml:space="preserve"> and </w:t>
      </w:r>
      <w:r w:rsidR="00D742CD" w:rsidRPr="00273AD9">
        <w:t>internal capacity</w:t>
      </w:r>
      <w:r w:rsidR="00D742CD">
        <w:t xml:space="preserve"> and </w:t>
      </w:r>
      <w:r w:rsidR="00D742CD" w:rsidRPr="00273AD9">
        <w:t>governance arrangements</w:t>
      </w:r>
      <w:r w:rsidR="00D742CD">
        <w:t xml:space="preserve"> to oversee core functions such as risk management and compliance (including where functions might be outsourced to third parties)</w:t>
      </w:r>
    </w:p>
    <w:p w14:paraId="5A0C43AA" w14:textId="54E0E3A8" w:rsidR="00CF1AEF" w:rsidRDefault="00CF1AEF" w:rsidP="00CF1AEF">
      <w:pPr>
        <w:pStyle w:val="ListParagraph"/>
        <w:numPr>
          <w:ilvl w:val="0"/>
          <w:numId w:val="64"/>
        </w:numPr>
      </w:pPr>
      <w:r>
        <w:t xml:space="preserve">the applicant has appropriate </w:t>
      </w:r>
      <w:r w:rsidRPr="001A5443">
        <w:rPr>
          <w:b/>
          <w:bCs/>
        </w:rPr>
        <w:t>financial resources</w:t>
      </w:r>
      <w:r>
        <w:t xml:space="preserve"> and </w:t>
      </w:r>
      <w:r w:rsidRPr="001A5443">
        <w:rPr>
          <w:b/>
          <w:bCs/>
        </w:rPr>
        <w:t>liquid capital</w:t>
      </w:r>
      <w:r>
        <w:t xml:space="preserve"> to sustainably operate a retail business, including the ability to effectively manage and survive financial shocks and the consequential increased operating costs</w:t>
      </w:r>
    </w:p>
    <w:p w14:paraId="713CB6CC" w14:textId="013CAFC7" w:rsidR="00CF1AEF" w:rsidRDefault="00860739" w:rsidP="00CF1AEF">
      <w:pPr>
        <w:pStyle w:val="ListParagraph"/>
        <w:numPr>
          <w:ilvl w:val="0"/>
          <w:numId w:val="64"/>
        </w:numPr>
      </w:pPr>
      <w:r>
        <w:t xml:space="preserve">entry of the applicant </w:t>
      </w:r>
      <w:r w:rsidR="00F525FE">
        <w:t xml:space="preserve">into the retail market </w:t>
      </w:r>
      <w:r>
        <w:t xml:space="preserve">will promote the long-term </w:t>
      </w:r>
      <w:bookmarkStart w:id="23" w:name="_Hlk127887120"/>
      <w:r>
        <w:t>interests of Victorian energy consumers</w:t>
      </w:r>
      <w:r w:rsidR="00CF1AEF">
        <w:t xml:space="preserve"> with respect to the price, reliability and quality of energy</w:t>
      </w:r>
      <w:bookmarkEnd w:id="23"/>
      <w:r>
        <w:t>.</w:t>
      </w:r>
    </w:p>
    <w:p w14:paraId="1A2B1E96" w14:textId="0F6D3AB7" w:rsidR="00B245E8" w:rsidRDefault="00B245E8" w:rsidP="00B245E8">
      <w:pPr>
        <w:pStyle w:val="Heading2numbered"/>
        <w:numPr>
          <w:ilvl w:val="1"/>
          <w:numId w:val="11"/>
        </w:numPr>
      </w:pPr>
      <w:bookmarkStart w:id="24" w:name="_Toc127875379"/>
      <w:r>
        <w:t>Leg</w:t>
      </w:r>
      <w:bookmarkEnd w:id="20"/>
      <w:bookmarkEnd w:id="21"/>
      <w:r>
        <w:t>islative framework</w:t>
      </w:r>
      <w:bookmarkEnd w:id="22"/>
      <w:bookmarkEnd w:id="24"/>
    </w:p>
    <w:p w14:paraId="034118D8" w14:textId="4D6767C0" w:rsidR="00B245E8" w:rsidRDefault="00B245E8" w:rsidP="00B245E8">
      <w:r>
        <w:t>Before making an application, applicants should read and understand</w:t>
      </w:r>
      <w:r w:rsidR="00093B4A">
        <w:t xml:space="preserve"> the relevant parts of</w:t>
      </w:r>
      <w:r>
        <w:t>:</w:t>
      </w:r>
    </w:p>
    <w:p w14:paraId="7362BA5B" w14:textId="3B6BC9FD" w:rsidR="00B245E8" w:rsidRPr="00093B4A" w:rsidRDefault="00B245E8" w:rsidP="00AC259F">
      <w:pPr>
        <w:pStyle w:val="ListBullet"/>
      </w:pPr>
      <w:r w:rsidRPr="00093B4A">
        <w:t xml:space="preserve">the </w:t>
      </w:r>
      <w:hyperlink r:id="rId24" w:history="1">
        <w:r w:rsidRPr="004F6DB9">
          <w:rPr>
            <w:rStyle w:val="Hyperlink"/>
            <w:i/>
            <w:iCs/>
            <w:color w:val="auto"/>
            <w:u w:val="none"/>
          </w:rPr>
          <w:t>Essential Services Commission Act 2001</w:t>
        </w:r>
      </w:hyperlink>
      <w:r w:rsidRPr="004F6DB9">
        <w:rPr>
          <w:i/>
          <w:iCs/>
        </w:rPr>
        <w:t xml:space="preserve"> </w:t>
      </w:r>
      <w:r w:rsidRPr="00093B4A">
        <w:t xml:space="preserve">(the ESC Act) </w:t>
      </w:r>
    </w:p>
    <w:p w14:paraId="2D94357D" w14:textId="3C1F2CC2" w:rsidR="00B245E8" w:rsidRPr="00093B4A" w:rsidRDefault="00B245E8" w:rsidP="00AC259F">
      <w:pPr>
        <w:pStyle w:val="ListBullet"/>
      </w:pPr>
      <w:r w:rsidRPr="00093B4A">
        <w:t xml:space="preserve">the </w:t>
      </w:r>
      <w:hyperlink r:id="rId25" w:history="1">
        <w:r w:rsidRPr="004F6DB9">
          <w:rPr>
            <w:rStyle w:val="Hyperlink"/>
            <w:i/>
            <w:iCs/>
            <w:color w:val="auto"/>
            <w:u w:val="none"/>
          </w:rPr>
          <w:t>Electricity Industry Act 2000</w:t>
        </w:r>
      </w:hyperlink>
      <w:r w:rsidRPr="00093B4A">
        <w:t xml:space="preserve"> (the Electricity Industry Act) </w:t>
      </w:r>
    </w:p>
    <w:p w14:paraId="29D4D3B4" w14:textId="0BFE6728" w:rsidR="00B245E8" w:rsidRPr="00093B4A" w:rsidRDefault="00B245E8" w:rsidP="00AC259F">
      <w:pPr>
        <w:pStyle w:val="ListBullet"/>
      </w:pPr>
      <w:r w:rsidRPr="00093B4A">
        <w:t xml:space="preserve">the </w:t>
      </w:r>
      <w:hyperlink r:id="rId26" w:history="1">
        <w:r w:rsidRPr="004F6DB9">
          <w:rPr>
            <w:rStyle w:val="Hyperlink"/>
            <w:i/>
            <w:iCs/>
            <w:color w:val="auto"/>
            <w:u w:val="none"/>
          </w:rPr>
          <w:t>Gas Industry Act 2001</w:t>
        </w:r>
      </w:hyperlink>
      <w:r w:rsidRPr="00093B4A">
        <w:t xml:space="preserve"> (the Gas Industry Act) (together, the Industry Acts)</w:t>
      </w:r>
    </w:p>
    <w:p w14:paraId="64CA6B51" w14:textId="0E30C69B" w:rsidR="00B245E8" w:rsidRPr="00093B4A" w:rsidRDefault="00B245E8" w:rsidP="00AC259F">
      <w:pPr>
        <w:pStyle w:val="ListBullet"/>
      </w:pPr>
      <w:r w:rsidRPr="00093B4A">
        <w:t>other codes</w:t>
      </w:r>
      <w:r w:rsidR="00D4113D">
        <w:t xml:space="preserve"> of practice</w:t>
      </w:r>
      <w:r w:rsidRPr="00093B4A">
        <w:t xml:space="preserve"> and guidelines that apply to licensees, such as the </w:t>
      </w:r>
      <w:hyperlink r:id="rId27" w:history="1">
        <w:r w:rsidRPr="00093B4A">
          <w:rPr>
            <w:rStyle w:val="Hyperlink"/>
          </w:rPr>
          <w:t>Energy Retail Code</w:t>
        </w:r>
        <w:r w:rsidR="00093B4A" w:rsidRPr="00093B4A">
          <w:rPr>
            <w:rStyle w:val="Hyperlink"/>
          </w:rPr>
          <w:t xml:space="preserve"> of Practice</w:t>
        </w:r>
      </w:hyperlink>
      <w:r w:rsidRPr="00093B4A">
        <w:t xml:space="preserve"> and the </w:t>
      </w:r>
      <w:hyperlink r:id="rId28" w:history="1">
        <w:r w:rsidRPr="00093B4A">
          <w:rPr>
            <w:rStyle w:val="Hyperlink"/>
          </w:rPr>
          <w:t>Electricity Distribution Code</w:t>
        </w:r>
        <w:r w:rsidR="00093B4A" w:rsidRPr="00093B4A">
          <w:rPr>
            <w:rStyle w:val="Hyperlink"/>
          </w:rPr>
          <w:t xml:space="preserve"> of Practice</w:t>
        </w:r>
      </w:hyperlink>
      <w:r w:rsidRPr="00093B4A">
        <w:t>.</w:t>
      </w:r>
    </w:p>
    <w:p w14:paraId="4483F4D7" w14:textId="5EF2C176" w:rsidR="00B245E8" w:rsidRDefault="00B245E8" w:rsidP="00B245E8">
      <w:r>
        <w:lastRenderedPageBreak/>
        <w:t>All applicants must have a detailed understanding of the legislation and regulatory instruments relevant to their proposed activities.</w:t>
      </w:r>
    </w:p>
    <w:p w14:paraId="78EFA307" w14:textId="083DA0B4" w:rsidR="00EF7456" w:rsidRDefault="00B245E8" w:rsidP="00B245E8">
      <w:pPr>
        <w:sectPr w:rsidR="00EF7456" w:rsidSect="00DB206F">
          <w:footerReference w:type="default" r:id="rId29"/>
          <w:type w:val="continuous"/>
          <w:pgSz w:w="11906" w:h="16838" w:code="9"/>
          <w:pgMar w:top="1134" w:right="1134" w:bottom="1134" w:left="1134" w:header="709" w:footer="692" w:gutter="0"/>
          <w:cols w:space="708"/>
          <w:docGrid w:linePitch="360"/>
        </w:sectPr>
      </w:pPr>
      <w:r>
        <w:t>This guide</w:t>
      </w:r>
      <w:r w:rsidR="009C5AB3">
        <w:t>line</w:t>
      </w:r>
      <w:r>
        <w:t xml:space="preserve"> should not be relied upon as </w:t>
      </w:r>
      <w:r w:rsidR="000F19DE">
        <w:t xml:space="preserve">a </w:t>
      </w:r>
      <w:r>
        <w:t xml:space="preserve">substitute for legal advice and should be read in conjunction with the above legislation and </w:t>
      </w:r>
      <w:r w:rsidR="000F19DE">
        <w:t>regulation</w:t>
      </w:r>
      <w:r w:rsidR="004F4061">
        <w:t>s</w:t>
      </w:r>
      <w:r>
        <w:t>. In the event of inconsistency between this guide</w:t>
      </w:r>
      <w:r w:rsidR="009C5AB3">
        <w:t>line</w:t>
      </w:r>
      <w:r>
        <w:t>, the relevant legislation and regulatory instruments apply.</w:t>
      </w:r>
      <w:r w:rsidRPr="00FC3CAB">
        <w:t xml:space="preserve"> </w:t>
      </w:r>
      <w:r>
        <w:t xml:space="preserve">It is the responsibility of the applicant to ensure it is complying with its legal obligations when applying for a licence. </w:t>
      </w:r>
    </w:p>
    <w:p w14:paraId="6FEE5E66" w14:textId="77777777" w:rsidR="00B245E8" w:rsidRPr="0031223E" w:rsidRDefault="00B245E8" w:rsidP="00B245E8">
      <w:pPr>
        <w:pStyle w:val="Heading1numbered"/>
        <w:numPr>
          <w:ilvl w:val="0"/>
          <w:numId w:val="11"/>
        </w:numPr>
      </w:pPr>
      <w:bookmarkStart w:id="25" w:name="_Toc56515859"/>
      <w:bookmarkStart w:id="26" w:name="_Toc127875380"/>
      <w:r>
        <w:lastRenderedPageBreak/>
        <w:t>Applying for a licence</w:t>
      </w:r>
      <w:bookmarkEnd w:id="25"/>
      <w:bookmarkEnd w:id="26"/>
    </w:p>
    <w:p w14:paraId="26A86B70" w14:textId="77777777" w:rsidR="00B245E8" w:rsidRDefault="00B245E8" w:rsidP="00B245E8">
      <w:pPr>
        <w:pStyle w:val="Heading2numbered"/>
        <w:numPr>
          <w:ilvl w:val="1"/>
          <w:numId w:val="11"/>
        </w:numPr>
      </w:pPr>
      <w:bookmarkStart w:id="27" w:name="_Toc56515860"/>
      <w:bookmarkStart w:id="28" w:name="_Toc127875381"/>
      <w:r>
        <w:t xml:space="preserve">Who may </w:t>
      </w:r>
      <w:r w:rsidRPr="009821FD">
        <w:t>apply</w:t>
      </w:r>
      <w:r>
        <w:t xml:space="preserve"> for a licence</w:t>
      </w:r>
      <w:bookmarkEnd w:id="27"/>
      <w:bookmarkEnd w:id="28"/>
    </w:p>
    <w:p w14:paraId="262E6F3F" w14:textId="77777777" w:rsidR="00B245E8" w:rsidRPr="00B6253A" w:rsidRDefault="00B245E8" w:rsidP="00B245E8">
      <w:bookmarkStart w:id="29" w:name="_Toc3993221"/>
      <w:bookmarkStart w:id="30" w:name="_Toc3993478"/>
      <w:r w:rsidRPr="00274E4F">
        <w:t xml:space="preserve">An application for a </w:t>
      </w:r>
      <w:r w:rsidRPr="0017602A">
        <w:t>licence</w:t>
      </w:r>
      <w:r w:rsidRPr="00274E4F">
        <w:t xml:space="preserve"> may be made by any legal person including</w:t>
      </w:r>
      <w:r>
        <w:t xml:space="preserve"> </w:t>
      </w:r>
      <w:r w:rsidRPr="00274E4F">
        <w:t>individuals, incorporated associations</w:t>
      </w:r>
      <w:r>
        <w:t xml:space="preserve"> </w:t>
      </w:r>
      <w:r w:rsidRPr="00274E4F">
        <w:t xml:space="preserve">and corporations. </w:t>
      </w:r>
      <w:bookmarkEnd w:id="29"/>
      <w:bookmarkEnd w:id="30"/>
    </w:p>
    <w:p w14:paraId="5E6E8945" w14:textId="2A3D6F48" w:rsidR="00B245E8" w:rsidRDefault="00B245E8" w:rsidP="00B245E8">
      <w:r>
        <w:t>Entities that are not a legal person (for example, an unincorporated joint venture) cannot apply for a licence.</w:t>
      </w:r>
    </w:p>
    <w:p w14:paraId="5194FD8C" w14:textId="77777777" w:rsidR="00B245E8" w:rsidRDefault="00B245E8" w:rsidP="00B245E8">
      <w:pPr>
        <w:pStyle w:val="Heading2numbered"/>
        <w:numPr>
          <w:ilvl w:val="1"/>
          <w:numId w:val="11"/>
        </w:numPr>
      </w:pPr>
      <w:bookmarkStart w:id="31" w:name="_Toc56515861"/>
      <w:bookmarkStart w:id="32" w:name="_Toc127875382"/>
      <w:r>
        <w:t>How to apply for a licence</w:t>
      </w:r>
      <w:bookmarkEnd w:id="31"/>
      <w:bookmarkEnd w:id="32"/>
    </w:p>
    <w:p w14:paraId="0C694811" w14:textId="13E2FA02" w:rsidR="00F67B46" w:rsidRDefault="00F67B46" w:rsidP="00304DCB">
      <w:pPr>
        <w:rPr>
          <w:rFonts w:ascii="Arial" w:hAnsi="Arial" w:cs="Arial"/>
        </w:rPr>
      </w:pPr>
      <w:r w:rsidRPr="001D60D2">
        <w:rPr>
          <w:rFonts w:ascii="Arial" w:hAnsi="Arial" w:cs="Arial"/>
          <w:color w:val="000000" w:themeColor="text1"/>
        </w:rPr>
        <w:t xml:space="preserve">If an applicant has any queries following their review of this guideline and the relevant licence application form, they can contact us at </w:t>
      </w:r>
      <w:hyperlink r:id="rId30" w:history="1">
        <w:r>
          <w:rPr>
            <w:rStyle w:val="Hyperlink"/>
            <w:rFonts w:ascii="Arial" w:hAnsi="Arial" w:cs="Arial"/>
          </w:rPr>
          <w:t>licences@esc.vic.gov.au</w:t>
        </w:r>
      </w:hyperlink>
      <w:r>
        <w:rPr>
          <w:rFonts w:ascii="Arial" w:hAnsi="Arial" w:cs="Arial"/>
        </w:rPr>
        <w:t>, prior to lodging their application.</w:t>
      </w:r>
    </w:p>
    <w:p w14:paraId="059DE7A3" w14:textId="24904DB2" w:rsidR="00273AD9" w:rsidRPr="00273AD9" w:rsidRDefault="00273AD9" w:rsidP="00273AD9">
      <w:pPr>
        <w:rPr>
          <w:rFonts w:ascii="Arial" w:hAnsi="Arial" w:cs="Arial"/>
          <w:color w:val="000000" w:themeColor="text1"/>
        </w:rPr>
      </w:pPr>
      <w:r w:rsidRPr="00273AD9">
        <w:rPr>
          <w:rFonts w:ascii="Arial" w:hAnsi="Arial" w:cs="Arial"/>
          <w:color w:val="000000" w:themeColor="text1"/>
        </w:rPr>
        <w:t>The application form requires applicants to identify whether any third parties assisted with their application. There will be instances when the commission may wish to engage directly with an applicant to obtain more information about an application</w:t>
      </w:r>
      <w:r>
        <w:rPr>
          <w:rFonts w:ascii="Arial" w:hAnsi="Arial" w:cs="Arial"/>
          <w:color w:val="000000" w:themeColor="text1"/>
        </w:rPr>
        <w:t>.</w:t>
      </w:r>
    </w:p>
    <w:p w14:paraId="4D7C18E1" w14:textId="20A24622" w:rsidR="00B245E8" w:rsidRDefault="00304DCB" w:rsidP="00304DCB">
      <w:pPr>
        <w:rPr>
          <w:rFonts w:eastAsia="Times New Roman" w:cstheme="minorHAnsi"/>
          <w:szCs w:val="24"/>
        </w:rPr>
      </w:pPr>
      <w:r w:rsidRPr="00304DCB">
        <w:rPr>
          <w:rFonts w:eastAsia="Times New Roman" w:cstheme="minorHAnsi"/>
          <w:szCs w:val="24"/>
        </w:rPr>
        <w:t xml:space="preserve">The applicant may send the completed application form </w:t>
      </w:r>
      <w:r w:rsidR="000F19DE">
        <w:rPr>
          <w:rFonts w:eastAsia="Times New Roman" w:cstheme="minorHAnsi"/>
          <w:szCs w:val="24"/>
        </w:rPr>
        <w:t xml:space="preserve">and </w:t>
      </w:r>
      <w:r>
        <w:rPr>
          <w:rFonts w:eastAsia="Times New Roman" w:cstheme="minorHAnsi"/>
          <w:szCs w:val="24"/>
        </w:rPr>
        <w:t xml:space="preserve">attachments </w:t>
      </w:r>
      <w:r w:rsidRPr="00304DCB">
        <w:rPr>
          <w:rFonts w:eastAsia="Times New Roman" w:cstheme="minorHAnsi"/>
          <w:szCs w:val="24"/>
        </w:rPr>
        <w:t xml:space="preserve">electronically (preferred) or </w:t>
      </w:r>
      <w:r w:rsidR="000F19DE">
        <w:rPr>
          <w:rFonts w:eastAsia="Times New Roman" w:cstheme="minorHAnsi"/>
          <w:szCs w:val="24"/>
        </w:rPr>
        <w:t>by hard copy</w:t>
      </w:r>
      <w:r w:rsidRPr="00304DCB">
        <w:rPr>
          <w:rFonts w:eastAsia="Times New Roman" w:cstheme="minorHAnsi"/>
          <w:szCs w:val="24"/>
        </w:rPr>
        <w:t xml:space="preserve"> to:</w:t>
      </w:r>
      <w:r w:rsidR="00B245E8" w:rsidRPr="00276DDB">
        <w:rPr>
          <w:rFonts w:eastAsia="Times New Roman" w:cstheme="minorHAnsi"/>
          <w:szCs w:val="24"/>
        </w:rPr>
        <w:t xml:space="preserve"> </w:t>
      </w:r>
    </w:p>
    <w:p w14:paraId="2CD33DD1" w14:textId="44157E42" w:rsidR="00B245E8" w:rsidRPr="009E06DE" w:rsidRDefault="00B245E8" w:rsidP="00B245E8">
      <w:pPr>
        <w:ind w:left="357" w:hanging="357"/>
        <w:rPr>
          <w:rFonts w:ascii="Arial" w:hAnsi="Arial" w:cs="Arial"/>
        </w:rPr>
      </w:pPr>
      <w:r w:rsidRPr="009E06DE">
        <w:rPr>
          <w:rFonts w:ascii="Arial" w:hAnsi="Arial" w:cs="Arial"/>
        </w:rPr>
        <w:t>Electronically:</w:t>
      </w:r>
      <w:r w:rsidRPr="009E06DE">
        <w:rPr>
          <w:rFonts w:ascii="Arial" w:hAnsi="Arial" w:cs="Arial"/>
        </w:rPr>
        <w:tab/>
      </w:r>
      <w:r w:rsidRPr="009E06DE">
        <w:rPr>
          <w:rFonts w:ascii="Arial" w:hAnsi="Arial" w:cs="Arial"/>
        </w:rPr>
        <w:tab/>
      </w:r>
      <w:r w:rsidR="00337511">
        <w:rPr>
          <w:rFonts w:ascii="Arial" w:hAnsi="Arial" w:cs="Arial"/>
        </w:rPr>
        <w:tab/>
      </w:r>
      <w:hyperlink r:id="rId31" w:history="1">
        <w:r w:rsidR="00975CA8" w:rsidRPr="00975CA8">
          <w:rPr>
            <w:rStyle w:val="Hyperlink"/>
            <w:rFonts w:ascii="Arial" w:hAnsi="Arial" w:cs="Arial"/>
          </w:rPr>
          <w:t>licences@esc.vic.gov.au</w:t>
        </w:r>
      </w:hyperlink>
    </w:p>
    <w:p w14:paraId="087947F2" w14:textId="189E111C" w:rsidR="00CF46B6" w:rsidRDefault="000F19DE" w:rsidP="00B245E8">
      <w:pPr>
        <w:spacing w:after="0"/>
        <w:ind w:left="357" w:hanging="357"/>
        <w:rPr>
          <w:rFonts w:ascii="Arial" w:hAnsi="Arial" w:cs="Arial"/>
        </w:rPr>
      </w:pPr>
      <w:r>
        <w:rPr>
          <w:rFonts w:ascii="Arial" w:hAnsi="Arial" w:cs="Arial"/>
        </w:rPr>
        <w:t>Hard copy</w:t>
      </w:r>
      <w:r w:rsidR="00B245E8" w:rsidRPr="009E06DE">
        <w:rPr>
          <w:rFonts w:ascii="Arial" w:hAnsi="Arial" w:cs="Arial"/>
        </w:rPr>
        <w:t>:</w:t>
      </w:r>
      <w:r w:rsidR="00B245E8" w:rsidRPr="009E06DE">
        <w:rPr>
          <w:rFonts w:ascii="Arial" w:hAnsi="Arial" w:cs="Arial"/>
        </w:rPr>
        <w:tab/>
      </w:r>
      <w:r w:rsidR="00B245E8" w:rsidRPr="009E06DE">
        <w:rPr>
          <w:rFonts w:ascii="Arial" w:hAnsi="Arial" w:cs="Arial"/>
        </w:rPr>
        <w:tab/>
      </w:r>
      <w:r w:rsidR="00B245E8">
        <w:rPr>
          <w:rFonts w:ascii="Arial" w:hAnsi="Arial" w:cs="Arial"/>
        </w:rPr>
        <w:tab/>
      </w:r>
      <w:bookmarkStart w:id="33" w:name="_Hlk57719019"/>
      <w:r w:rsidR="00CF46B6">
        <w:rPr>
          <w:rFonts w:ascii="Arial" w:hAnsi="Arial" w:cs="Arial"/>
        </w:rPr>
        <w:t>Market Operations, Energy Division</w:t>
      </w:r>
    </w:p>
    <w:p w14:paraId="3EF738BE" w14:textId="56F17744" w:rsidR="00B245E8" w:rsidRDefault="00B245E8" w:rsidP="00CF46B6">
      <w:pPr>
        <w:spacing w:before="0" w:after="0"/>
        <w:ind w:left="2517" w:firstLine="363"/>
        <w:rPr>
          <w:rFonts w:ascii="Arial" w:hAnsi="Arial" w:cs="Arial"/>
        </w:rPr>
      </w:pPr>
      <w:r w:rsidRPr="009E06DE">
        <w:rPr>
          <w:rFonts w:ascii="Arial" w:hAnsi="Arial" w:cs="Arial"/>
        </w:rPr>
        <w:t>Essential Services Commission</w:t>
      </w:r>
    </w:p>
    <w:p w14:paraId="2D48A53F" w14:textId="6D1A9B53" w:rsidR="00B245E8" w:rsidRDefault="00B245E8" w:rsidP="00B245E8">
      <w:pPr>
        <w:spacing w:before="0" w:after="0"/>
        <w:ind w:left="357" w:hanging="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4DCB">
        <w:rPr>
          <w:rFonts w:ascii="Arial" w:hAnsi="Arial" w:cs="Arial"/>
        </w:rPr>
        <w:t xml:space="preserve">Level </w:t>
      </w:r>
      <w:r>
        <w:rPr>
          <w:rFonts w:ascii="Arial" w:hAnsi="Arial" w:cs="Arial"/>
        </w:rPr>
        <w:t>8</w:t>
      </w:r>
      <w:r w:rsidR="00304DCB">
        <w:rPr>
          <w:rFonts w:ascii="Arial" w:hAnsi="Arial" w:cs="Arial"/>
        </w:rPr>
        <w:t xml:space="preserve">, </w:t>
      </w:r>
      <w:r>
        <w:rPr>
          <w:rFonts w:ascii="Arial" w:hAnsi="Arial" w:cs="Arial"/>
        </w:rPr>
        <w:t>570 Bourke Street</w:t>
      </w:r>
    </w:p>
    <w:p w14:paraId="56F81BA8" w14:textId="3C494978" w:rsidR="00B245E8" w:rsidRDefault="00B245E8" w:rsidP="00B245E8">
      <w:pPr>
        <w:spacing w:before="0" w:after="0"/>
        <w:ind w:left="357" w:hanging="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Melbourne VIC 3000</w:t>
      </w:r>
    </w:p>
    <w:p w14:paraId="55250495" w14:textId="79F2F3AD" w:rsidR="005C2164" w:rsidRPr="009D34A8" w:rsidRDefault="00B84159" w:rsidP="005C2164">
      <w:pPr>
        <w:rPr>
          <w:b/>
          <w:bCs/>
        </w:rPr>
      </w:pPr>
      <w:r>
        <w:rPr>
          <w:b/>
          <w:bCs/>
        </w:rPr>
        <w:t>Individual attachments that are clearly titled (consistently with the attachment references specified in the application form) must be provided. Do not bundle attachments into single, large files</w:t>
      </w:r>
      <w:r w:rsidR="005C2164" w:rsidRPr="009D34A8">
        <w:rPr>
          <w:b/>
          <w:bCs/>
        </w:rPr>
        <w:t>.</w:t>
      </w:r>
    </w:p>
    <w:p w14:paraId="71543CE3" w14:textId="77777777" w:rsidR="00055667" w:rsidRDefault="00055667" w:rsidP="00055667">
      <w:pPr>
        <w:pStyle w:val="Heading3"/>
      </w:pPr>
      <w:bookmarkStart w:id="34" w:name="_Toc111724761"/>
      <w:bookmarkStart w:id="35" w:name="_Toc111725109"/>
      <w:bookmarkStart w:id="36" w:name="_Toc127875383"/>
      <w:r>
        <w:t>Large files</w:t>
      </w:r>
      <w:bookmarkEnd w:id="34"/>
      <w:bookmarkEnd w:id="35"/>
      <w:bookmarkEnd w:id="36"/>
    </w:p>
    <w:p w14:paraId="47B0D2EA" w14:textId="4DF4B028" w:rsidR="00055667" w:rsidRPr="005E10A6" w:rsidRDefault="00055667" w:rsidP="00055667">
      <w:r>
        <w:t xml:space="preserve">Applicants generally need to send us large files which is often not suitable via email. Please contact us at </w:t>
      </w:r>
      <w:hyperlink r:id="rId32" w:history="1">
        <w:r w:rsidRPr="00F13C37">
          <w:rPr>
            <w:rStyle w:val="Hyperlink"/>
          </w:rPr>
          <w:t>licences@esc.vic.gov.au</w:t>
        </w:r>
      </w:hyperlink>
      <w:r>
        <w:t xml:space="preserve"> to discuss alternative options to provide an application to the commission.</w:t>
      </w:r>
      <w:r w:rsidR="00230B6B">
        <w:br/>
      </w:r>
    </w:p>
    <w:p w14:paraId="0749D799" w14:textId="74A4C941" w:rsidR="00B245E8" w:rsidRDefault="00121EB7" w:rsidP="00B245E8">
      <w:pPr>
        <w:pStyle w:val="Heading2numbered"/>
        <w:numPr>
          <w:ilvl w:val="1"/>
          <w:numId w:val="11"/>
        </w:numPr>
      </w:pPr>
      <w:bookmarkStart w:id="37" w:name="_Toc56515862"/>
      <w:bookmarkStart w:id="38" w:name="_Toc127875384"/>
      <w:bookmarkEnd w:id="33"/>
      <w:r>
        <w:lastRenderedPageBreak/>
        <w:t xml:space="preserve">Energy retail </w:t>
      </w:r>
      <w:r w:rsidR="006C781E">
        <w:t>a</w:t>
      </w:r>
      <w:r w:rsidR="00B245E8">
        <w:t xml:space="preserve">pplication </w:t>
      </w:r>
      <w:r w:rsidR="006C781E">
        <w:t xml:space="preserve">licence </w:t>
      </w:r>
      <w:r w:rsidR="00B245E8">
        <w:t>fee</w:t>
      </w:r>
      <w:bookmarkEnd w:id="37"/>
      <w:r w:rsidR="000F19DE">
        <w:t xml:space="preserve"> and </w:t>
      </w:r>
      <w:r>
        <w:t>A</w:t>
      </w:r>
      <w:r w:rsidR="000F19DE">
        <w:t>nnual licence fees</w:t>
      </w:r>
      <w:bookmarkEnd w:id="38"/>
    </w:p>
    <w:p w14:paraId="230C64FC" w14:textId="6F5E510F" w:rsidR="00A07B0C" w:rsidRPr="00653826" w:rsidRDefault="00A066BF" w:rsidP="00653826">
      <w:pPr>
        <w:pStyle w:val="Heading3"/>
        <w:rPr>
          <w:b w:val="0"/>
        </w:rPr>
      </w:pPr>
      <w:bookmarkStart w:id="39" w:name="_Application_fee"/>
      <w:bookmarkEnd w:id="39"/>
      <w:r w:rsidRPr="00A07B0C">
        <w:t>A</w:t>
      </w:r>
      <w:r w:rsidR="00230B6B" w:rsidRPr="00A07B0C">
        <w:t>pplication fee</w:t>
      </w:r>
      <w:r w:rsidR="00A07B0C" w:rsidRPr="00A07B0C">
        <w:t xml:space="preserve"> </w:t>
      </w:r>
    </w:p>
    <w:p w14:paraId="4AF66C7B" w14:textId="5BE41010" w:rsidR="002C2ECB" w:rsidRDefault="000A5ED6" w:rsidP="00E20E5D">
      <w:pPr>
        <w:rPr>
          <w:rFonts w:ascii="Arial" w:hAnsi="Arial" w:cs="Arial"/>
        </w:rPr>
      </w:pPr>
      <w:r>
        <w:rPr>
          <w:rFonts w:ascii="Arial" w:hAnsi="Arial" w:cs="Arial"/>
        </w:rPr>
        <w:t xml:space="preserve">The commission </w:t>
      </w:r>
      <w:r w:rsidR="000D7012">
        <w:rPr>
          <w:rFonts w:ascii="Arial" w:hAnsi="Arial" w:cs="Arial"/>
        </w:rPr>
        <w:t>can</w:t>
      </w:r>
      <w:r>
        <w:rPr>
          <w:rFonts w:ascii="Arial" w:hAnsi="Arial" w:cs="Arial"/>
        </w:rPr>
        <w:t xml:space="preserve"> set a licence application fee under s</w:t>
      </w:r>
      <w:r w:rsidRPr="00F92551">
        <w:rPr>
          <w:rFonts w:ascii="Arial" w:hAnsi="Arial" w:cs="Arial"/>
        </w:rPr>
        <w:t>ection 18(3) of the Electricity Industry Act 2000 (EI Act) and section 25(3) of the Gas</w:t>
      </w:r>
      <w:r>
        <w:rPr>
          <w:rFonts w:ascii="Arial" w:hAnsi="Arial" w:cs="Arial"/>
        </w:rPr>
        <w:t xml:space="preserve"> </w:t>
      </w:r>
      <w:r w:rsidRPr="00F92551">
        <w:rPr>
          <w:rFonts w:ascii="Arial" w:hAnsi="Arial" w:cs="Arial"/>
        </w:rPr>
        <w:t>Industry Act 2001 (GI Act).</w:t>
      </w:r>
      <w:r>
        <w:rPr>
          <w:rFonts w:ascii="Arial" w:hAnsi="Arial" w:cs="Arial"/>
        </w:rPr>
        <w:t xml:space="preserve"> </w:t>
      </w:r>
      <w:r w:rsidR="00E20E5D" w:rsidRPr="00E20E5D">
        <w:rPr>
          <w:rFonts w:ascii="Arial" w:hAnsi="Arial" w:cs="Arial"/>
        </w:rPr>
        <w:t xml:space="preserve"> </w:t>
      </w:r>
      <w:r w:rsidR="00E20E5D">
        <w:rPr>
          <w:rFonts w:ascii="Arial" w:hAnsi="Arial" w:cs="Arial"/>
        </w:rPr>
        <w:t>A non-</w:t>
      </w:r>
      <w:r w:rsidR="006C781E">
        <w:rPr>
          <w:rFonts w:ascii="Arial" w:hAnsi="Arial" w:cs="Arial"/>
        </w:rPr>
        <w:t>refundable</w:t>
      </w:r>
      <w:r w:rsidR="00E20E5D">
        <w:rPr>
          <w:rFonts w:ascii="Arial" w:hAnsi="Arial" w:cs="Arial"/>
        </w:rPr>
        <w:t xml:space="preserve"> Retail Application Licence Fee of $5,000 has been set by the commission for all </w:t>
      </w:r>
      <w:r w:rsidR="00E20E5D" w:rsidRPr="00230B6B">
        <w:rPr>
          <w:rFonts w:ascii="Arial" w:hAnsi="Arial" w:cs="Arial"/>
        </w:rPr>
        <w:t xml:space="preserve">energy retail </w:t>
      </w:r>
      <w:r w:rsidR="00E20E5D">
        <w:rPr>
          <w:rFonts w:ascii="Arial" w:hAnsi="Arial" w:cs="Arial"/>
        </w:rPr>
        <w:t xml:space="preserve">licence </w:t>
      </w:r>
      <w:r w:rsidR="00E20E5D" w:rsidRPr="00230B6B">
        <w:rPr>
          <w:rFonts w:ascii="Arial" w:hAnsi="Arial" w:cs="Arial"/>
        </w:rPr>
        <w:t>applications</w:t>
      </w:r>
      <w:r>
        <w:rPr>
          <w:rFonts w:ascii="Arial" w:hAnsi="Arial" w:cs="Arial"/>
        </w:rPr>
        <w:t xml:space="preserve"> </w:t>
      </w:r>
      <w:r w:rsidR="00E60443">
        <w:rPr>
          <w:rFonts w:ascii="Arial" w:hAnsi="Arial" w:cs="Arial"/>
        </w:rPr>
        <w:t xml:space="preserve">and </w:t>
      </w:r>
      <w:r w:rsidR="000C019F">
        <w:rPr>
          <w:rFonts w:ascii="Arial" w:hAnsi="Arial" w:cs="Arial"/>
        </w:rPr>
        <w:t>applies to applications made on or after 1 May 2024</w:t>
      </w:r>
      <w:r w:rsidR="00121EB7">
        <w:rPr>
          <w:rStyle w:val="FootnoteReference"/>
          <w:rFonts w:ascii="Arial" w:hAnsi="Arial" w:cs="Arial"/>
        </w:rPr>
        <w:footnoteReference w:id="2"/>
      </w:r>
      <w:r w:rsidR="00823D2C">
        <w:rPr>
          <w:rFonts w:ascii="Arial" w:hAnsi="Arial" w:cs="Arial"/>
        </w:rPr>
        <w:t>.</w:t>
      </w:r>
      <w:r>
        <w:rPr>
          <w:rFonts w:ascii="Arial" w:hAnsi="Arial" w:cs="Arial"/>
        </w:rPr>
        <w:t xml:space="preserve"> </w:t>
      </w:r>
    </w:p>
    <w:p w14:paraId="4C3382E7" w14:textId="6C9349B5" w:rsidR="00E20E5D" w:rsidRPr="00440760" w:rsidRDefault="00E20E5D" w:rsidP="000C019F">
      <w:pPr>
        <w:rPr>
          <w:rFonts w:ascii="Arial" w:hAnsi="Arial" w:cs="Arial"/>
        </w:rPr>
      </w:pPr>
      <w:r w:rsidRPr="00440760">
        <w:rPr>
          <w:rFonts w:ascii="Arial" w:hAnsi="Arial" w:cs="Arial"/>
        </w:rPr>
        <w:t xml:space="preserve">The </w:t>
      </w:r>
      <w:r w:rsidR="000D7012" w:rsidRPr="00440760">
        <w:rPr>
          <w:rFonts w:ascii="Arial" w:hAnsi="Arial" w:cs="Arial"/>
        </w:rPr>
        <w:t>Retail A</w:t>
      </w:r>
      <w:r w:rsidR="00D81A32" w:rsidRPr="00440760">
        <w:rPr>
          <w:rFonts w:ascii="Arial" w:hAnsi="Arial" w:cs="Arial"/>
        </w:rPr>
        <w:t xml:space="preserve">pplication </w:t>
      </w:r>
      <w:r w:rsidR="000D7012" w:rsidRPr="00440760">
        <w:rPr>
          <w:rFonts w:ascii="Arial" w:hAnsi="Arial" w:cs="Arial"/>
        </w:rPr>
        <w:t>Licence F</w:t>
      </w:r>
      <w:r w:rsidR="00D81A32" w:rsidRPr="00440760">
        <w:rPr>
          <w:rFonts w:ascii="Arial" w:hAnsi="Arial" w:cs="Arial"/>
        </w:rPr>
        <w:t xml:space="preserve">ee </w:t>
      </w:r>
      <w:r w:rsidR="00ED6F67" w:rsidRPr="00440760">
        <w:rPr>
          <w:rFonts w:ascii="Arial" w:hAnsi="Arial" w:cs="Arial"/>
        </w:rPr>
        <w:t>is an administrative fee</w:t>
      </w:r>
      <w:r w:rsidR="000C019F" w:rsidRPr="00440760">
        <w:rPr>
          <w:rFonts w:ascii="Arial" w:hAnsi="Arial" w:cs="Arial"/>
        </w:rPr>
        <w:t>.</w:t>
      </w:r>
      <w:r w:rsidR="00ED6F67" w:rsidRPr="00440760">
        <w:rPr>
          <w:rFonts w:ascii="Arial" w:hAnsi="Arial" w:cs="Arial"/>
        </w:rPr>
        <w:t xml:space="preserve"> </w:t>
      </w:r>
      <w:r w:rsidR="000C019F" w:rsidRPr="00440760">
        <w:rPr>
          <w:rFonts w:ascii="Arial" w:hAnsi="Arial" w:cs="Arial"/>
        </w:rPr>
        <w:t>E</w:t>
      </w:r>
      <w:r w:rsidR="00B54814" w:rsidRPr="00440760">
        <w:rPr>
          <w:rFonts w:ascii="Arial" w:hAnsi="Arial" w:cs="Arial"/>
        </w:rPr>
        <w:t>nergy retail applicants</w:t>
      </w:r>
      <w:r w:rsidR="000C019F" w:rsidRPr="00440760">
        <w:rPr>
          <w:rFonts w:ascii="Arial" w:hAnsi="Arial" w:cs="Arial"/>
        </w:rPr>
        <w:t xml:space="preserve"> should make sure they are able</w:t>
      </w:r>
      <w:r w:rsidR="00B54814" w:rsidRPr="00440760">
        <w:rPr>
          <w:rFonts w:ascii="Arial" w:hAnsi="Arial" w:cs="Arial"/>
        </w:rPr>
        <w:t xml:space="preserve"> to meet </w:t>
      </w:r>
      <w:r w:rsidR="00DF609C" w:rsidRPr="00440760">
        <w:rPr>
          <w:rFonts w:ascii="Arial" w:hAnsi="Arial" w:cs="Arial"/>
        </w:rPr>
        <w:t xml:space="preserve"> </w:t>
      </w:r>
      <w:r w:rsidR="00B54814" w:rsidRPr="00440760">
        <w:rPr>
          <w:rFonts w:ascii="Arial" w:hAnsi="Arial" w:cs="Arial"/>
        </w:rPr>
        <w:t xml:space="preserve">the </w:t>
      </w:r>
      <w:r w:rsidR="00DF609C" w:rsidRPr="00440760">
        <w:rPr>
          <w:rFonts w:ascii="Arial" w:hAnsi="Arial" w:cs="Arial"/>
        </w:rPr>
        <w:t>requirements set out by the commission</w:t>
      </w:r>
      <w:r w:rsidR="00B54814" w:rsidRPr="00440760">
        <w:rPr>
          <w:rFonts w:ascii="Arial" w:hAnsi="Arial" w:cs="Arial"/>
        </w:rPr>
        <w:t xml:space="preserve"> prior to submitting a licence application</w:t>
      </w:r>
      <w:r w:rsidR="00DF609C" w:rsidRPr="00440760">
        <w:rPr>
          <w:rFonts w:ascii="Arial" w:hAnsi="Arial" w:cs="Arial"/>
        </w:rPr>
        <w:t xml:space="preserve">. </w:t>
      </w:r>
      <w:r w:rsidR="00B346E3" w:rsidRPr="00440760">
        <w:rPr>
          <w:rFonts w:ascii="Arial" w:hAnsi="Arial" w:cs="Arial"/>
        </w:rPr>
        <w:t>The</w:t>
      </w:r>
      <w:r w:rsidR="00F31D8C" w:rsidRPr="00440760">
        <w:rPr>
          <w:rFonts w:ascii="Arial" w:hAnsi="Arial" w:cs="Arial"/>
        </w:rPr>
        <w:t xml:space="preserve"> fee </w:t>
      </w:r>
      <w:r w:rsidR="00680CDF" w:rsidRPr="00440760">
        <w:rPr>
          <w:rFonts w:ascii="Arial" w:hAnsi="Arial" w:cs="Arial"/>
        </w:rPr>
        <w:t xml:space="preserve">is </w:t>
      </w:r>
      <w:r w:rsidR="00B346E3" w:rsidRPr="00440760">
        <w:rPr>
          <w:rFonts w:ascii="Arial" w:hAnsi="Arial" w:cs="Arial"/>
        </w:rPr>
        <w:t>payable</w:t>
      </w:r>
      <w:r w:rsidR="00680CDF" w:rsidRPr="00440760">
        <w:rPr>
          <w:rFonts w:ascii="Arial" w:hAnsi="Arial" w:cs="Arial"/>
        </w:rPr>
        <w:t xml:space="preserve"> when submitting an energy retail licence application to the commission.</w:t>
      </w:r>
      <w:r w:rsidR="00634D3B" w:rsidRPr="00440760">
        <w:rPr>
          <w:rFonts w:ascii="Arial" w:hAnsi="Arial" w:cs="Arial"/>
        </w:rPr>
        <w:t xml:space="preserve"> </w:t>
      </w:r>
    </w:p>
    <w:p w14:paraId="6F5F5D46" w14:textId="5CBDACA7" w:rsidR="00230B6B" w:rsidRDefault="00E20E5D" w:rsidP="00E20E5D">
      <w:r>
        <w:rPr>
          <w:rFonts w:ascii="Arial" w:hAnsi="Arial" w:cs="Arial"/>
        </w:rPr>
        <w:t xml:space="preserve">Electronic payment of the </w:t>
      </w:r>
      <w:r w:rsidR="000D7012">
        <w:rPr>
          <w:rFonts w:ascii="Arial" w:hAnsi="Arial" w:cs="Arial"/>
        </w:rPr>
        <w:t>Retail A</w:t>
      </w:r>
      <w:r w:rsidR="00B44C3A">
        <w:rPr>
          <w:rFonts w:ascii="Arial" w:hAnsi="Arial" w:cs="Arial"/>
        </w:rPr>
        <w:t>pplication</w:t>
      </w:r>
      <w:r w:rsidR="000D7012">
        <w:rPr>
          <w:rFonts w:ascii="Arial" w:hAnsi="Arial" w:cs="Arial"/>
        </w:rPr>
        <w:t xml:space="preserve"> Licence</w:t>
      </w:r>
      <w:r w:rsidR="00B44C3A">
        <w:rPr>
          <w:rFonts w:ascii="Arial" w:hAnsi="Arial" w:cs="Arial"/>
        </w:rPr>
        <w:t xml:space="preserve"> </w:t>
      </w:r>
      <w:r w:rsidR="000D7012">
        <w:rPr>
          <w:rFonts w:ascii="Arial" w:hAnsi="Arial" w:cs="Arial"/>
        </w:rPr>
        <w:t>F</w:t>
      </w:r>
      <w:r w:rsidR="00B44C3A">
        <w:rPr>
          <w:rFonts w:ascii="Arial" w:hAnsi="Arial" w:cs="Arial"/>
        </w:rPr>
        <w:t>ee</w:t>
      </w:r>
      <w:r>
        <w:rPr>
          <w:rFonts w:ascii="Arial" w:hAnsi="Arial" w:cs="Arial"/>
        </w:rPr>
        <w:t xml:space="preserve"> is to be made to:</w:t>
      </w:r>
    </w:p>
    <w:p w14:paraId="7B08CDDC" w14:textId="0BB54534" w:rsidR="00A066BF" w:rsidRDefault="00D232D1" w:rsidP="00A066BF">
      <w:pPr>
        <w:rPr>
          <w:rFonts w:ascii="Arial" w:hAnsi="Arial" w:cs="Arial"/>
        </w:rPr>
      </w:pPr>
      <w:r w:rsidRPr="00D232D1">
        <w:rPr>
          <w:rFonts w:ascii="Arial" w:hAnsi="Arial" w:cs="Arial"/>
        </w:rPr>
        <w:t>Account name:</w:t>
      </w:r>
      <w:r w:rsidRPr="00D232D1">
        <w:rPr>
          <w:rFonts w:ascii="Arial" w:hAnsi="Arial" w:cs="Arial"/>
        </w:rPr>
        <w:tab/>
      </w:r>
      <w:r w:rsidRPr="00D232D1">
        <w:rPr>
          <w:rFonts w:ascii="Arial" w:hAnsi="Arial" w:cs="Arial"/>
        </w:rPr>
        <w:tab/>
        <w:t>Department of Treasury and Finance</w:t>
      </w:r>
      <w:r w:rsidRPr="00D232D1">
        <w:rPr>
          <w:rFonts w:ascii="Arial" w:hAnsi="Arial" w:cs="Arial"/>
        </w:rPr>
        <w:br/>
        <w:t>BSB:</w:t>
      </w:r>
      <w:r w:rsidRPr="00D232D1">
        <w:rPr>
          <w:rFonts w:ascii="Arial" w:hAnsi="Arial" w:cs="Arial"/>
        </w:rPr>
        <w:tab/>
      </w:r>
      <w:r w:rsidRPr="00D232D1">
        <w:rPr>
          <w:rFonts w:ascii="Arial" w:hAnsi="Arial" w:cs="Arial"/>
        </w:rPr>
        <w:tab/>
      </w:r>
      <w:r w:rsidRPr="00D232D1">
        <w:rPr>
          <w:rFonts w:ascii="Arial" w:hAnsi="Arial" w:cs="Arial"/>
        </w:rPr>
        <w:tab/>
      </w:r>
      <w:r w:rsidRPr="00D232D1">
        <w:rPr>
          <w:rFonts w:ascii="Arial" w:hAnsi="Arial" w:cs="Arial"/>
        </w:rPr>
        <w:tab/>
        <w:t>033-222</w:t>
      </w:r>
      <w:r w:rsidRPr="00D232D1">
        <w:rPr>
          <w:rFonts w:ascii="Arial" w:hAnsi="Arial" w:cs="Arial"/>
        </w:rPr>
        <w:br/>
        <w:t xml:space="preserve">Account number: </w:t>
      </w:r>
      <w:r w:rsidRPr="00D232D1">
        <w:rPr>
          <w:rFonts w:ascii="Arial" w:hAnsi="Arial" w:cs="Arial"/>
        </w:rPr>
        <w:tab/>
      </w:r>
      <w:r w:rsidRPr="00D232D1">
        <w:rPr>
          <w:rFonts w:ascii="Arial" w:hAnsi="Arial" w:cs="Arial"/>
        </w:rPr>
        <w:tab/>
        <w:t>110 505</w:t>
      </w:r>
      <w:r w:rsidR="00A066BF">
        <w:rPr>
          <w:rFonts w:ascii="Arial" w:hAnsi="Arial" w:cs="Arial"/>
        </w:rPr>
        <w:br/>
        <w:t xml:space="preserve">Reference: </w:t>
      </w:r>
      <w:r w:rsidR="00BF0730">
        <w:rPr>
          <w:rFonts w:ascii="Arial" w:hAnsi="Arial" w:cs="Arial"/>
        </w:rPr>
        <w:tab/>
      </w:r>
      <w:r w:rsidR="00BF0730">
        <w:rPr>
          <w:rFonts w:ascii="Arial" w:hAnsi="Arial" w:cs="Arial"/>
        </w:rPr>
        <w:tab/>
      </w:r>
      <w:r w:rsidR="00BF0730">
        <w:rPr>
          <w:rFonts w:ascii="Arial" w:hAnsi="Arial" w:cs="Arial"/>
        </w:rPr>
        <w:tab/>
      </w:r>
      <w:r w:rsidR="00823D7A">
        <w:rPr>
          <w:rFonts w:ascii="Arial" w:hAnsi="Arial" w:cs="Arial"/>
        </w:rPr>
        <w:t xml:space="preserve">RALF </w:t>
      </w:r>
      <w:r w:rsidR="00CB361A">
        <w:rPr>
          <w:rFonts w:ascii="Arial" w:hAnsi="Arial" w:cs="Arial"/>
        </w:rPr>
        <w:t>and</w:t>
      </w:r>
      <w:r w:rsidR="00823D7A">
        <w:rPr>
          <w:rFonts w:ascii="Arial" w:hAnsi="Arial" w:cs="Arial"/>
        </w:rPr>
        <w:t xml:space="preserve"> the </w:t>
      </w:r>
      <w:r w:rsidR="002C3E5F">
        <w:rPr>
          <w:rFonts w:ascii="Arial" w:hAnsi="Arial" w:cs="Arial"/>
        </w:rPr>
        <w:t>applicant’s</w:t>
      </w:r>
      <w:r w:rsidR="00823D7A">
        <w:rPr>
          <w:rFonts w:ascii="Arial" w:hAnsi="Arial" w:cs="Arial"/>
        </w:rPr>
        <w:t xml:space="preserve"> legal name</w:t>
      </w:r>
      <w:r w:rsidR="00CB361A">
        <w:rPr>
          <w:rFonts w:ascii="Arial" w:hAnsi="Arial" w:cs="Arial"/>
        </w:rPr>
        <w:t xml:space="preserve"> </w:t>
      </w:r>
      <w:r w:rsidR="004E4484">
        <w:rPr>
          <w:rFonts w:ascii="Arial" w:hAnsi="Arial" w:cs="Arial"/>
        </w:rPr>
        <w:t>(</w:t>
      </w:r>
      <w:r w:rsidR="00C66676">
        <w:rPr>
          <w:rFonts w:ascii="Arial" w:hAnsi="Arial" w:cs="Arial"/>
        </w:rPr>
        <w:t xml:space="preserve">E.g. </w:t>
      </w:r>
      <w:r w:rsidR="00073C1B">
        <w:rPr>
          <w:rFonts w:ascii="Arial" w:hAnsi="Arial" w:cs="Arial"/>
        </w:rPr>
        <w:t>ABC</w:t>
      </w:r>
      <w:r w:rsidR="00A43E62">
        <w:rPr>
          <w:rFonts w:ascii="Arial" w:hAnsi="Arial" w:cs="Arial"/>
        </w:rPr>
        <w:t xml:space="preserve"> </w:t>
      </w:r>
      <w:r w:rsidR="00E056F7">
        <w:rPr>
          <w:rFonts w:ascii="Arial" w:hAnsi="Arial" w:cs="Arial"/>
        </w:rPr>
        <w:t>Pty Ltd</w:t>
      </w:r>
      <w:r w:rsidR="004E4484">
        <w:rPr>
          <w:rFonts w:ascii="Arial" w:hAnsi="Arial" w:cs="Arial"/>
        </w:rPr>
        <w:t>)</w:t>
      </w:r>
    </w:p>
    <w:p w14:paraId="37BF0796" w14:textId="1BC6AA20" w:rsidR="00247BEC" w:rsidRDefault="00E16C63" w:rsidP="00A066BF">
      <w:pPr>
        <w:rPr>
          <w:rFonts w:ascii="Arial" w:hAnsi="Arial" w:cs="Arial"/>
        </w:rPr>
      </w:pPr>
      <w:r>
        <w:rPr>
          <w:rFonts w:ascii="Arial" w:hAnsi="Arial" w:cs="Arial"/>
        </w:rPr>
        <w:t>Once</w:t>
      </w:r>
      <w:r w:rsidR="001535A2">
        <w:rPr>
          <w:rFonts w:ascii="Arial" w:hAnsi="Arial" w:cs="Arial"/>
        </w:rPr>
        <w:t xml:space="preserve"> </w:t>
      </w:r>
      <w:r w:rsidR="00E723C0">
        <w:rPr>
          <w:rFonts w:ascii="Arial" w:hAnsi="Arial" w:cs="Arial"/>
        </w:rPr>
        <w:t xml:space="preserve">payment </w:t>
      </w:r>
      <w:r w:rsidR="006D27EA">
        <w:rPr>
          <w:rFonts w:ascii="Arial" w:hAnsi="Arial" w:cs="Arial"/>
        </w:rPr>
        <w:t>has been</w:t>
      </w:r>
      <w:r w:rsidR="005F7822">
        <w:rPr>
          <w:rFonts w:ascii="Arial" w:hAnsi="Arial" w:cs="Arial"/>
        </w:rPr>
        <w:t xml:space="preserve"> </w:t>
      </w:r>
      <w:r w:rsidR="002E4BA6">
        <w:rPr>
          <w:rFonts w:ascii="Arial" w:hAnsi="Arial" w:cs="Arial"/>
        </w:rPr>
        <w:t>received</w:t>
      </w:r>
      <w:r>
        <w:rPr>
          <w:rFonts w:ascii="Arial" w:hAnsi="Arial" w:cs="Arial"/>
        </w:rPr>
        <w:t>, t</w:t>
      </w:r>
      <w:r w:rsidR="00713F60">
        <w:rPr>
          <w:rFonts w:ascii="Arial" w:hAnsi="Arial" w:cs="Arial"/>
        </w:rPr>
        <w:t>he commission will</w:t>
      </w:r>
      <w:r w:rsidR="007E0A7A">
        <w:rPr>
          <w:rFonts w:ascii="Arial" w:hAnsi="Arial" w:cs="Arial"/>
        </w:rPr>
        <w:t xml:space="preserve"> </w:t>
      </w:r>
      <w:r w:rsidR="00972CF1">
        <w:rPr>
          <w:rFonts w:ascii="Arial" w:hAnsi="Arial" w:cs="Arial"/>
        </w:rPr>
        <w:t>notify</w:t>
      </w:r>
      <w:r w:rsidR="00EF6522">
        <w:rPr>
          <w:rFonts w:ascii="Arial" w:hAnsi="Arial" w:cs="Arial"/>
        </w:rPr>
        <w:t xml:space="preserve"> the applicant</w:t>
      </w:r>
      <w:r w:rsidR="006D27EA">
        <w:rPr>
          <w:rFonts w:ascii="Arial" w:hAnsi="Arial" w:cs="Arial"/>
        </w:rPr>
        <w:t xml:space="preserve"> in writing</w:t>
      </w:r>
      <w:r w:rsidR="00644BC0">
        <w:rPr>
          <w:rFonts w:ascii="Arial" w:hAnsi="Arial" w:cs="Arial"/>
        </w:rPr>
        <w:t>.</w:t>
      </w:r>
      <w:r w:rsidR="00015894">
        <w:rPr>
          <w:rFonts w:ascii="Arial" w:hAnsi="Arial" w:cs="Arial"/>
        </w:rPr>
        <w:t xml:space="preserve"> </w:t>
      </w:r>
      <w:r w:rsidR="00D241A0">
        <w:rPr>
          <w:rFonts w:ascii="Arial" w:hAnsi="Arial" w:cs="Arial"/>
        </w:rPr>
        <w:t xml:space="preserve">The assessment process for </w:t>
      </w:r>
      <w:r w:rsidR="00F93206">
        <w:rPr>
          <w:rFonts w:ascii="Arial" w:hAnsi="Arial" w:cs="Arial"/>
        </w:rPr>
        <w:t>energy retail licence application</w:t>
      </w:r>
      <w:r w:rsidR="00787EB4">
        <w:rPr>
          <w:rFonts w:ascii="Arial" w:hAnsi="Arial" w:cs="Arial"/>
        </w:rPr>
        <w:t>s</w:t>
      </w:r>
      <w:r w:rsidR="00F93206">
        <w:rPr>
          <w:rFonts w:ascii="Arial" w:hAnsi="Arial" w:cs="Arial"/>
        </w:rPr>
        <w:t xml:space="preserve"> </w:t>
      </w:r>
      <w:r w:rsidR="00D241A0">
        <w:rPr>
          <w:rFonts w:ascii="Arial" w:hAnsi="Arial" w:cs="Arial"/>
        </w:rPr>
        <w:t xml:space="preserve">will commence </w:t>
      </w:r>
      <w:r w:rsidR="00E33CFE" w:rsidRPr="00440760">
        <w:rPr>
          <w:rFonts w:ascii="Arial" w:hAnsi="Arial" w:cs="Arial"/>
          <w:i/>
          <w:iCs/>
        </w:rPr>
        <w:t>after</w:t>
      </w:r>
      <w:r w:rsidR="00E33CFE">
        <w:rPr>
          <w:rFonts w:ascii="Arial" w:hAnsi="Arial" w:cs="Arial"/>
        </w:rPr>
        <w:t xml:space="preserve"> </w:t>
      </w:r>
      <w:r w:rsidR="00787EB4">
        <w:rPr>
          <w:rFonts w:ascii="Arial" w:hAnsi="Arial" w:cs="Arial"/>
        </w:rPr>
        <w:t>payment has been received</w:t>
      </w:r>
      <w:r w:rsidR="00B54814">
        <w:rPr>
          <w:rFonts w:ascii="Arial" w:hAnsi="Arial" w:cs="Arial"/>
        </w:rPr>
        <w:t>.</w:t>
      </w:r>
      <w:r w:rsidR="00787EB4">
        <w:rPr>
          <w:rFonts w:ascii="Arial" w:hAnsi="Arial" w:cs="Arial"/>
        </w:rPr>
        <w:t xml:space="preserve"> </w:t>
      </w:r>
      <w:r w:rsidR="00BB28A6">
        <w:rPr>
          <w:rFonts w:ascii="Arial" w:hAnsi="Arial" w:cs="Arial"/>
        </w:rPr>
        <w:t xml:space="preserve"> </w:t>
      </w:r>
      <w:r w:rsidR="00BB28A6">
        <w:rPr>
          <w:rFonts w:eastAsia="Times New Roman" w:cstheme="minorHAnsi"/>
          <w:szCs w:val="24"/>
        </w:rPr>
        <w:t xml:space="preserve">See </w:t>
      </w:r>
      <w:r w:rsidR="00BB28A6" w:rsidRPr="007966A1">
        <w:rPr>
          <w:rFonts w:eastAsia="Times New Roman" w:cstheme="minorHAnsi"/>
          <w:szCs w:val="24"/>
        </w:rPr>
        <w:t xml:space="preserve">section </w:t>
      </w:r>
      <w:r w:rsidR="00BB28A6">
        <w:rPr>
          <w:rFonts w:eastAsia="Times New Roman" w:cstheme="minorHAnsi"/>
          <w:szCs w:val="24"/>
        </w:rPr>
        <w:t>3</w:t>
      </w:r>
      <w:r w:rsidR="00BB28A6" w:rsidRPr="007966A1">
        <w:rPr>
          <w:rFonts w:eastAsia="Times New Roman" w:cstheme="minorHAnsi"/>
          <w:szCs w:val="24"/>
        </w:rPr>
        <w:t>.</w:t>
      </w:r>
      <w:r w:rsidR="00BB28A6">
        <w:rPr>
          <w:rFonts w:eastAsia="Times New Roman" w:cstheme="minorHAnsi"/>
          <w:szCs w:val="24"/>
        </w:rPr>
        <w:t xml:space="preserve">1 of this guideline for more information </w:t>
      </w:r>
      <w:r w:rsidR="00D264EA">
        <w:rPr>
          <w:rFonts w:eastAsia="Times New Roman" w:cstheme="minorHAnsi"/>
          <w:szCs w:val="24"/>
        </w:rPr>
        <w:t>the assessment process</w:t>
      </w:r>
      <w:r w:rsidR="00BB28A6">
        <w:rPr>
          <w:rFonts w:eastAsia="Times New Roman" w:cstheme="minorHAnsi"/>
          <w:szCs w:val="24"/>
        </w:rPr>
        <w:t>.</w:t>
      </w:r>
    </w:p>
    <w:p w14:paraId="1091C724" w14:textId="3FBB56CE" w:rsidR="00A066BF" w:rsidRDefault="003241A8" w:rsidP="00A066BF">
      <w:pPr>
        <w:rPr>
          <w:rFonts w:ascii="Arial" w:hAnsi="Arial" w:cs="Arial"/>
        </w:rPr>
      </w:pPr>
      <w:r>
        <w:rPr>
          <w:rFonts w:ascii="Arial" w:hAnsi="Arial" w:cs="Arial"/>
          <w:b/>
          <w:bCs/>
        </w:rPr>
        <w:t>The a</w:t>
      </w:r>
      <w:r w:rsidR="00941EE2">
        <w:rPr>
          <w:rFonts w:ascii="Arial" w:hAnsi="Arial" w:cs="Arial"/>
          <w:b/>
          <w:bCs/>
        </w:rPr>
        <w:t>pplication fee</w:t>
      </w:r>
      <w:r w:rsidR="00A066BF" w:rsidRPr="004A1A86">
        <w:rPr>
          <w:rFonts w:ascii="Arial" w:hAnsi="Arial" w:cs="Arial"/>
          <w:b/>
          <w:bCs/>
        </w:rPr>
        <w:t xml:space="preserve"> applies to</w:t>
      </w:r>
      <w:r w:rsidR="00121EB7">
        <w:rPr>
          <w:rFonts w:ascii="Arial" w:hAnsi="Arial" w:cs="Arial"/>
          <w:b/>
          <w:bCs/>
        </w:rPr>
        <w:t xml:space="preserve"> </w:t>
      </w:r>
      <w:r w:rsidR="000B7C97">
        <w:rPr>
          <w:rFonts w:ascii="Arial" w:hAnsi="Arial" w:cs="Arial"/>
          <w:b/>
          <w:bCs/>
        </w:rPr>
        <w:t xml:space="preserve">energy </w:t>
      </w:r>
      <w:r w:rsidR="00A066BF" w:rsidRPr="004A1A86">
        <w:rPr>
          <w:rFonts w:ascii="Arial" w:hAnsi="Arial" w:cs="Arial"/>
          <w:b/>
          <w:bCs/>
        </w:rPr>
        <w:t>retail licence applications only</w:t>
      </w:r>
      <w:r w:rsidR="000D7012">
        <w:rPr>
          <w:rStyle w:val="FootnoteReference"/>
          <w:rFonts w:ascii="Arial" w:hAnsi="Arial" w:cs="Arial"/>
          <w:b/>
          <w:bCs/>
        </w:rPr>
        <w:footnoteReference w:id="3"/>
      </w:r>
      <w:r w:rsidR="00A066BF" w:rsidRPr="004A1A86">
        <w:rPr>
          <w:rFonts w:ascii="Arial" w:hAnsi="Arial" w:cs="Arial"/>
          <w:b/>
          <w:bCs/>
        </w:rPr>
        <w:t xml:space="preserve">. </w:t>
      </w:r>
    </w:p>
    <w:p w14:paraId="255CE536" w14:textId="77777777" w:rsidR="00F83A96" w:rsidRPr="009E06DE" w:rsidRDefault="00F83A96" w:rsidP="00F83A96">
      <w:pPr>
        <w:pStyle w:val="Heading3"/>
      </w:pPr>
      <w:r>
        <w:t>Annual licence fees</w:t>
      </w:r>
    </w:p>
    <w:p w14:paraId="49229B68" w14:textId="557C3057" w:rsidR="00544512" w:rsidRDefault="00544512" w:rsidP="00544512">
      <w:pPr>
        <w:rPr>
          <w:rFonts w:eastAsia="Times New Roman" w:cstheme="minorHAnsi"/>
          <w:szCs w:val="24"/>
        </w:rPr>
        <w:sectPr w:rsidR="00544512" w:rsidSect="00DB206F">
          <w:footerReference w:type="default" r:id="rId33"/>
          <w:type w:val="continuous"/>
          <w:pgSz w:w="11906" w:h="16838" w:code="9"/>
          <w:pgMar w:top="1134" w:right="1134" w:bottom="1134" w:left="1134" w:header="709" w:footer="692" w:gutter="0"/>
          <w:cols w:space="708"/>
          <w:docGrid w:linePitch="360"/>
        </w:sectPr>
      </w:pPr>
      <w:r w:rsidRPr="003631BB">
        <w:rPr>
          <w:rFonts w:eastAsia="Times New Roman" w:cstheme="minorHAnsi"/>
          <w:szCs w:val="24"/>
        </w:rPr>
        <w:t>Holding a licence incurs annual licence fees</w:t>
      </w:r>
      <w:r>
        <w:rPr>
          <w:rFonts w:eastAsia="Times New Roman" w:cstheme="minorHAnsi"/>
          <w:szCs w:val="24"/>
        </w:rPr>
        <w:t xml:space="preserve"> for all licence types</w:t>
      </w:r>
      <w:r w:rsidRPr="003631BB">
        <w:rPr>
          <w:rFonts w:eastAsia="Times New Roman" w:cstheme="minorHAnsi"/>
          <w:szCs w:val="24"/>
        </w:rPr>
        <w:t>.</w:t>
      </w:r>
      <w:r>
        <w:rPr>
          <w:rFonts w:eastAsia="Times New Roman" w:cstheme="minorHAnsi"/>
          <w:szCs w:val="24"/>
        </w:rPr>
        <w:t xml:space="preserve"> See </w:t>
      </w:r>
      <w:r w:rsidR="00301D34" w:rsidRPr="007966A1">
        <w:rPr>
          <w:rFonts w:eastAsia="Times New Roman" w:cstheme="minorHAnsi"/>
          <w:szCs w:val="24"/>
        </w:rPr>
        <w:t>section 7.2</w:t>
      </w:r>
      <w:r>
        <w:rPr>
          <w:rFonts w:eastAsia="Times New Roman" w:cstheme="minorHAnsi"/>
          <w:szCs w:val="24"/>
        </w:rPr>
        <w:t xml:space="preserve"> of this guideline for more information regarding annual licence fees.</w:t>
      </w:r>
    </w:p>
    <w:p w14:paraId="305CD59F" w14:textId="076975CF" w:rsidR="00B245E8" w:rsidRDefault="00B245E8" w:rsidP="00B245E8">
      <w:pPr>
        <w:pStyle w:val="Heading1numbered"/>
        <w:numPr>
          <w:ilvl w:val="0"/>
          <w:numId w:val="11"/>
        </w:numPr>
      </w:pPr>
      <w:bookmarkStart w:id="41" w:name="_Toc56515863"/>
      <w:bookmarkStart w:id="42" w:name="_Toc127875385"/>
      <w:r>
        <w:lastRenderedPageBreak/>
        <w:t>The licen</w:t>
      </w:r>
      <w:r w:rsidR="00EF7456">
        <w:t>ce</w:t>
      </w:r>
      <w:r>
        <w:t xml:space="preserve"> </w:t>
      </w:r>
      <w:r w:rsidR="00EF7456">
        <w:t xml:space="preserve">assessment </w:t>
      </w:r>
      <w:r>
        <w:t>process</w:t>
      </w:r>
      <w:bookmarkEnd w:id="41"/>
      <w:bookmarkEnd w:id="42"/>
    </w:p>
    <w:p w14:paraId="747BFC3E" w14:textId="77777777" w:rsidR="00B245E8" w:rsidRDefault="00B245E8" w:rsidP="00B245E8">
      <w:pPr>
        <w:pStyle w:val="Heading2numbered"/>
        <w:numPr>
          <w:ilvl w:val="1"/>
          <w:numId w:val="11"/>
        </w:numPr>
      </w:pPr>
      <w:bookmarkStart w:id="43" w:name="_Toc56515864"/>
      <w:bookmarkStart w:id="44" w:name="_Toc127875386"/>
      <w:r>
        <w:t>The assessment process</w:t>
      </w:r>
      <w:bookmarkEnd w:id="43"/>
      <w:bookmarkEnd w:id="44"/>
    </w:p>
    <w:p w14:paraId="2E6FFB81" w14:textId="77777777" w:rsidR="00887793" w:rsidRDefault="00B245E8" w:rsidP="00E224DB">
      <w:pPr>
        <w:rPr>
          <w:rFonts w:cstheme="minorHAnsi"/>
        </w:rPr>
      </w:pPr>
      <w:r>
        <w:rPr>
          <w:rFonts w:cstheme="minorHAnsi"/>
        </w:rPr>
        <w:t xml:space="preserve">There is no statutory timeframe </w:t>
      </w:r>
      <w:r w:rsidR="003631BB">
        <w:rPr>
          <w:rFonts w:cstheme="minorHAnsi"/>
        </w:rPr>
        <w:t xml:space="preserve">for the commission </w:t>
      </w:r>
      <w:r>
        <w:rPr>
          <w:rFonts w:cstheme="minorHAnsi"/>
        </w:rPr>
        <w:t xml:space="preserve">to process </w:t>
      </w:r>
      <w:r w:rsidR="003631BB">
        <w:rPr>
          <w:rFonts w:cstheme="minorHAnsi"/>
        </w:rPr>
        <w:t xml:space="preserve">or consider </w:t>
      </w:r>
      <w:r>
        <w:rPr>
          <w:rFonts w:cstheme="minorHAnsi"/>
        </w:rPr>
        <w:t xml:space="preserve">a licence application. </w:t>
      </w:r>
      <w:r w:rsidR="00050E98">
        <w:rPr>
          <w:rFonts w:cstheme="minorHAnsi"/>
        </w:rPr>
        <w:t>G</w:t>
      </w:r>
      <w:r w:rsidR="003631BB">
        <w:rPr>
          <w:rFonts w:cstheme="minorHAnsi"/>
        </w:rPr>
        <w:t>enerally</w:t>
      </w:r>
      <w:r w:rsidR="000C65C2">
        <w:rPr>
          <w:rFonts w:cstheme="minorHAnsi"/>
        </w:rPr>
        <w:t>,</w:t>
      </w:r>
      <w:r w:rsidR="003631BB">
        <w:rPr>
          <w:rFonts w:cstheme="minorHAnsi"/>
        </w:rPr>
        <w:t xml:space="preserve"> </w:t>
      </w:r>
      <w:bookmarkStart w:id="45" w:name="_Hlk57738020"/>
      <w:r w:rsidR="00050E98">
        <w:rPr>
          <w:rFonts w:cstheme="minorHAnsi"/>
        </w:rPr>
        <w:t xml:space="preserve">it will take approximately </w:t>
      </w:r>
      <w:r>
        <w:rPr>
          <w:rFonts w:cstheme="minorHAnsi"/>
        </w:rPr>
        <w:t>eight</w:t>
      </w:r>
      <w:r w:rsidRPr="00CB62ED">
        <w:rPr>
          <w:rFonts w:cstheme="minorHAnsi"/>
        </w:rPr>
        <w:t xml:space="preserve"> to </w:t>
      </w:r>
      <w:r w:rsidR="004F6DB9">
        <w:rPr>
          <w:rFonts w:cstheme="minorHAnsi"/>
        </w:rPr>
        <w:t>10</w:t>
      </w:r>
      <w:r>
        <w:rPr>
          <w:rFonts w:cstheme="minorHAnsi"/>
        </w:rPr>
        <w:t xml:space="preserve"> </w:t>
      </w:r>
      <w:r w:rsidRPr="00CB62ED">
        <w:rPr>
          <w:rFonts w:cstheme="minorHAnsi"/>
        </w:rPr>
        <w:t xml:space="preserve">weeks </w:t>
      </w:r>
      <w:r w:rsidR="00050E98" w:rsidRPr="00CB62ED">
        <w:rPr>
          <w:rFonts w:cstheme="minorHAnsi"/>
        </w:rPr>
        <w:t xml:space="preserve">to process </w:t>
      </w:r>
      <w:r w:rsidR="00050E98">
        <w:rPr>
          <w:rFonts w:cstheme="minorHAnsi"/>
        </w:rPr>
        <w:t xml:space="preserve">an application </w:t>
      </w:r>
      <w:r w:rsidRPr="003459C7">
        <w:rPr>
          <w:rFonts w:cstheme="minorHAnsi"/>
          <w:b/>
        </w:rPr>
        <w:t xml:space="preserve">once </w:t>
      </w:r>
      <w:r w:rsidR="003631BB">
        <w:rPr>
          <w:rFonts w:cstheme="minorHAnsi"/>
          <w:b/>
        </w:rPr>
        <w:t xml:space="preserve">we consider </w:t>
      </w:r>
      <w:r w:rsidRPr="003459C7">
        <w:rPr>
          <w:rFonts w:cstheme="minorHAnsi"/>
          <w:b/>
        </w:rPr>
        <w:t xml:space="preserve">the application </w:t>
      </w:r>
      <w:r w:rsidR="003631BB">
        <w:rPr>
          <w:rFonts w:cstheme="minorHAnsi"/>
          <w:b/>
        </w:rPr>
        <w:t>to be</w:t>
      </w:r>
      <w:r w:rsidRPr="003459C7">
        <w:rPr>
          <w:rFonts w:cstheme="minorHAnsi"/>
          <w:b/>
        </w:rPr>
        <w:t xml:space="preserve"> complete</w:t>
      </w:r>
      <w:r w:rsidRPr="00EE1980">
        <w:rPr>
          <w:rFonts w:cstheme="minorHAnsi"/>
        </w:rPr>
        <w:t xml:space="preserve">. </w:t>
      </w:r>
    </w:p>
    <w:p w14:paraId="5388BB4D" w14:textId="7771969B" w:rsidR="00B245E8" w:rsidRDefault="00B245E8" w:rsidP="00E224DB">
      <w:pPr>
        <w:rPr>
          <w:rFonts w:cstheme="minorHAnsi"/>
        </w:rPr>
      </w:pPr>
      <w:r>
        <w:rPr>
          <w:rFonts w:cstheme="minorHAnsi"/>
        </w:rPr>
        <w:t>An application is considered complete once all</w:t>
      </w:r>
      <w:r w:rsidR="000770D5">
        <w:rPr>
          <w:rFonts w:cstheme="minorHAnsi"/>
        </w:rPr>
        <w:t xml:space="preserve"> the</w:t>
      </w:r>
      <w:r>
        <w:rPr>
          <w:rFonts w:cstheme="minorHAnsi"/>
        </w:rPr>
        <w:t xml:space="preserve"> information </w:t>
      </w:r>
      <w:r w:rsidR="00050E98">
        <w:rPr>
          <w:rFonts w:cstheme="minorHAnsi"/>
        </w:rPr>
        <w:t xml:space="preserve">in the application form has been provided and any additional information from the applicant </w:t>
      </w:r>
      <w:r>
        <w:rPr>
          <w:rFonts w:cstheme="minorHAnsi"/>
        </w:rPr>
        <w:t>need</w:t>
      </w:r>
      <w:r w:rsidR="003631BB">
        <w:rPr>
          <w:rFonts w:cstheme="minorHAnsi"/>
        </w:rPr>
        <w:t>ed</w:t>
      </w:r>
      <w:r>
        <w:rPr>
          <w:rFonts w:cstheme="minorHAnsi"/>
        </w:rPr>
        <w:t xml:space="preserve"> </w:t>
      </w:r>
      <w:r w:rsidR="003631BB">
        <w:rPr>
          <w:rFonts w:cstheme="minorHAnsi"/>
        </w:rPr>
        <w:t xml:space="preserve">for the </w:t>
      </w:r>
      <w:r>
        <w:rPr>
          <w:rFonts w:cstheme="minorHAnsi"/>
        </w:rPr>
        <w:t xml:space="preserve">commission </w:t>
      </w:r>
      <w:r w:rsidR="003631BB">
        <w:rPr>
          <w:rFonts w:cstheme="minorHAnsi"/>
        </w:rPr>
        <w:t xml:space="preserve">to make a </w:t>
      </w:r>
      <w:r>
        <w:rPr>
          <w:rFonts w:cstheme="minorHAnsi"/>
        </w:rPr>
        <w:t>decision</w:t>
      </w:r>
      <w:r w:rsidR="00050E98">
        <w:rPr>
          <w:rFonts w:cstheme="minorHAnsi"/>
        </w:rPr>
        <w:t xml:space="preserve"> has been provided</w:t>
      </w:r>
      <w:r>
        <w:rPr>
          <w:rFonts w:cstheme="minorHAnsi"/>
        </w:rPr>
        <w:t xml:space="preserve">. </w:t>
      </w:r>
      <w:bookmarkEnd w:id="45"/>
    </w:p>
    <w:p w14:paraId="3F865EA7" w14:textId="132DA9B2" w:rsidR="00B245E8" w:rsidRPr="00CB62ED" w:rsidRDefault="00B245E8" w:rsidP="00B245E8">
      <w:pPr>
        <w:pStyle w:val="BodyText1"/>
        <w:spacing w:before="160" w:after="160" w:line="336" w:lineRule="auto"/>
        <w:rPr>
          <w:rFonts w:asciiTheme="minorHAnsi" w:hAnsiTheme="minorHAnsi" w:cstheme="minorHAnsi"/>
          <w:sz w:val="22"/>
          <w:szCs w:val="22"/>
        </w:rPr>
      </w:pPr>
      <w:r>
        <w:rPr>
          <w:rFonts w:asciiTheme="minorHAnsi" w:hAnsiTheme="minorHAnsi" w:cstheme="minorHAnsi"/>
          <w:sz w:val="22"/>
          <w:szCs w:val="22"/>
        </w:rPr>
        <w:t xml:space="preserve">The </w:t>
      </w:r>
      <w:r w:rsidR="00AC365B">
        <w:rPr>
          <w:rFonts w:asciiTheme="minorHAnsi" w:hAnsiTheme="minorHAnsi" w:cstheme="minorHAnsi"/>
          <w:sz w:val="22"/>
          <w:szCs w:val="22"/>
        </w:rPr>
        <w:t>eight</w:t>
      </w:r>
      <w:r w:rsidR="00AC365B" w:rsidRPr="00CB62ED">
        <w:rPr>
          <w:rFonts w:asciiTheme="minorHAnsi" w:hAnsiTheme="minorHAnsi" w:cstheme="minorHAnsi"/>
          <w:sz w:val="22"/>
          <w:szCs w:val="22"/>
        </w:rPr>
        <w:t xml:space="preserve"> to </w:t>
      </w:r>
      <w:r w:rsidR="004F6DB9">
        <w:rPr>
          <w:rFonts w:asciiTheme="minorHAnsi" w:hAnsiTheme="minorHAnsi" w:cstheme="minorHAnsi"/>
          <w:sz w:val="22"/>
          <w:szCs w:val="22"/>
        </w:rPr>
        <w:t>10</w:t>
      </w:r>
      <w:r w:rsidR="00AC365B">
        <w:rPr>
          <w:rFonts w:asciiTheme="minorHAnsi" w:hAnsiTheme="minorHAnsi" w:cstheme="minorHAnsi"/>
          <w:sz w:val="22"/>
          <w:szCs w:val="22"/>
        </w:rPr>
        <w:t xml:space="preserve"> </w:t>
      </w:r>
      <w:r w:rsidR="000C65C2" w:rsidRPr="00CB62ED">
        <w:rPr>
          <w:rFonts w:asciiTheme="minorHAnsi" w:hAnsiTheme="minorHAnsi" w:cstheme="minorHAnsi"/>
          <w:sz w:val="22"/>
          <w:szCs w:val="22"/>
        </w:rPr>
        <w:t>weeks</w:t>
      </w:r>
      <w:r w:rsidR="00AC365B" w:rsidRPr="00CB62ED">
        <w:rPr>
          <w:rFonts w:asciiTheme="minorHAnsi" w:hAnsiTheme="minorHAnsi" w:cstheme="minorHAnsi"/>
          <w:sz w:val="22"/>
          <w:szCs w:val="22"/>
        </w:rPr>
        <w:t xml:space="preserve"> </w:t>
      </w:r>
      <w:r>
        <w:rPr>
          <w:rFonts w:asciiTheme="minorHAnsi" w:hAnsiTheme="minorHAnsi" w:cstheme="minorHAnsi"/>
          <w:sz w:val="22"/>
          <w:szCs w:val="22"/>
        </w:rPr>
        <w:t>processing time</w:t>
      </w:r>
      <w:r w:rsidRPr="00EE1980">
        <w:rPr>
          <w:rFonts w:asciiTheme="minorHAnsi" w:hAnsiTheme="minorHAnsi" w:cstheme="minorHAnsi"/>
          <w:sz w:val="22"/>
          <w:szCs w:val="22"/>
        </w:rPr>
        <w:t xml:space="preserve"> includes the time </w:t>
      </w:r>
      <w:r>
        <w:rPr>
          <w:rFonts w:asciiTheme="minorHAnsi" w:hAnsiTheme="minorHAnsi" w:cstheme="minorHAnsi"/>
          <w:sz w:val="22"/>
          <w:szCs w:val="22"/>
        </w:rPr>
        <w:t xml:space="preserve">taken </w:t>
      </w:r>
      <w:r w:rsidRPr="00EE1980">
        <w:rPr>
          <w:rFonts w:asciiTheme="minorHAnsi" w:hAnsiTheme="minorHAnsi" w:cstheme="minorHAnsi"/>
          <w:sz w:val="22"/>
          <w:szCs w:val="22"/>
        </w:rPr>
        <w:t xml:space="preserve">for </w:t>
      </w:r>
      <w:r w:rsidRPr="00CB62ED">
        <w:rPr>
          <w:rFonts w:asciiTheme="minorHAnsi" w:hAnsiTheme="minorHAnsi" w:cstheme="minorHAnsi"/>
          <w:sz w:val="22"/>
          <w:szCs w:val="22"/>
        </w:rPr>
        <w:t xml:space="preserve">public </w:t>
      </w:r>
      <w:r>
        <w:rPr>
          <w:rFonts w:asciiTheme="minorHAnsi" w:hAnsiTheme="minorHAnsi" w:cstheme="minorHAnsi"/>
          <w:sz w:val="22"/>
          <w:szCs w:val="22"/>
        </w:rPr>
        <w:t>consultation (</w:t>
      </w:r>
      <w:r w:rsidR="003631BB">
        <w:rPr>
          <w:rFonts w:asciiTheme="minorHAnsi" w:hAnsiTheme="minorHAnsi" w:cstheme="minorHAnsi"/>
          <w:sz w:val="22"/>
          <w:szCs w:val="22"/>
        </w:rPr>
        <w:t xml:space="preserve">generally </w:t>
      </w:r>
      <w:r>
        <w:rPr>
          <w:rFonts w:asciiTheme="minorHAnsi" w:hAnsiTheme="minorHAnsi" w:cstheme="minorHAnsi"/>
          <w:sz w:val="22"/>
          <w:szCs w:val="22"/>
        </w:rPr>
        <w:t>four weeks)</w:t>
      </w:r>
      <w:r w:rsidR="003631BB">
        <w:rPr>
          <w:rFonts w:asciiTheme="minorHAnsi" w:hAnsiTheme="minorHAnsi" w:cstheme="minorHAnsi"/>
          <w:sz w:val="22"/>
          <w:szCs w:val="22"/>
        </w:rPr>
        <w:t xml:space="preserve"> in line with the commission’s Charter of Consultation and Regulatory Practice and as required </w:t>
      </w:r>
      <w:r>
        <w:rPr>
          <w:rFonts w:asciiTheme="minorHAnsi" w:hAnsiTheme="minorHAnsi" w:cstheme="minorHAnsi"/>
          <w:sz w:val="22"/>
          <w:szCs w:val="22"/>
        </w:rPr>
        <w:t>under the Industry Acts</w:t>
      </w:r>
      <w:r w:rsidRPr="00CB62ED">
        <w:rPr>
          <w:rFonts w:asciiTheme="minorHAnsi" w:hAnsiTheme="minorHAnsi" w:cstheme="minorHAnsi"/>
          <w:sz w:val="22"/>
          <w:szCs w:val="22"/>
        </w:rPr>
        <w:t xml:space="preserve">. </w:t>
      </w:r>
      <w:r w:rsidR="003631BB">
        <w:rPr>
          <w:rFonts w:asciiTheme="minorHAnsi" w:hAnsiTheme="minorHAnsi" w:cstheme="minorHAnsi"/>
          <w:sz w:val="22"/>
          <w:szCs w:val="22"/>
        </w:rPr>
        <w:t xml:space="preserve">The </w:t>
      </w:r>
      <w:r>
        <w:rPr>
          <w:rFonts w:asciiTheme="minorHAnsi" w:hAnsiTheme="minorHAnsi" w:cstheme="minorHAnsi"/>
          <w:sz w:val="22"/>
          <w:szCs w:val="22"/>
        </w:rPr>
        <w:t xml:space="preserve">assessment and decision timeframes can be affected by </w:t>
      </w:r>
      <w:r w:rsidRPr="00CB62ED">
        <w:rPr>
          <w:rFonts w:asciiTheme="minorHAnsi" w:hAnsiTheme="minorHAnsi" w:cstheme="minorHAnsi"/>
          <w:sz w:val="22"/>
          <w:szCs w:val="22"/>
        </w:rPr>
        <w:t xml:space="preserve">the </w:t>
      </w:r>
      <w:r>
        <w:rPr>
          <w:rFonts w:asciiTheme="minorHAnsi" w:hAnsiTheme="minorHAnsi" w:cstheme="minorHAnsi"/>
          <w:sz w:val="22"/>
          <w:szCs w:val="22"/>
        </w:rPr>
        <w:t xml:space="preserve">details and </w:t>
      </w:r>
      <w:r w:rsidRPr="00CB62ED">
        <w:rPr>
          <w:rFonts w:asciiTheme="minorHAnsi" w:hAnsiTheme="minorHAnsi" w:cstheme="minorHAnsi"/>
          <w:sz w:val="22"/>
          <w:szCs w:val="22"/>
        </w:rPr>
        <w:t xml:space="preserve">circumstances of </w:t>
      </w:r>
      <w:r>
        <w:rPr>
          <w:rFonts w:asciiTheme="minorHAnsi" w:hAnsiTheme="minorHAnsi" w:cstheme="minorHAnsi"/>
          <w:sz w:val="22"/>
          <w:szCs w:val="22"/>
        </w:rPr>
        <w:t xml:space="preserve">the </w:t>
      </w:r>
      <w:r w:rsidRPr="00CB62ED">
        <w:rPr>
          <w:rFonts w:asciiTheme="minorHAnsi" w:hAnsiTheme="minorHAnsi" w:cstheme="minorHAnsi"/>
          <w:sz w:val="22"/>
          <w:szCs w:val="22"/>
        </w:rPr>
        <w:t xml:space="preserve">application, the quality and standard of the </w:t>
      </w:r>
      <w:r>
        <w:rPr>
          <w:rFonts w:asciiTheme="minorHAnsi" w:hAnsiTheme="minorHAnsi" w:cstheme="minorHAnsi"/>
          <w:sz w:val="22"/>
          <w:szCs w:val="22"/>
        </w:rPr>
        <w:t xml:space="preserve">material </w:t>
      </w:r>
      <w:r w:rsidRPr="00CB62ED">
        <w:rPr>
          <w:rFonts w:asciiTheme="minorHAnsi" w:hAnsiTheme="minorHAnsi" w:cstheme="minorHAnsi"/>
          <w:sz w:val="22"/>
          <w:szCs w:val="22"/>
        </w:rPr>
        <w:t>provided</w:t>
      </w:r>
      <w:r>
        <w:rPr>
          <w:rFonts w:asciiTheme="minorHAnsi" w:hAnsiTheme="minorHAnsi" w:cstheme="minorHAnsi"/>
          <w:sz w:val="22"/>
          <w:szCs w:val="22"/>
        </w:rPr>
        <w:t>,</w:t>
      </w:r>
      <w:r w:rsidRPr="00CB62ED">
        <w:rPr>
          <w:rFonts w:asciiTheme="minorHAnsi" w:hAnsiTheme="minorHAnsi" w:cstheme="minorHAnsi"/>
          <w:sz w:val="22"/>
          <w:szCs w:val="22"/>
        </w:rPr>
        <w:t xml:space="preserve"> and the number of submissions received in relation to the application</w:t>
      </w:r>
      <w:r w:rsidR="003631BB">
        <w:rPr>
          <w:rFonts w:asciiTheme="minorHAnsi" w:hAnsiTheme="minorHAnsi" w:cstheme="minorHAnsi"/>
          <w:sz w:val="22"/>
          <w:szCs w:val="22"/>
        </w:rPr>
        <w:t xml:space="preserve"> (where applicable)</w:t>
      </w:r>
      <w:r w:rsidRPr="00CB62ED">
        <w:rPr>
          <w:rFonts w:asciiTheme="minorHAnsi" w:hAnsiTheme="minorHAnsi" w:cstheme="minorHAnsi"/>
          <w:sz w:val="22"/>
          <w:szCs w:val="22"/>
        </w:rPr>
        <w:t xml:space="preserve">. </w:t>
      </w:r>
    </w:p>
    <w:p w14:paraId="20E9F2CE" w14:textId="11136A06" w:rsidR="00B245E8" w:rsidRPr="00CB62ED" w:rsidRDefault="0075418D" w:rsidP="00B245E8">
      <w:pPr>
        <w:pStyle w:val="BodyText1"/>
        <w:spacing w:before="160" w:after="160" w:line="336" w:lineRule="auto"/>
        <w:rPr>
          <w:rFonts w:asciiTheme="minorHAnsi" w:hAnsiTheme="minorHAnsi" w:cstheme="minorHAnsi"/>
          <w:sz w:val="22"/>
          <w:szCs w:val="22"/>
        </w:rPr>
      </w:pPr>
      <w:r>
        <w:rPr>
          <w:rFonts w:asciiTheme="minorHAnsi" w:hAnsiTheme="minorHAnsi" w:cstheme="minorHAnsi"/>
          <w:sz w:val="22"/>
          <w:szCs w:val="22"/>
        </w:rPr>
        <w:t>We will assess a</w:t>
      </w:r>
      <w:r w:rsidR="00B245E8" w:rsidRPr="00CB62ED">
        <w:rPr>
          <w:rFonts w:asciiTheme="minorHAnsi" w:hAnsiTheme="minorHAnsi" w:cstheme="minorHAnsi"/>
          <w:sz w:val="22"/>
          <w:szCs w:val="22"/>
        </w:rPr>
        <w:t xml:space="preserve">pplications on a case-by-case basis having regard to the requirements of the </w:t>
      </w:r>
      <w:r w:rsidR="003631BB">
        <w:rPr>
          <w:rFonts w:asciiTheme="minorHAnsi" w:hAnsiTheme="minorHAnsi" w:cstheme="minorHAnsi"/>
          <w:sz w:val="22"/>
          <w:szCs w:val="22"/>
        </w:rPr>
        <w:t xml:space="preserve">Industry Acts and the commission’s statutory objectives, including those in the </w:t>
      </w:r>
      <w:r w:rsidR="003631BB" w:rsidRPr="004F6DB9">
        <w:rPr>
          <w:rFonts w:asciiTheme="minorHAnsi" w:hAnsiTheme="minorHAnsi" w:cstheme="minorHAnsi"/>
          <w:i/>
          <w:iCs/>
          <w:sz w:val="22"/>
          <w:szCs w:val="22"/>
        </w:rPr>
        <w:t>Essential Services Commission Act 2001</w:t>
      </w:r>
      <w:r w:rsidR="003631BB">
        <w:rPr>
          <w:rFonts w:asciiTheme="minorHAnsi" w:hAnsiTheme="minorHAnsi" w:cstheme="minorHAnsi"/>
          <w:sz w:val="22"/>
          <w:szCs w:val="22"/>
        </w:rPr>
        <w:t xml:space="preserve"> and Industry Acts</w:t>
      </w:r>
      <w:r w:rsidR="00B245E8" w:rsidRPr="00CB62ED">
        <w:rPr>
          <w:rFonts w:asciiTheme="minorHAnsi" w:hAnsiTheme="minorHAnsi" w:cstheme="minorHAnsi"/>
          <w:sz w:val="22"/>
          <w:szCs w:val="22"/>
        </w:rPr>
        <w:t>.</w:t>
      </w:r>
      <w:r w:rsidR="00B245E8">
        <w:rPr>
          <w:rFonts w:asciiTheme="minorHAnsi" w:hAnsiTheme="minorHAnsi" w:cstheme="minorHAnsi"/>
          <w:sz w:val="22"/>
          <w:szCs w:val="22"/>
        </w:rPr>
        <w:t xml:space="preserve"> </w:t>
      </w:r>
      <w:r w:rsidR="00B245E8" w:rsidRPr="00CB62ED">
        <w:rPr>
          <w:rFonts w:asciiTheme="minorHAnsi" w:hAnsiTheme="minorHAnsi" w:cstheme="minorHAnsi"/>
          <w:sz w:val="22"/>
          <w:szCs w:val="22"/>
        </w:rPr>
        <w:t>We may</w:t>
      </w:r>
      <w:r w:rsidR="003631BB">
        <w:rPr>
          <w:rFonts w:asciiTheme="minorHAnsi" w:hAnsiTheme="minorHAnsi" w:cstheme="minorHAnsi"/>
          <w:sz w:val="22"/>
          <w:szCs w:val="22"/>
        </w:rPr>
        <w:t xml:space="preserve"> </w:t>
      </w:r>
      <w:r w:rsidR="00B245E8" w:rsidRPr="00CB62ED">
        <w:rPr>
          <w:rFonts w:asciiTheme="minorHAnsi" w:hAnsiTheme="minorHAnsi" w:cstheme="minorHAnsi"/>
          <w:sz w:val="22"/>
          <w:szCs w:val="22"/>
        </w:rPr>
        <w:t xml:space="preserve">engage external </w:t>
      </w:r>
      <w:r w:rsidR="003631BB">
        <w:rPr>
          <w:rFonts w:asciiTheme="minorHAnsi" w:hAnsiTheme="minorHAnsi" w:cstheme="minorHAnsi"/>
          <w:sz w:val="22"/>
          <w:szCs w:val="22"/>
        </w:rPr>
        <w:t>parties</w:t>
      </w:r>
      <w:r w:rsidR="003631BB" w:rsidRPr="00CB62ED">
        <w:rPr>
          <w:rFonts w:asciiTheme="minorHAnsi" w:hAnsiTheme="minorHAnsi" w:cstheme="minorHAnsi"/>
          <w:sz w:val="22"/>
          <w:szCs w:val="22"/>
        </w:rPr>
        <w:t xml:space="preserve"> </w:t>
      </w:r>
      <w:r w:rsidR="00B245E8" w:rsidRPr="00CB62ED">
        <w:rPr>
          <w:rFonts w:asciiTheme="minorHAnsi" w:hAnsiTheme="minorHAnsi" w:cstheme="minorHAnsi"/>
          <w:sz w:val="22"/>
          <w:szCs w:val="22"/>
        </w:rPr>
        <w:t xml:space="preserve">(for example accountants or lawyers) to assist </w:t>
      </w:r>
      <w:r w:rsidR="003631BB">
        <w:rPr>
          <w:rFonts w:asciiTheme="minorHAnsi" w:hAnsiTheme="minorHAnsi" w:cstheme="minorHAnsi"/>
          <w:sz w:val="22"/>
          <w:szCs w:val="22"/>
        </w:rPr>
        <w:t>us with</w:t>
      </w:r>
      <w:r w:rsidR="003631BB" w:rsidRPr="00CB62ED">
        <w:rPr>
          <w:rFonts w:asciiTheme="minorHAnsi" w:hAnsiTheme="minorHAnsi" w:cstheme="minorHAnsi"/>
          <w:sz w:val="22"/>
          <w:szCs w:val="22"/>
        </w:rPr>
        <w:t xml:space="preserve"> </w:t>
      </w:r>
      <w:r w:rsidR="00B245E8" w:rsidRPr="00CB62ED">
        <w:rPr>
          <w:rFonts w:asciiTheme="minorHAnsi" w:hAnsiTheme="minorHAnsi" w:cstheme="minorHAnsi"/>
          <w:sz w:val="22"/>
          <w:szCs w:val="22"/>
        </w:rPr>
        <w:t xml:space="preserve">assessing </w:t>
      </w:r>
      <w:r w:rsidR="003631BB">
        <w:rPr>
          <w:rFonts w:asciiTheme="minorHAnsi" w:hAnsiTheme="minorHAnsi" w:cstheme="minorHAnsi"/>
          <w:sz w:val="22"/>
          <w:szCs w:val="22"/>
        </w:rPr>
        <w:t>a licence application</w:t>
      </w:r>
      <w:r w:rsidR="00B245E8" w:rsidRPr="00CB62ED">
        <w:rPr>
          <w:rFonts w:asciiTheme="minorHAnsi" w:hAnsiTheme="minorHAnsi" w:cstheme="minorHAnsi"/>
          <w:sz w:val="22"/>
          <w:szCs w:val="22"/>
        </w:rPr>
        <w:t xml:space="preserve">. </w:t>
      </w:r>
    </w:p>
    <w:p w14:paraId="4A147CE9" w14:textId="5C3BD576" w:rsidR="00B245E8" w:rsidRDefault="00B245E8" w:rsidP="00B245E8">
      <w:pPr>
        <w:pStyle w:val="BodyText1"/>
        <w:spacing w:before="160" w:after="160" w:line="336" w:lineRule="auto"/>
        <w:rPr>
          <w:rFonts w:asciiTheme="minorHAnsi" w:hAnsiTheme="minorHAnsi" w:cstheme="minorBidi"/>
          <w:sz w:val="22"/>
          <w:szCs w:val="22"/>
        </w:rPr>
      </w:pPr>
      <w:r w:rsidRPr="071E8A57">
        <w:rPr>
          <w:rFonts w:asciiTheme="minorHAnsi" w:hAnsiTheme="minorHAnsi" w:cstheme="minorBidi"/>
          <w:sz w:val="22"/>
          <w:szCs w:val="22"/>
        </w:rPr>
        <w:t>We encourage applicants to consult with other relevant entities</w:t>
      </w:r>
      <w:r>
        <w:rPr>
          <w:rFonts w:asciiTheme="minorHAnsi" w:hAnsiTheme="minorHAnsi" w:cstheme="minorBidi"/>
          <w:sz w:val="22"/>
          <w:szCs w:val="22"/>
        </w:rPr>
        <w:t xml:space="preserve"> to ensure they understand</w:t>
      </w:r>
      <w:r w:rsidR="0075418D">
        <w:rPr>
          <w:rFonts w:asciiTheme="minorHAnsi" w:hAnsiTheme="minorHAnsi" w:cstheme="minorBidi"/>
          <w:sz w:val="22"/>
          <w:szCs w:val="22"/>
        </w:rPr>
        <w:t>,</w:t>
      </w:r>
      <w:r>
        <w:rPr>
          <w:rFonts w:asciiTheme="minorHAnsi" w:hAnsiTheme="minorHAnsi" w:cstheme="minorBidi"/>
          <w:sz w:val="22"/>
          <w:szCs w:val="22"/>
        </w:rPr>
        <w:t xml:space="preserve"> and will meet</w:t>
      </w:r>
      <w:r w:rsidR="0075418D">
        <w:rPr>
          <w:rFonts w:asciiTheme="minorHAnsi" w:hAnsiTheme="minorHAnsi" w:cstheme="minorBidi"/>
          <w:sz w:val="22"/>
          <w:szCs w:val="22"/>
        </w:rPr>
        <w:t>,</w:t>
      </w:r>
      <w:r>
        <w:rPr>
          <w:rFonts w:asciiTheme="minorHAnsi" w:hAnsiTheme="minorHAnsi" w:cstheme="minorBidi"/>
          <w:sz w:val="22"/>
          <w:szCs w:val="22"/>
        </w:rPr>
        <w:t xml:space="preserve"> all relevant </w:t>
      </w:r>
      <w:r w:rsidR="0075418D">
        <w:rPr>
          <w:rFonts w:asciiTheme="minorHAnsi" w:hAnsiTheme="minorHAnsi" w:cstheme="minorBidi"/>
          <w:sz w:val="22"/>
          <w:szCs w:val="22"/>
        </w:rPr>
        <w:t xml:space="preserve">regulatory </w:t>
      </w:r>
      <w:r>
        <w:rPr>
          <w:rFonts w:asciiTheme="minorHAnsi" w:hAnsiTheme="minorHAnsi" w:cstheme="minorBidi"/>
          <w:sz w:val="22"/>
          <w:szCs w:val="22"/>
        </w:rPr>
        <w:t>obligations</w:t>
      </w:r>
      <w:r w:rsidR="0075418D">
        <w:rPr>
          <w:rFonts w:asciiTheme="minorHAnsi" w:hAnsiTheme="minorHAnsi" w:cstheme="minorBidi"/>
          <w:sz w:val="22"/>
          <w:szCs w:val="22"/>
        </w:rPr>
        <w:t xml:space="preserve"> that will apply for a particular licence</w:t>
      </w:r>
      <w:r>
        <w:rPr>
          <w:rFonts w:asciiTheme="minorHAnsi" w:hAnsiTheme="minorHAnsi" w:cstheme="minorBidi"/>
          <w:sz w:val="22"/>
          <w:szCs w:val="22"/>
        </w:rPr>
        <w:t xml:space="preserve">. </w:t>
      </w:r>
      <w:r w:rsidR="0075418D">
        <w:rPr>
          <w:rFonts w:asciiTheme="minorHAnsi" w:hAnsiTheme="minorHAnsi" w:cstheme="minorBidi"/>
          <w:sz w:val="22"/>
          <w:szCs w:val="22"/>
        </w:rPr>
        <w:t xml:space="preserve">These parties include </w:t>
      </w:r>
      <w:r w:rsidRPr="071E8A57">
        <w:rPr>
          <w:rFonts w:asciiTheme="minorHAnsi" w:hAnsiTheme="minorHAnsi" w:cstheme="minorBidi"/>
          <w:sz w:val="22"/>
          <w:szCs w:val="22"/>
        </w:rPr>
        <w:t xml:space="preserve">the Australian Energy Market Operator, Energy Safe Victoria, licensed distributors, the Energy and Water Ombudsman (Victoria), and the Department of </w:t>
      </w:r>
      <w:r w:rsidR="00B0791B">
        <w:rPr>
          <w:rFonts w:asciiTheme="minorHAnsi" w:hAnsiTheme="minorHAnsi" w:cstheme="minorBidi"/>
          <w:sz w:val="22"/>
          <w:szCs w:val="22"/>
        </w:rPr>
        <w:t>Families, Fairness and Housing</w:t>
      </w:r>
      <w:r w:rsidRPr="071E8A57">
        <w:rPr>
          <w:rFonts w:asciiTheme="minorHAnsi" w:hAnsiTheme="minorHAnsi" w:cstheme="minorBidi"/>
          <w:sz w:val="22"/>
          <w:szCs w:val="22"/>
        </w:rPr>
        <w:t>.</w:t>
      </w:r>
    </w:p>
    <w:p w14:paraId="0F08D9B4" w14:textId="77777777" w:rsidR="00B245E8" w:rsidRDefault="00B245E8" w:rsidP="00B245E8">
      <w:pPr>
        <w:pStyle w:val="Heading3numbered"/>
        <w:numPr>
          <w:ilvl w:val="2"/>
          <w:numId w:val="11"/>
        </w:numPr>
      </w:pPr>
      <w:bookmarkStart w:id="46" w:name="_Toc56515865"/>
      <w:bookmarkStart w:id="47" w:name="_Toc127875387"/>
      <w:r>
        <w:t>Timing of the application</w:t>
      </w:r>
      <w:bookmarkEnd w:id="46"/>
      <w:bookmarkEnd w:id="47"/>
    </w:p>
    <w:p w14:paraId="619486CF" w14:textId="57F33467" w:rsidR="00B245E8" w:rsidRDefault="00B245E8" w:rsidP="00B245E8">
      <w:r>
        <w:t>Applicants should provide all relevant information and material to the commission to allow sufficient time for the application to be assessed.</w:t>
      </w:r>
    </w:p>
    <w:p w14:paraId="1A04AACA" w14:textId="5EFE3BA2" w:rsidR="00B245E8" w:rsidRDefault="00B245E8" w:rsidP="00B245E8">
      <w:r>
        <w:t>Applicants should apply for a licence once they have a firm plan to commence carrying out the proposed activity and are able to demonstrate that they meet the relevant criteria for being granted a licence. Applicants should confirm</w:t>
      </w:r>
      <w:r w:rsidR="00F255E5">
        <w:t>,</w:t>
      </w:r>
      <w:r>
        <w:t xml:space="preserve"> and be able to demonstrate</w:t>
      </w:r>
      <w:r w:rsidR="00F255E5">
        <w:t>,</w:t>
      </w:r>
      <w:r>
        <w:t xml:space="preserve"> that they have an ability to commence operation within a specific and reasonable timeframe should a licence be granted.</w:t>
      </w:r>
    </w:p>
    <w:p w14:paraId="56E35E06" w14:textId="77777777" w:rsidR="00162EFF" w:rsidRDefault="003A4A7D" w:rsidP="00B245E8">
      <w:r w:rsidRPr="00162EFF">
        <w:t xml:space="preserve">We acknowledge that the planning and development phases for some projects that are intended to culminate in licensable activities may take a significant period of time to complete. Further, powers </w:t>
      </w:r>
      <w:r w:rsidRPr="00162EFF">
        <w:lastRenderedPageBreak/>
        <w:t>that are granted to certain licensees, such as land access powers, may facilitate those preliminary stages of a project.</w:t>
      </w:r>
    </w:p>
    <w:p w14:paraId="74944FB4" w14:textId="131710ED" w:rsidR="00162EFF" w:rsidRDefault="003A4A7D" w:rsidP="00B245E8">
      <w:r w:rsidRPr="00162EFF">
        <w:t xml:space="preserve">The framework permits the granting of applications where the licensable activity is some years away from commencement, particularly for large-scale </w:t>
      </w:r>
      <w:r w:rsidR="00522A10">
        <w:t xml:space="preserve">electricity </w:t>
      </w:r>
      <w:r w:rsidRPr="00162EFF">
        <w:t>transmission and generation projects. However, applicants must be able to demonstrate that the activity for which the licence is being applied for is not merely speculative and there is a reasonable likelihood of that activity being undertaken.</w:t>
      </w:r>
    </w:p>
    <w:p w14:paraId="5A429E3A" w14:textId="31827376" w:rsidR="003A4A7D" w:rsidRPr="00162EFF" w:rsidRDefault="003A4A7D" w:rsidP="00B245E8">
      <w:r w:rsidRPr="00162EFF">
        <w:t>The commission will consider a range of factors in determining whether a licence is appropriate at a point in time, including funding, planning and development approvals that have been obtained (or are yet to be obtained) and the stage of any applicable regulatory investment test process. Any licence granted where the activity is not due to commence for a considerable period of time is likely to be subject to conditions to provide for additional commission oversight during this period.</w:t>
      </w:r>
    </w:p>
    <w:p w14:paraId="4018B6F6" w14:textId="77777777" w:rsidR="00B245E8" w:rsidRPr="00276DDB" w:rsidRDefault="00B245E8" w:rsidP="00B245E8">
      <w:pPr>
        <w:pStyle w:val="Heading3numbered"/>
        <w:numPr>
          <w:ilvl w:val="2"/>
          <w:numId w:val="11"/>
        </w:numPr>
      </w:pPr>
      <w:bookmarkStart w:id="48" w:name="_Toc151982560"/>
      <w:bookmarkStart w:id="49" w:name="_Toc56515866"/>
      <w:bookmarkStart w:id="50" w:name="_Toc127875388"/>
      <w:r>
        <w:t>Consultation (p</w:t>
      </w:r>
      <w:r w:rsidRPr="00276DDB">
        <w:t>ublication of the licence application</w:t>
      </w:r>
      <w:bookmarkEnd w:id="48"/>
      <w:r>
        <w:t>)</w:t>
      </w:r>
      <w:bookmarkEnd w:id="49"/>
      <w:bookmarkEnd w:id="50"/>
    </w:p>
    <w:p w14:paraId="0F2FE252" w14:textId="15586074" w:rsidR="00B245E8" w:rsidRPr="00276DDB" w:rsidRDefault="00B245E8" w:rsidP="00B245E8">
      <w:pPr>
        <w:rPr>
          <w:rFonts w:eastAsia="Times New Roman" w:cstheme="minorHAnsi"/>
          <w:szCs w:val="24"/>
        </w:rPr>
      </w:pPr>
      <w:r>
        <w:rPr>
          <w:rFonts w:eastAsia="Times New Roman" w:cstheme="minorHAnsi"/>
          <w:szCs w:val="24"/>
        </w:rPr>
        <w:t xml:space="preserve">We are required to </w:t>
      </w:r>
      <w:r w:rsidRPr="00276DDB">
        <w:rPr>
          <w:rFonts w:eastAsia="Times New Roman" w:cstheme="minorHAnsi"/>
          <w:szCs w:val="24"/>
        </w:rPr>
        <w:t xml:space="preserve">publish a notice </w:t>
      </w:r>
      <w:r>
        <w:rPr>
          <w:rFonts w:eastAsia="Times New Roman" w:cstheme="minorHAnsi"/>
          <w:szCs w:val="24"/>
        </w:rPr>
        <w:t>of a licence application and to invite interested persons to make submissions on the application</w:t>
      </w:r>
      <w:r w:rsidRPr="00276DDB">
        <w:rPr>
          <w:rFonts w:eastAsia="Times New Roman" w:cstheme="minorHAnsi"/>
          <w:szCs w:val="24"/>
        </w:rPr>
        <w:t>.</w:t>
      </w:r>
      <w:r>
        <w:rPr>
          <w:rStyle w:val="FootnoteReference"/>
          <w:rFonts w:eastAsia="Times New Roman" w:cstheme="minorHAnsi"/>
          <w:szCs w:val="24"/>
        </w:rPr>
        <w:footnoteReference w:id="4"/>
      </w:r>
      <w:r w:rsidRPr="00276DDB">
        <w:rPr>
          <w:rFonts w:eastAsia="Times New Roman" w:cstheme="minorHAnsi"/>
          <w:szCs w:val="24"/>
        </w:rPr>
        <w:t xml:space="preserve"> </w:t>
      </w:r>
      <w:r>
        <w:rPr>
          <w:rFonts w:eastAsia="Times New Roman" w:cstheme="minorHAnsi"/>
          <w:szCs w:val="24"/>
        </w:rPr>
        <w:t xml:space="preserve"> </w:t>
      </w:r>
    </w:p>
    <w:p w14:paraId="3B0A2D4B" w14:textId="1FADC0B5" w:rsidR="00B245E8" w:rsidRDefault="00B245E8" w:rsidP="00B245E8">
      <w:pPr>
        <w:rPr>
          <w:rFonts w:eastAsia="Times New Roman" w:cstheme="minorHAnsi"/>
          <w:szCs w:val="24"/>
        </w:rPr>
      </w:pPr>
      <w:r>
        <w:rPr>
          <w:rFonts w:eastAsia="Times New Roman" w:cstheme="minorHAnsi"/>
          <w:szCs w:val="24"/>
        </w:rPr>
        <w:t xml:space="preserve">A copy of the </w:t>
      </w:r>
      <w:r w:rsidRPr="00276DDB">
        <w:rPr>
          <w:rFonts w:eastAsia="Times New Roman" w:cstheme="minorHAnsi"/>
          <w:szCs w:val="24"/>
        </w:rPr>
        <w:t xml:space="preserve">application will also be published on </w:t>
      </w:r>
      <w:r>
        <w:rPr>
          <w:rFonts w:eastAsia="Times New Roman" w:cstheme="minorHAnsi"/>
          <w:szCs w:val="24"/>
        </w:rPr>
        <w:t>our</w:t>
      </w:r>
      <w:r w:rsidRPr="00276DDB">
        <w:rPr>
          <w:rFonts w:eastAsia="Times New Roman" w:cstheme="minorHAnsi"/>
          <w:szCs w:val="24"/>
        </w:rPr>
        <w:t xml:space="preserve"> website. </w:t>
      </w:r>
    </w:p>
    <w:p w14:paraId="67C6AD91" w14:textId="41F7ADC6" w:rsidR="00F255E5" w:rsidRDefault="00F255E5" w:rsidP="00B245E8">
      <w:pPr>
        <w:rPr>
          <w:rFonts w:eastAsia="Times New Roman" w:cstheme="minorHAnsi"/>
          <w:szCs w:val="24"/>
        </w:rPr>
      </w:pPr>
      <w:r>
        <w:rPr>
          <w:rFonts w:eastAsia="Times New Roman" w:cstheme="minorHAnsi"/>
          <w:szCs w:val="24"/>
        </w:rPr>
        <w:t xml:space="preserve">We also publish applications for </w:t>
      </w:r>
      <w:r w:rsidR="00CF46B6">
        <w:rPr>
          <w:rFonts w:eastAsia="Times New Roman" w:cstheme="minorHAnsi"/>
          <w:szCs w:val="24"/>
        </w:rPr>
        <w:t xml:space="preserve">electricity and gas </w:t>
      </w:r>
      <w:r>
        <w:rPr>
          <w:rFonts w:eastAsia="Times New Roman" w:cstheme="minorHAnsi"/>
          <w:szCs w:val="24"/>
        </w:rPr>
        <w:t xml:space="preserve">retail licences that involve the sale of energy to residential and small business customers on Victorian Government’s consultation platform, </w:t>
      </w:r>
      <w:hyperlink r:id="rId34" w:history="1">
        <w:r w:rsidRPr="00EF7456">
          <w:rPr>
            <w:rStyle w:val="Hyperlink"/>
            <w:rFonts w:eastAsia="Times New Roman" w:cstheme="minorHAnsi"/>
            <w:szCs w:val="24"/>
          </w:rPr>
          <w:t>Engage Victoria</w:t>
        </w:r>
      </w:hyperlink>
      <w:r>
        <w:rPr>
          <w:rFonts w:eastAsia="Times New Roman" w:cstheme="minorHAnsi"/>
          <w:szCs w:val="24"/>
        </w:rPr>
        <w:t>.</w:t>
      </w:r>
    </w:p>
    <w:p w14:paraId="1078775B" w14:textId="590308E4" w:rsidR="00B245E8" w:rsidRDefault="00B245E8" w:rsidP="00B245E8">
      <w:pPr>
        <w:rPr>
          <w:rFonts w:eastAsia="Times New Roman" w:cstheme="minorHAnsi"/>
          <w:szCs w:val="24"/>
        </w:rPr>
      </w:pPr>
      <w:r>
        <w:rPr>
          <w:rFonts w:eastAsia="Times New Roman" w:cstheme="minorHAnsi"/>
          <w:szCs w:val="24"/>
        </w:rPr>
        <w:t>We will</w:t>
      </w:r>
      <w:r w:rsidR="00B43ACA">
        <w:rPr>
          <w:rFonts w:eastAsia="Times New Roman" w:cstheme="minorHAnsi"/>
          <w:szCs w:val="24"/>
        </w:rPr>
        <w:t xml:space="preserve"> generally</w:t>
      </w:r>
      <w:r>
        <w:rPr>
          <w:rFonts w:eastAsia="Times New Roman" w:cstheme="minorHAnsi"/>
          <w:szCs w:val="24"/>
        </w:rPr>
        <w:t xml:space="preserve"> publish </w:t>
      </w:r>
      <w:r w:rsidR="00EF7456">
        <w:rPr>
          <w:rFonts w:eastAsia="Times New Roman" w:cstheme="minorHAnsi"/>
          <w:szCs w:val="24"/>
        </w:rPr>
        <w:t xml:space="preserve">the </w:t>
      </w:r>
      <w:r>
        <w:rPr>
          <w:rFonts w:eastAsia="Times New Roman" w:cstheme="minorHAnsi"/>
          <w:szCs w:val="24"/>
        </w:rPr>
        <w:t>application once we are satisfied that it is complete</w:t>
      </w:r>
      <w:r w:rsidR="00EF7456">
        <w:rPr>
          <w:rFonts w:eastAsia="Times New Roman" w:cstheme="minorHAnsi"/>
          <w:szCs w:val="24"/>
        </w:rPr>
        <w:t xml:space="preserve"> and </w:t>
      </w:r>
      <w:r w:rsidR="008F681B">
        <w:rPr>
          <w:rFonts w:eastAsia="Times New Roman" w:cstheme="minorHAnsi"/>
          <w:szCs w:val="24"/>
        </w:rPr>
        <w:t xml:space="preserve">where </w:t>
      </w:r>
      <w:r w:rsidR="00EF7456">
        <w:rPr>
          <w:rFonts w:eastAsia="Times New Roman" w:cstheme="minorHAnsi"/>
          <w:szCs w:val="24"/>
        </w:rPr>
        <w:t>we do not require any further information</w:t>
      </w:r>
      <w:r>
        <w:rPr>
          <w:rFonts w:eastAsia="Times New Roman" w:cstheme="minorHAnsi"/>
          <w:szCs w:val="24"/>
        </w:rPr>
        <w:t>.</w:t>
      </w:r>
    </w:p>
    <w:p w14:paraId="7887A11E" w14:textId="3295F274" w:rsidR="00B245E8" w:rsidRDefault="00B245E8" w:rsidP="00B245E8">
      <w:pPr>
        <w:rPr>
          <w:rFonts w:eastAsia="Times New Roman" w:cstheme="minorHAnsi"/>
          <w:szCs w:val="24"/>
        </w:rPr>
      </w:pPr>
      <w:r>
        <w:rPr>
          <w:rFonts w:eastAsia="Times New Roman" w:cstheme="minorHAnsi"/>
          <w:szCs w:val="24"/>
        </w:rPr>
        <w:t xml:space="preserve">We will </w:t>
      </w:r>
      <w:r w:rsidR="00EF7456">
        <w:rPr>
          <w:rFonts w:eastAsia="Times New Roman" w:cstheme="minorHAnsi"/>
          <w:szCs w:val="24"/>
        </w:rPr>
        <w:t xml:space="preserve">publish applications for consultation in line with the commission’s Charter of Consultation and Regulatory Practice and generally </w:t>
      </w:r>
      <w:r>
        <w:rPr>
          <w:rFonts w:eastAsia="Times New Roman" w:cstheme="minorHAnsi"/>
          <w:szCs w:val="24"/>
        </w:rPr>
        <w:t>provide four weeks for</w:t>
      </w:r>
      <w:r w:rsidR="00EF7456">
        <w:rPr>
          <w:rFonts w:eastAsia="Times New Roman" w:cstheme="minorHAnsi"/>
          <w:szCs w:val="24"/>
        </w:rPr>
        <w:t xml:space="preserve"> interested parties to make</w:t>
      </w:r>
      <w:r>
        <w:rPr>
          <w:rFonts w:eastAsia="Times New Roman" w:cstheme="minorHAnsi"/>
          <w:szCs w:val="24"/>
        </w:rPr>
        <w:t xml:space="preserve"> submissions. </w:t>
      </w:r>
    </w:p>
    <w:p w14:paraId="063CEB8C" w14:textId="6C449812" w:rsidR="00B245E8" w:rsidRPr="00B10594" w:rsidRDefault="00B0791B" w:rsidP="00B245E8">
      <w:pPr>
        <w:pStyle w:val="Heading3numbered"/>
        <w:numPr>
          <w:ilvl w:val="2"/>
          <w:numId w:val="11"/>
        </w:numPr>
      </w:pPr>
      <w:bookmarkStart w:id="51" w:name="_Toc146506479"/>
      <w:bookmarkStart w:id="52" w:name="_Toc146507179"/>
      <w:bookmarkStart w:id="53" w:name="_Toc146964239"/>
      <w:bookmarkStart w:id="54" w:name="_Toc151981901"/>
      <w:bookmarkStart w:id="55" w:name="_Ref8656096"/>
      <w:bookmarkStart w:id="56" w:name="_Ref8656098"/>
      <w:bookmarkStart w:id="57" w:name="_Ref9327919"/>
      <w:bookmarkStart w:id="58" w:name="_Toc56515867"/>
      <w:bookmarkStart w:id="59" w:name="_Toc127875389"/>
      <w:r>
        <w:t>Confidential</w:t>
      </w:r>
      <w:r w:rsidR="00B245E8" w:rsidRPr="00B10594">
        <w:t xml:space="preserve"> information</w:t>
      </w:r>
      <w:bookmarkEnd w:id="51"/>
      <w:bookmarkEnd w:id="52"/>
      <w:bookmarkEnd w:id="53"/>
      <w:bookmarkEnd w:id="54"/>
      <w:bookmarkEnd w:id="55"/>
      <w:bookmarkEnd w:id="56"/>
      <w:bookmarkEnd w:id="57"/>
      <w:bookmarkEnd w:id="58"/>
      <w:bookmarkEnd w:id="59"/>
    </w:p>
    <w:p w14:paraId="6A24FFD9" w14:textId="09EFDEF1" w:rsidR="00B245E8" w:rsidRPr="00B10594" w:rsidRDefault="00B245E8" w:rsidP="00B245E8">
      <w:pPr>
        <w:rPr>
          <w:rFonts w:eastAsia="Times New Roman" w:cstheme="minorHAnsi"/>
          <w:szCs w:val="24"/>
        </w:rPr>
      </w:pPr>
      <w:r>
        <w:rPr>
          <w:rFonts w:eastAsia="Times New Roman" w:cstheme="minorHAnsi"/>
          <w:szCs w:val="24"/>
        </w:rPr>
        <w:t>T</w:t>
      </w:r>
      <w:r w:rsidRPr="00B10594">
        <w:rPr>
          <w:rFonts w:eastAsia="Times New Roman" w:cstheme="minorHAnsi"/>
          <w:szCs w:val="24"/>
        </w:rPr>
        <w:t xml:space="preserve">o fully inform the public about the licence application, </w:t>
      </w:r>
      <w:r>
        <w:rPr>
          <w:rFonts w:eastAsia="Times New Roman" w:cstheme="minorHAnsi"/>
          <w:szCs w:val="24"/>
        </w:rPr>
        <w:t>we prefer</w:t>
      </w:r>
      <w:r w:rsidRPr="00B10594">
        <w:rPr>
          <w:rFonts w:eastAsia="Times New Roman" w:cstheme="minorHAnsi"/>
          <w:szCs w:val="24"/>
        </w:rPr>
        <w:t xml:space="preserve"> all information provided by the applicant </w:t>
      </w:r>
      <w:r>
        <w:rPr>
          <w:rFonts w:eastAsia="Times New Roman" w:cstheme="minorHAnsi"/>
          <w:szCs w:val="24"/>
        </w:rPr>
        <w:t xml:space="preserve">to </w:t>
      </w:r>
      <w:r w:rsidRPr="00B10594">
        <w:rPr>
          <w:rFonts w:eastAsia="Times New Roman" w:cstheme="minorHAnsi"/>
          <w:szCs w:val="24"/>
        </w:rPr>
        <w:t xml:space="preserve">be made publicly available. </w:t>
      </w:r>
    </w:p>
    <w:p w14:paraId="5EFA4079" w14:textId="053B2197" w:rsidR="008F681B" w:rsidRDefault="00B245E8" w:rsidP="00440760">
      <w:pPr>
        <w:rPr>
          <w:rFonts w:eastAsia="Times New Roman" w:cstheme="minorHAnsi"/>
          <w:szCs w:val="24"/>
        </w:rPr>
      </w:pPr>
      <w:r w:rsidRPr="00B10594">
        <w:rPr>
          <w:rFonts w:eastAsia="Times New Roman" w:cstheme="minorHAnsi"/>
          <w:szCs w:val="24"/>
        </w:rPr>
        <w:lastRenderedPageBreak/>
        <w:t xml:space="preserve">However, </w:t>
      </w:r>
      <w:r>
        <w:rPr>
          <w:rFonts w:eastAsia="Times New Roman" w:cstheme="minorHAnsi"/>
          <w:szCs w:val="24"/>
        </w:rPr>
        <w:t xml:space="preserve">publication of </w:t>
      </w:r>
      <w:r w:rsidRPr="00B10594">
        <w:rPr>
          <w:rFonts w:eastAsia="Times New Roman" w:cstheme="minorHAnsi"/>
          <w:szCs w:val="24"/>
        </w:rPr>
        <w:t xml:space="preserve">some sections of the application can be </w:t>
      </w:r>
      <w:r>
        <w:rPr>
          <w:rFonts w:eastAsia="Times New Roman" w:cstheme="minorHAnsi"/>
          <w:szCs w:val="24"/>
        </w:rPr>
        <w:t xml:space="preserve">restricted </w:t>
      </w:r>
      <w:r w:rsidR="00EF7456">
        <w:rPr>
          <w:rFonts w:eastAsia="Times New Roman" w:cstheme="minorHAnsi"/>
          <w:szCs w:val="24"/>
        </w:rPr>
        <w:t xml:space="preserve">where we consider </w:t>
      </w:r>
      <w:r w:rsidR="00AF74A6">
        <w:rPr>
          <w:rFonts w:eastAsia="Times New Roman" w:cstheme="minorHAnsi"/>
          <w:szCs w:val="24"/>
        </w:rPr>
        <w:t xml:space="preserve">information </w:t>
      </w:r>
      <w:r w:rsidR="002E142A">
        <w:rPr>
          <w:rFonts w:eastAsia="Times New Roman" w:cstheme="minorHAnsi"/>
          <w:szCs w:val="24"/>
        </w:rPr>
        <w:t>to be</w:t>
      </w:r>
      <w:r w:rsidR="00EF7456">
        <w:rPr>
          <w:rFonts w:eastAsia="Times New Roman" w:cstheme="minorHAnsi"/>
          <w:szCs w:val="24"/>
        </w:rPr>
        <w:t xml:space="preserve"> </w:t>
      </w:r>
      <w:r>
        <w:rPr>
          <w:rFonts w:eastAsia="Times New Roman" w:cstheme="minorHAnsi"/>
          <w:szCs w:val="24"/>
        </w:rPr>
        <w:t>confidential</w:t>
      </w:r>
      <w:r w:rsidRPr="00B10594">
        <w:rPr>
          <w:rFonts w:eastAsia="Times New Roman" w:cstheme="minorHAnsi"/>
          <w:szCs w:val="24"/>
        </w:rPr>
        <w:t xml:space="preserve">. </w:t>
      </w:r>
    </w:p>
    <w:p w14:paraId="08B16DD6" w14:textId="787C98AE" w:rsidR="00032C2B" w:rsidRDefault="00B245E8" w:rsidP="00B245E8">
      <w:pPr>
        <w:rPr>
          <w:rFonts w:eastAsia="Times New Roman" w:cstheme="minorHAnsi"/>
          <w:szCs w:val="24"/>
        </w:rPr>
      </w:pPr>
      <w:r w:rsidRPr="00B10594">
        <w:rPr>
          <w:rFonts w:eastAsia="Times New Roman" w:cstheme="minorHAnsi"/>
          <w:szCs w:val="24"/>
        </w:rPr>
        <w:t xml:space="preserve">Any information </w:t>
      </w:r>
      <w:r w:rsidR="00032C2B">
        <w:rPr>
          <w:rFonts w:eastAsia="Times New Roman" w:cstheme="minorHAnsi"/>
          <w:szCs w:val="24"/>
        </w:rPr>
        <w:t xml:space="preserve">or documents </w:t>
      </w:r>
      <w:r w:rsidRPr="00B10594">
        <w:rPr>
          <w:rFonts w:eastAsia="Times New Roman" w:cstheme="minorHAnsi"/>
          <w:szCs w:val="24"/>
        </w:rPr>
        <w:t>submitted on a</w:t>
      </w:r>
      <w:r>
        <w:rPr>
          <w:rFonts w:eastAsia="Times New Roman" w:cstheme="minorHAnsi"/>
          <w:szCs w:val="24"/>
        </w:rPr>
        <w:t xml:space="preserve"> confidential </w:t>
      </w:r>
      <w:r w:rsidRPr="00B10594">
        <w:rPr>
          <w:rFonts w:eastAsia="Times New Roman" w:cstheme="minorHAnsi"/>
          <w:szCs w:val="24"/>
        </w:rPr>
        <w:t xml:space="preserve">basis </w:t>
      </w:r>
      <w:r w:rsidR="0065609A">
        <w:rPr>
          <w:rFonts w:eastAsia="Times New Roman" w:cstheme="minorHAnsi"/>
          <w:szCs w:val="24"/>
        </w:rPr>
        <w:t xml:space="preserve">must </w:t>
      </w:r>
      <w:r w:rsidRPr="00B10594">
        <w:rPr>
          <w:rFonts w:eastAsia="Times New Roman" w:cstheme="minorHAnsi"/>
          <w:szCs w:val="24"/>
        </w:rPr>
        <w:t>be</w:t>
      </w:r>
      <w:r w:rsidR="00032C2B">
        <w:rPr>
          <w:rFonts w:eastAsia="Times New Roman" w:cstheme="minorHAnsi"/>
          <w:szCs w:val="24"/>
        </w:rPr>
        <w:t>:</w:t>
      </w:r>
    </w:p>
    <w:p w14:paraId="636DB57F" w14:textId="25071F4F" w:rsidR="00032C2B" w:rsidRDefault="00B245E8" w:rsidP="00CF46B6">
      <w:pPr>
        <w:pStyle w:val="ListBullet"/>
      </w:pPr>
      <w:r w:rsidRPr="00D95314">
        <w:t xml:space="preserve">attached as </w:t>
      </w:r>
      <w:r w:rsidR="00147CFB">
        <w:t xml:space="preserve">separate </w:t>
      </w:r>
      <w:r w:rsidRPr="00D95314">
        <w:t>schedules to the application</w:t>
      </w:r>
      <w:r w:rsidR="00857B5E" w:rsidRPr="00D95314">
        <w:t xml:space="preserve"> </w:t>
      </w:r>
      <w:r w:rsidRPr="00D95314">
        <w:t>and marked as confiden</w:t>
      </w:r>
      <w:r w:rsidR="00B0791B" w:rsidRPr="00D95314">
        <w:t>tial</w:t>
      </w:r>
      <w:r w:rsidR="00032C2B">
        <w:t>; or</w:t>
      </w:r>
    </w:p>
    <w:p w14:paraId="73C82021" w14:textId="0BB7BB57" w:rsidR="00032C2B" w:rsidRDefault="00032C2B" w:rsidP="00CF46B6">
      <w:pPr>
        <w:pStyle w:val="ListBullet"/>
      </w:pPr>
      <w:r>
        <w:t xml:space="preserve">alternatively, </w:t>
      </w:r>
      <w:r w:rsidR="00080A3C">
        <w:t>identified</w:t>
      </w:r>
      <w:r>
        <w:t xml:space="preserve"> </w:t>
      </w:r>
      <w:r w:rsidR="00F814B4">
        <w:t xml:space="preserve">in the body of the application </w:t>
      </w:r>
      <w:r w:rsidR="00080A3C">
        <w:t xml:space="preserve">with highlighting </w:t>
      </w:r>
      <w:r w:rsidR="00F814B4">
        <w:t>(with redacted and unredacted versions of the application supplied).</w:t>
      </w:r>
      <w:r>
        <w:t xml:space="preserve"> </w:t>
      </w:r>
    </w:p>
    <w:p w14:paraId="28780532" w14:textId="2AF8EE4F" w:rsidR="00B245E8" w:rsidRPr="00CF46B6" w:rsidRDefault="00B245E8" w:rsidP="00032C2B">
      <w:pPr>
        <w:rPr>
          <w:rFonts w:eastAsia="Times New Roman" w:cstheme="minorHAnsi"/>
          <w:szCs w:val="24"/>
        </w:rPr>
      </w:pPr>
      <w:r w:rsidRPr="00CF46B6">
        <w:rPr>
          <w:rFonts w:eastAsia="Times New Roman" w:cstheme="minorHAnsi"/>
          <w:szCs w:val="24"/>
        </w:rPr>
        <w:t xml:space="preserve">Applicants </w:t>
      </w:r>
      <w:r w:rsidR="00B0791B" w:rsidRPr="00CF46B6">
        <w:rPr>
          <w:rFonts w:eastAsia="Times New Roman" w:cstheme="minorHAnsi"/>
          <w:szCs w:val="24"/>
        </w:rPr>
        <w:t xml:space="preserve">must </w:t>
      </w:r>
      <w:r w:rsidRPr="00CF46B6">
        <w:rPr>
          <w:rFonts w:eastAsia="Times New Roman" w:cstheme="minorHAnsi"/>
          <w:szCs w:val="24"/>
        </w:rPr>
        <w:t xml:space="preserve">also provide </w:t>
      </w:r>
      <w:r w:rsidR="00235BE2">
        <w:rPr>
          <w:rFonts w:eastAsia="Times New Roman" w:cstheme="minorHAnsi"/>
          <w:szCs w:val="24"/>
        </w:rPr>
        <w:t>specific reasons</w:t>
      </w:r>
      <w:r w:rsidRPr="00CF46B6">
        <w:rPr>
          <w:rFonts w:eastAsia="Times New Roman" w:cstheme="minorHAnsi"/>
          <w:szCs w:val="24"/>
        </w:rPr>
        <w:t xml:space="preserve"> as to why the</w:t>
      </w:r>
      <w:r w:rsidR="00EF7456" w:rsidRPr="00CF46B6">
        <w:rPr>
          <w:rFonts w:eastAsia="Times New Roman" w:cstheme="minorHAnsi"/>
          <w:szCs w:val="24"/>
        </w:rPr>
        <w:t>y are claiming</w:t>
      </w:r>
      <w:r w:rsidRPr="00CF46B6">
        <w:rPr>
          <w:rFonts w:eastAsia="Times New Roman" w:cstheme="minorHAnsi"/>
          <w:szCs w:val="24"/>
        </w:rPr>
        <w:t xml:space="preserve"> confidential</w:t>
      </w:r>
      <w:r w:rsidR="00EF7456" w:rsidRPr="00CF46B6">
        <w:rPr>
          <w:rFonts w:eastAsia="Times New Roman" w:cstheme="minorHAnsi"/>
          <w:szCs w:val="24"/>
        </w:rPr>
        <w:t>ity</w:t>
      </w:r>
      <w:r w:rsidRPr="00CF46B6">
        <w:rPr>
          <w:rFonts w:eastAsia="Times New Roman" w:cstheme="minorHAnsi"/>
          <w:szCs w:val="24"/>
        </w:rPr>
        <w:t>. Applicants should include clear cross-references, identifying the</w:t>
      </w:r>
      <w:r w:rsidR="00D60336" w:rsidRPr="00CF46B6">
        <w:rPr>
          <w:rFonts w:eastAsia="Times New Roman" w:cstheme="minorHAnsi"/>
          <w:szCs w:val="24"/>
        </w:rPr>
        <w:t xml:space="preserve"> </w:t>
      </w:r>
      <w:r w:rsidR="00686F3A" w:rsidRPr="00CF46B6">
        <w:rPr>
          <w:rFonts w:eastAsia="Times New Roman" w:cstheme="minorHAnsi"/>
          <w:szCs w:val="24"/>
        </w:rPr>
        <w:t>particular</w:t>
      </w:r>
      <w:r w:rsidR="00CD570E">
        <w:rPr>
          <w:rFonts w:eastAsia="Times New Roman" w:cstheme="minorHAnsi"/>
          <w:szCs w:val="24"/>
        </w:rPr>
        <w:t xml:space="preserve"> parts of the</w:t>
      </w:r>
      <w:r w:rsidR="00686F3A" w:rsidRPr="00CF46B6">
        <w:rPr>
          <w:rFonts w:eastAsia="Times New Roman" w:cstheme="minorHAnsi"/>
          <w:szCs w:val="24"/>
        </w:rPr>
        <w:t xml:space="preserve"> </w:t>
      </w:r>
      <w:r w:rsidR="00194839">
        <w:rPr>
          <w:rFonts w:eastAsia="Times New Roman" w:cstheme="minorHAnsi"/>
          <w:szCs w:val="24"/>
        </w:rPr>
        <w:t xml:space="preserve">information or documents </w:t>
      </w:r>
      <w:r w:rsidRPr="00CF46B6">
        <w:rPr>
          <w:rFonts w:eastAsia="Times New Roman" w:cstheme="minorHAnsi"/>
          <w:szCs w:val="24"/>
        </w:rPr>
        <w:t xml:space="preserve">to which </w:t>
      </w:r>
      <w:r w:rsidR="00686F3A" w:rsidRPr="00CF46B6">
        <w:rPr>
          <w:rFonts w:eastAsia="Times New Roman" w:cstheme="minorHAnsi"/>
          <w:szCs w:val="24"/>
        </w:rPr>
        <w:t>each claim for confidentiality</w:t>
      </w:r>
      <w:r w:rsidRPr="00CF46B6">
        <w:rPr>
          <w:rFonts w:eastAsia="Times New Roman" w:cstheme="minorHAnsi"/>
          <w:szCs w:val="24"/>
        </w:rPr>
        <w:t xml:space="preserve"> relates. </w:t>
      </w:r>
      <w:r w:rsidR="00EF7456" w:rsidRPr="00CF46B6">
        <w:rPr>
          <w:rFonts w:eastAsia="Times New Roman" w:cstheme="minorHAnsi"/>
          <w:b/>
          <w:bCs/>
          <w:szCs w:val="24"/>
        </w:rPr>
        <w:t>W</w:t>
      </w:r>
      <w:r w:rsidRPr="00CF46B6">
        <w:rPr>
          <w:rFonts w:eastAsia="Times New Roman" w:cstheme="minorHAnsi"/>
          <w:b/>
          <w:bCs/>
          <w:szCs w:val="24"/>
        </w:rPr>
        <w:t>e are not responsible for the identification of confidential information</w:t>
      </w:r>
      <w:r w:rsidRPr="00CF46B6">
        <w:rPr>
          <w:rFonts w:eastAsia="Times New Roman" w:cstheme="minorHAnsi"/>
          <w:szCs w:val="24"/>
        </w:rPr>
        <w:t>.</w:t>
      </w:r>
    </w:p>
    <w:p w14:paraId="1F6C0F15" w14:textId="358854EE" w:rsidR="00B245E8" w:rsidRPr="00276DDB" w:rsidRDefault="00B245E8" w:rsidP="00B245E8">
      <w:pPr>
        <w:rPr>
          <w:rFonts w:eastAsia="Times New Roman" w:cstheme="minorHAnsi"/>
          <w:szCs w:val="24"/>
        </w:rPr>
      </w:pPr>
      <w:r w:rsidRPr="00B10594">
        <w:rPr>
          <w:rFonts w:eastAsia="Times New Roman" w:cstheme="minorHAnsi"/>
          <w:szCs w:val="24"/>
        </w:rPr>
        <w:t xml:space="preserve">Where </w:t>
      </w:r>
      <w:r>
        <w:rPr>
          <w:rFonts w:eastAsia="Times New Roman" w:cstheme="minorHAnsi"/>
          <w:szCs w:val="24"/>
        </w:rPr>
        <w:t>we</w:t>
      </w:r>
      <w:r w:rsidRPr="00B10594">
        <w:rPr>
          <w:rFonts w:eastAsia="Times New Roman" w:cstheme="minorHAnsi"/>
          <w:szCs w:val="24"/>
        </w:rPr>
        <w:t xml:space="preserve"> consider that </w:t>
      </w:r>
      <w:r>
        <w:rPr>
          <w:rFonts w:eastAsia="Times New Roman" w:cstheme="minorHAnsi"/>
          <w:szCs w:val="24"/>
        </w:rPr>
        <w:t>information</w:t>
      </w:r>
      <w:r w:rsidRPr="00B10594">
        <w:rPr>
          <w:rFonts w:eastAsia="Times New Roman" w:cstheme="minorHAnsi"/>
          <w:szCs w:val="24"/>
        </w:rPr>
        <w:t xml:space="preserve"> </w:t>
      </w:r>
      <w:r w:rsidR="00AD6050">
        <w:rPr>
          <w:rFonts w:eastAsia="Times New Roman" w:cstheme="minorHAnsi"/>
          <w:szCs w:val="24"/>
        </w:rPr>
        <w:t xml:space="preserve">or documents </w:t>
      </w:r>
      <w:r w:rsidR="00AD6050" w:rsidRPr="00B10594">
        <w:rPr>
          <w:rFonts w:eastAsia="Times New Roman" w:cstheme="minorHAnsi"/>
          <w:szCs w:val="24"/>
        </w:rPr>
        <w:t>ha</w:t>
      </w:r>
      <w:r w:rsidR="00AD6050">
        <w:rPr>
          <w:rFonts w:eastAsia="Times New Roman" w:cstheme="minorHAnsi"/>
          <w:szCs w:val="24"/>
        </w:rPr>
        <w:t>ve</w:t>
      </w:r>
      <w:r w:rsidR="00AD6050" w:rsidRPr="00B10594">
        <w:rPr>
          <w:rFonts w:eastAsia="Times New Roman" w:cstheme="minorHAnsi"/>
          <w:szCs w:val="24"/>
        </w:rPr>
        <w:t xml:space="preserve"> </w:t>
      </w:r>
      <w:r w:rsidRPr="00B10594">
        <w:rPr>
          <w:rFonts w:eastAsia="Times New Roman" w:cstheme="minorHAnsi"/>
          <w:szCs w:val="24"/>
        </w:rPr>
        <w:t xml:space="preserve">been inappropriately </w:t>
      </w:r>
      <w:r>
        <w:rPr>
          <w:rFonts w:eastAsia="Times New Roman" w:cstheme="minorHAnsi"/>
          <w:szCs w:val="24"/>
        </w:rPr>
        <w:t>marked</w:t>
      </w:r>
      <w:r w:rsidRPr="00B10594">
        <w:rPr>
          <w:rFonts w:eastAsia="Times New Roman" w:cstheme="minorHAnsi"/>
          <w:szCs w:val="24"/>
        </w:rPr>
        <w:t xml:space="preserve"> as </w:t>
      </w:r>
      <w:r>
        <w:rPr>
          <w:rFonts w:eastAsia="Times New Roman" w:cstheme="minorHAnsi"/>
          <w:szCs w:val="24"/>
        </w:rPr>
        <w:t xml:space="preserve">confidential, we </w:t>
      </w:r>
      <w:r w:rsidRPr="00B10594">
        <w:rPr>
          <w:rFonts w:eastAsia="Times New Roman" w:cstheme="minorHAnsi"/>
          <w:szCs w:val="24"/>
        </w:rPr>
        <w:t>will</w:t>
      </w:r>
      <w:r>
        <w:rPr>
          <w:rFonts w:eastAsia="Times New Roman" w:cstheme="minorHAnsi"/>
          <w:szCs w:val="24"/>
        </w:rPr>
        <w:t xml:space="preserve"> discuss this with the applicant. Further, we may be required to release information</w:t>
      </w:r>
      <w:r w:rsidR="00AD6050">
        <w:rPr>
          <w:rFonts w:eastAsia="Times New Roman" w:cstheme="minorHAnsi"/>
          <w:szCs w:val="24"/>
        </w:rPr>
        <w:t xml:space="preserve"> or documents</w:t>
      </w:r>
      <w:r>
        <w:rPr>
          <w:rFonts w:eastAsia="Times New Roman" w:cstheme="minorHAnsi"/>
          <w:szCs w:val="24"/>
        </w:rPr>
        <w:t xml:space="preserve"> the applicant may consider confidential under the </w:t>
      </w:r>
      <w:r w:rsidRPr="00EF7456">
        <w:rPr>
          <w:rFonts w:eastAsia="Times New Roman" w:cstheme="minorHAnsi"/>
          <w:i/>
          <w:iCs/>
          <w:szCs w:val="24"/>
        </w:rPr>
        <w:t>Freedom of Information Act 1982</w:t>
      </w:r>
      <w:r>
        <w:rPr>
          <w:rFonts w:eastAsia="Times New Roman" w:cstheme="minorHAnsi"/>
          <w:szCs w:val="24"/>
        </w:rPr>
        <w:t>.</w:t>
      </w:r>
    </w:p>
    <w:p w14:paraId="0F8B49C9" w14:textId="77777777" w:rsidR="00B245E8" w:rsidRPr="00276DDB" w:rsidRDefault="00B245E8" w:rsidP="00B245E8">
      <w:pPr>
        <w:pStyle w:val="Heading3numbered"/>
        <w:numPr>
          <w:ilvl w:val="2"/>
          <w:numId w:val="11"/>
        </w:numPr>
      </w:pPr>
      <w:bookmarkStart w:id="60" w:name="_Toc151982561"/>
      <w:bookmarkStart w:id="61" w:name="_Toc56515868"/>
      <w:bookmarkStart w:id="62" w:name="_Toc127875390"/>
      <w:r w:rsidRPr="00276DDB">
        <w:t>Submissions</w:t>
      </w:r>
      <w:bookmarkEnd w:id="60"/>
      <w:bookmarkEnd w:id="61"/>
      <w:bookmarkEnd w:id="62"/>
    </w:p>
    <w:p w14:paraId="6D9A5D7D" w14:textId="2B7E4BAA" w:rsidR="00B245E8" w:rsidRPr="00276DDB" w:rsidRDefault="00B245E8" w:rsidP="00B245E8">
      <w:pPr>
        <w:rPr>
          <w:rFonts w:eastAsia="Times New Roman" w:cstheme="minorHAnsi"/>
          <w:szCs w:val="24"/>
        </w:rPr>
      </w:pPr>
      <w:r>
        <w:rPr>
          <w:rFonts w:eastAsia="Times New Roman" w:cstheme="minorHAnsi"/>
          <w:szCs w:val="24"/>
        </w:rPr>
        <w:t xml:space="preserve">We accept submissions </w:t>
      </w:r>
      <w:r w:rsidRPr="00276DDB">
        <w:rPr>
          <w:rFonts w:eastAsia="Times New Roman" w:cstheme="minorHAnsi"/>
          <w:szCs w:val="24"/>
        </w:rPr>
        <w:t>from all interested persons. An interested person can include industry bodies, regulators, private sector operators</w:t>
      </w:r>
      <w:r>
        <w:rPr>
          <w:rFonts w:eastAsia="Times New Roman" w:cstheme="minorHAnsi"/>
          <w:szCs w:val="24"/>
        </w:rPr>
        <w:t xml:space="preserve">, </w:t>
      </w:r>
      <w:r w:rsidRPr="00276DDB">
        <w:rPr>
          <w:rFonts w:eastAsia="Times New Roman" w:cstheme="minorHAnsi"/>
          <w:szCs w:val="24"/>
        </w:rPr>
        <w:t xml:space="preserve">community </w:t>
      </w:r>
      <w:r>
        <w:rPr>
          <w:rFonts w:eastAsia="Times New Roman" w:cstheme="minorHAnsi"/>
          <w:szCs w:val="24"/>
        </w:rPr>
        <w:t>groups and</w:t>
      </w:r>
      <w:r w:rsidRPr="00276DDB">
        <w:rPr>
          <w:rFonts w:eastAsia="Times New Roman" w:cstheme="minorHAnsi"/>
          <w:szCs w:val="24"/>
        </w:rPr>
        <w:t xml:space="preserve"> </w:t>
      </w:r>
      <w:r w:rsidR="00663D41">
        <w:rPr>
          <w:rFonts w:eastAsia="Times New Roman" w:cstheme="minorHAnsi"/>
          <w:szCs w:val="24"/>
        </w:rPr>
        <w:t>members of the public</w:t>
      </w:r>
      <w:r w:rsidRPr="00276DDB">
        <w:rPr>
          <w:rFonts w:eastAsia="Times New Roman" w:cstheme="minorHAnsi"/>
          <w:szCs w:val="24"/>
        </w:rPr>
        <w:t xml:space="preserve">.  </w:t>
      </w:r>
    </w:p>
    <w:p w14:paraId="56016A76" w14:textId="62D70079" w:rsidR="00B245E8" w:rsidRPr="00276DDB" w:rsidRDefault="00B245E8" w:rsidP="00B245E8">
      <w:pPr>
        <w:rPr>
          <w:rFonts w:eastAsia="Times New Roman" w:cstheme="minorHAnsi"/>
          <w:szCs w:val="24"/>
        </w:rPr>
      </w:pPr>
      <w:r w:rsidRPr="00276DDB">
        <w:rPr>
          <w:rFonts w:eastAsia="Times New Roman" w:cstheme="minorHAnsi"/>
          <w:szCs w:val="24"/>
        </w:rPr>
        <w:t xml:space="preserve">All submissions received, except those that are </w:t>
      </w:r>
      <w:r w:rsidR="0065609A">
        <w:rPr>
          <w:rFonts w:eastAsia="Times New Roman" w:cstheme="minorHAnsi"/>
          <w:szCs w:val="24"/>
        </w:rPr>
        <w:t>confidential</w:t>
      </w:r>
      <w:r w:rsidRPr="00276DDB">
        <w:rPr>
          <w:rFonts w:eastAsia="Times New Roman" w:cstheme="minorHAnsi"/>
          <w:szCs w:val="24"/>
        </w:rPr>
        <w:t xml:space="preserve">, are published on </w:t>
      </w:r>
      <w:r>
        <w:rPr>
          <w:rFonts w:eastAsia="Times New Roman" w:cstheme="minorHAnsi"/>
          <w:szCs w:val="24"/>
        </w:rPr>
        <w:t xml:space="preserve">our </w:t>
      </w:r>
      <w:r w:rsidRPr="00276DDB">
        <w:rPr>
          <w:rFonts w:eastAsia="Times New Roman" w:cstheme="minorHAnsi"/>
          <w:szCs w:val="24"/>
        </w:rPr>
        <w:t xml:space="preserve">website. Submissions are </w:t>
      </w:r>
      <w:r>
        <w:rPr>
          <w:rFonts w:eastAsia="Times New Roman" w:cstheme="minorHAnsi"/>
          <w:szCs w:val="24"/>
        </w:rPr>
        <w:t xml:space="preserve">published </w:t>
      </w:r>
      <w:r w:rsidRPr="00276DDB">
        <w:rPr>
          <w:rFonts w:eastAsia="Times New Roman" w:cstheme="minorHAnsi"/>
          <w:szCs w:val="24"/>
        </w:rPr>
        <w:t xml:space="preserve">in accordance with </w:t>
      </w:r>
      <w:r>
        <w:rPr>
          <w:rFonts w:eastAsia="Times New Roman" w:cstheme="minorHAnsi"/>
          <w:szCs w:val="24"/>
        </w:rPr>
        <w:t xml:space="preserve">our </w:t>
      </w:r>
      <w:hyperlink r:id="rId35" w:history="1">
        <w:r w:rsidRPr="00A3364D">
          <w:rPr>
            <w:rStyle w:val="Hyperlink"/>
            <w:rFonts w:eastAsia="Times New Roman" w:cstheme="minorHAnsi"/>
            <w:szCs w:val="24"/>
          </w:rPr>
          <w:t>submissions policy</w:t>
        </w:r>
      </w:hyperlink>
      <w:r>
        <w:rPr>
          <w:rFonts w:eastAsia="Times New Roman" w:cstheme="minorHAnsi"/>
          <w:szCs w:val="24"/>
        </w:rPr>
        <w:t>.</w:t>
      </w:r>
    </w:p>
    <w:p w14:paraId="0F5E19FF" w14:textId="77777777" w:rsidR="00B245E8" w:rsidRDefault="00B245E8" w:rsidP="00B245E8">
      <w:pPr>
        <w:rPr>
          <w:rFonts w:eastAsia="Times New Roman" w:cstheme="minorHAnsi"/>
          <w:szCs w:val="24"/>
        </w:rPr>
      </w:pPr>
      <w:r>
        <w:rPr>
          <w:rFonts w:eastAsia="Times New Roman" w:cstheme="minorHAnsi"/>
          <w:szCs w:val="24"/>
        </w:rPr>
        <w:t xml:space="preserve">Where submissions are made, we will notify the applicant in writing and provide copies of any published submissions and summaries of any unpublished submissions. The applicant will be provided with an opportunity to respond to the submissions in writing. </w:t>
      </w:r>
    </w:p>
    <w:p w14:paraId="2817F90C" w14:textId="77777777" w:rsidR="00B245E8" w:rsidRPr="00276DDB" w:rsidRDefault="00B245E8" w:rsidP="00B245E8">
      <w:pPr>
        <w:pStyle w:val="Heading3numbered"/>
        <w:numPr>
          <w:ilvl w:val="2"/>
          <w:numId w:val="11"/>
        </w:numPr>
      </w:pPr>
      <w:bookmarkStart w:id="63" w:name="_Toc56515869"/>
      <w:bookmarkStart w:id="64" w:name="_Toc127875391"/>
      <w:r>
        <w:t>Consideration of the application</w:t>
      </w:r>
      <w:bookmarkEnd w:id="63"/>
      <w:bookmarkEnd w:id="64"/>
    </w:p>
    <w:p w14:paraId="3AB9F7AF" w14:textId="4DA68430" w:rsidR="00B245E8" w:rsidRDefault="00B245E8" w:rsidP="00B245E8">
      <w:pPr>
        <w:rPr>
          <w:rFonts w:eastAsia="Times New Roman" w:cstheme="minorHAnsi"/>
          <w:szCs w:val="24"/>
        </w:rPr>
      </w:pPr>
      <w:r>
        <w:rPr>
          <w:rFonts w:eastAsia="Times New Roman" w:cstheme="minorHAnsi"/>
          <w:szCs w:val="24"/>
        </w:rPr>
        <w:t xml:space="preserve">We will consider the application following the </w:t>
      </w:r>
      <w:r w:rsidR="00663D41">
        <w:rPr>
          <w:rFonts w:eastAsia="Times New Roman" w:cstheme="minorHAnsi"/>
          <w:szCs w:val="24"/>
        </w:rPr>
        <w:t xml:space="preserve">consultation </w:t>
      </w:r>
      <w:r>
        <w:rPr>
          <w:rFonts w:eastAsia="Times New Roman" w:cstheme="minorHAnsi"/>
          <w:szCs w:val="24"/>
        </w:rPr>
        <w:t>period and the receipt of any response from the applicant in relation to the submissions.</w:t>
      </w:r>
    </w:p>
    <w:p w14:paraId="0B5FC281" w14:textId="77777777" w:rsidR="00B245E8" w:rsidRDefault="00B245E8" w:rsidP="00B245E8">
      <w:pPr>
        <w:rPr>
          <w:rFonts w:eastAsia="Times New Roman" w:cstheme="minorHAnsi"/>
          <w:szCs w:val="24"/>
        </w:rPr>
      </w:pPr>
      <w:r>
        <w:rPr>
          <w:rFonts w:eastAsia="Times New Roman" w:cstheme="minorHAnsi"/>
          <w:szCs w:val="24"/>
        </w:rPr>
        <w:t xml:space="preserve">In doing so, we consider all relevant material, including all material provided by an applicant in support of its application, any submissions made by interested persons and any responses by the applicant. </w:t>
      </w:r>
    </w:p>
    <w:p w14:paraId="73B57EBD" w14:textId="34B2129E" w:rsidR="00B245E8" w:rsidRDefault="00B245E8" w:rsidP="00B245E8">
      <w:pPr>
        <w:rPr>
          <w:rFonts w:eastAsia="Times New Roman" w:cstheme="minorHAnsi"/>
          <w:szCs w:val="24"/>
        </w:rPr>
      </w:pPr>
      <w:r>
        <w:rPr>
          <w:rFonts w:eastAsia="Times New Roman" w:cstheme="minorHAnsi"/>
          <w:szCs w:val="24"/>
        </w:rPr>
        <w:t xml:space="preserve">We may </w:t>
      </w:r>
      <w:r w:rsidR="00DA64F9">
        <w:rPr>
          <w:rFonts w:eastAsia="Times New Roman" w:cstheme="minorHAnsi"/>
          <w:szCs w:val="24"/>
        </w:rPr>
        <w:t>consider</w:t>
      </w:r>
      <w:r>
        <w:rPr>
          <w:rFonts w:eastAsia="Times New Roman" w:cstheme="minorHAnsi"/>
          <w:szCs w:val="24"/>
        </w:rPr>
        <w:t xml:space="preserve"> material obtained from other sources and may seek advice from external consultants and others in relation to any relevant matters, including to review the accuracy and reliability of information provided by an applicant.</w:t>
      </w:r>
      <w:r w:rsidDel="00D81F54">
        <w:rPr>
          <w:rFonts w:eastAsia="Times New Roman" w:cstheme="minorHAnsi"/>
          <w:szCs w:val="24"/>
        </w:rPr>
        <w:t xml:space="preserve"> </w:t>
      </w:r>
    </w:p>
    <w:p w14:paraId="0B12D34D" w14:textId="38C1ADD8" w:rsidR="00835443" w:rsidRDefault="00835443" w:rsidP="00B245E8">
      <w:pPr>
        <w:pStyle w:val="Heading3numbered"/>
        <w:numPr>
          <w:ilvl w:val="2"/>
          <w:numId w:val="11"/>
        </w:numPr>
      </w:pPr>
      <w:bookmarkStart w:id="65" w:name="_Toc127875392"/>
      <w:bookmarkStart w:id="66" w:name="_Toc151982563"/>
      <w:bookmarkStart w:id="67" w:name="_Toc56515870"/>
      <w:r>
        <w:lastRenderedPageBreak/>
        <w:t>Consideration of draft licence by applicant</w:t>
      </w:r>
      <w:bookmarkEnd w:id="65"/>
    </w:p>
    <w:p w14:paraId="793719FF" w14:textId="3A81F7CA" w:rsidR="00835443" w:rsidRPr="00835443" w:rsidRDefault="00835443" w:rsidP="001D60D2">
      <w:r>
        <w:t xml:space="preserve">We will provide applicants with a copy of the draft licence for consideration prior to the commission’s decision. </w:t>
      </w:r>
    </w:p>
    <w:p w14:paraId="14CC1B7D" w14:textId="05F109D5" w:rsidR="00B245E8" w:rsidRPr="00276DDB" w:rsidRDefault="00B245E8" w:rsidP="00B245E8">
      <w:pPr>
        <w:pStyle w:val="Heading3numbered"/>
        <w:numPr>
          <w:ilvl w:val="2"/>
          <w:numId w:val="11"/>
        </w:numPr>
      </w:pPr>
      <w:bookmarkStart w:id="68" w:name="_Toc127875393"/>
      <w:r>
        <w:t>D</w:t>
      </w:r>
      <w:r w:rsidRPr="00276DDB">
        <w:t>ecision</w:t>
      </w:r>
      <w:bookmarkEnd w:id="66"/>
      <w:r>
        <w:t xml:space="preserve"> and notification</w:t>
      </w:r>
      <w:bookmarkEnd w:id="67"/>
      <w:bookmarkEnd w:id="68"/>
    </w:p>
    <w:p w14:paraId="75474394" w14:textId="7A1F52AC" w:rsidR="00B245E8" w:rsidRDefault="00B245E8" w:rsidP="00B245E8">
      <w:pPr>
        <w:rPr>
          <w:rFonts w:eastAsia="Times New Roman" w:cstheme="minorHAnsi"/>
          <w:szCs w:val="24"/>
        </w:rPr>
      </w:pPr>
      <w:r>
        <w:rPr>
          <w:rFonts w:eastAsia="Times New Roman" w:cstheme="minorHAnsi"/>
          <w:szCs w:val="24"/>
        </w:rPr>
        <w:t xml:space="preserve">Applicants will be notified </w:t>
      </w:r>
      <w:r w:rsidRPr="00276DDB">
        <w:rPr>
          <w:rFonts w:eastAsia="Times New Roman" w:cstheme="minorHAnsi"/>
          <w:szCs w:val="24"/>
        </w:rPr>
        <w:t xml:space="preserve">in writing </w:t>
      </w:r>
      <w:r>
        <w:rPr>
          <w:rFonts w:eastAsia="Times New Roman" w:cstheme="minorHAnsi"/>
          <w:szCs w:val="24"/>
        </w:rPr>
        <w:t xml:space="preserve">of our </w:t>
      </w:r>
      <w:r w:rsidRPr="00276DDB">
        <w:rPr>
          <w:rFonts w:eastAsia="Times New Roman" w:cstheme="minorHAnsi"/>
          <w:szCs w:val="24"/>
        </w:rPr>
        <w:t>decision</w:t>
      </w:r>
      <w:r>
        <w:rPr>
          <w:rFonts w:eastAsia="Times New Roman" w:cstheme="minorHAnsi"/>
          <w:szCs w:val="24"/>
        </w:rPr>
        <w:t xml:space="preserve"> to grant or refuse an application </w:t>
      </w:r>
      <w:r w:rsidRPr="00276DDB">
        <w:rPr>
          <w:rFonts w:eastAsia="Times New Roman" w:cstheme="minorHAnsi"/>
          <w:szCs w:val="24"/>
        </w:rPr>
        <w:t xml:space="preserve">and the decision will be </w:t>
      </w:r>
      <w:r w:rsidR="00663D41">
        <w:rPr>
          <w:rFonts w:eastAsia="Times New Roman" w:cstheme="minorHAnsi"/>
          <w:szCs w:val="24"/>
        </w:rPr>
        <w:t>published</w:t>
      </w:r>
      <w:r w:rsidR="00663D41" w:rsidRPr="00276DDB">
        <w:rPr>
          <w:rFonts w:eastAsia="Times New Roman" w:cstheme="minorHAnsi"/>
          <w:szCs w:val="24"/>
        </w:rPr>
        <w:t xml:space="preserve"> </w:t>
      </w:r>
      <w:r w:rsidRPr="00276DDB">
        <w:rPr>
          <w:rFonts w:eastAsia="Times New Roman" w:cstheme="minorHAnsi"/>
          <w:szCs w:val="24"/>
        </w:rPr>
        <w:t xml:space="preserve">on </w:t>
      </w:r>
      <w:r w:rsidR="00663D41">
        <w:rPr>
          <w:rFonts w:eastAsia="Times New Roman" w:cstheme="minorHAnsi"/>
          <w:szCs w:val="24"/>
        </w:rPr>
        <w:t xml:space="preserve">the commission’s </w:t>
      </w:r>
      <w:r>
        <w:rPr>
          <w:rFonts w:eastAsia="Times New Roman" w:cstheme="minorHAnsi"/>
          <w:szCs w:val="24"/>
        </w:rPr>
        <w:t xml:space="preserve">website. </w:t>
      </w:r>
      <w:r w:rsidR="00663D41">
        <w:rPr>
          <w:rFonts w:eastAsia="Times New Roman" w:cstheme="minorHAnsi"/>
          <w:szCs w:val="24"/>
        </w:rPr>
        <w:t>Parties</w:t>
      </w:r>
      <w:r w:rsidR="00663D41" w:rsidRPr="00276DDB">
        <w:rPr>
          <w:rFonts w:eastAsia="Times New Roman" w:cstheme="minorHAnsi"/>
          <w:szCs w:val="24"/>
        </w:rPr>
        <w:t xml:space="preserve"> </w:t>
      </w:r>
      <w:r w:rsidRPr="00276DDB">
        <w:rPr>
          <w:rFonts w:eastAsia="Times New Roman" w:cstheme="minorHAnsi"/>
          <w:szCs w:val="24"/>
        </w:rPr>
        <w:t xml:space="preserve">who </w:t>
      </w:r>
      <w:r>
        <w:rPr>
          <w:rFonts w:eastAsia="Times New Roman" w:cstheme="minorHAnsi"/>
          <w:szCs w:val="24"/>
        </w:rPr>
        <w:t xml:space="preserve">made </w:t>
      </w:r>
      <w:r w:rsidRPr="00276DDB">
        <w:rPr>
          <w:rFonts w:eastAsia="Times New Roman" w:cstheme="minorHAnsi"/>
          <w:szCs w:val="24"/>
        </w:rPr>
        <w:t xml:space="preserve">submissions will </w:t>
      </w:r>
      <w:r>
        <w:rPr>
          <w:rFonts w:eastAsia="Times New Roman" w:cstheme="minorHAnsi"/>
          <w:szCs w:val="24"/>
        </w:rPr>
        <w:t xml:space="preserve">also </w:t>
      </w:r>
      <w:r w:rsidRPr="00276DDB">
        <w:rPr>
          <w:rFonts w:eastAsia="Times New Roman" w:cstheme="minorHAnsi"/>
          <w:szCs w:val="24"/>
        </w:rPr>
        <w:t xml:space="preserve">be notified of </w:t>
      </w:r>
      <w:r>
        <w:rPr>
          <w:rFonts w:eastAsia="Times New Roman" w:cstheme="minorHAnsi"/>
          <w:szCs w:val="24"/>
        </w:rPr>
        <w:t>our</w:t>
      </w:r>
      <w:r w:rsidRPr="00276DDB">
        <w:rPr>
          <w:rFonts w:eastAsia="Times New Roman" w:cstheme="minorHAnsi"/>
          <w:szCs w:val="24"/>
        </w:rPr>
        <w:t xml:space="preserve"> decisio</w:t>
      </w:r>
      <w:r>
        <w:rPr>
          <w:rFonts w:eastAsia="Times New Roman" w:cstheme="minorHAnsi"/>
          <w:szCs w:val="24"/>
        </w:rPr>
        <w:t>n</w:t>
      </w:r>
      <w:r w:rsidRPr="00276DDB">
        <w:rPr>
          <w:rFonts w:eastAsia="Times New Roman" w:cstheme="minorHAnsi"/>
          <w:szCs w:val="24"/>
        </w:rPr>
        <w:t xml:space="preserve">.  </w:t>
      </w:r>
    </w:p>
    <w:p w14:paraId="49F8754F" w14:textId="77777777" w:rsidR="00B245E8" w:rsidRPr="00276DDB" w:rsidRDefault="00B245E8" w:rsidP="00B245E8">
      <w:pPr>
        <w:rPr>
          <w:rFonts w:eastAsia="Times New Roman" w:cstheme="minorHAnsi"/>
          <w:szCs w:val="24"/>
        </w:rPr>
      </w:pPr>
      <w:r>
        <w:rPr>
          <w:rFonts w:eastAsia="Times New Roman" w:cstheme="minorHAnsi"/>
          <w:szCs w:val="24"/>
        </w:rPr>
        <w:t xml:space="preserve">We will also publish any </w:t>
      </w:r>
      <w:r w:rsidRPr="00276DDB">
        <w:rPr>
          <w:rFonts w:eastAsia="Times New Roman" w:cstheme="minorHAnsi"/>
          <w:szCs w:val="24"/>
        </w:rPr>
        <w:t xml:space="preserve">decision </w:t>
      </w:r>
      <w:r>
        <w:rPr>
          <w:rFonts w:eastAsia="Times New Roman" w:cstheme="minorHAnsi"/>
          <w:szCs w:val="24"/>
        </w:rPr>
        <w:t xml:space="preserve">to grant a licence </w:t>
      </w:r>
      <w:r w:rsidRPr="00276DDB">
        <w:rPr>
          <w:rFonts w:eastAsia="Times New Roman" w:cstheme="minorHAnsi"/>
          <w:szCs w:val="24"/>
        </w:rPr>
        <w:t xml:space="preserve">in the Victorian Government </w:t>
      </w:r>
      <w:r>
        <w:rPr>
          <w:rFonts w:eastAsia="Times New Roman" w:cstheme="minorHAnsi"/>
          <w:szCs w:val="24"/>
        </w:rPr>
        <w:t>Gazette.</w:t>
      </w:r>
      <w:r>
        <w:rPr>
          <w:rStyle w:val="FootnoteReference"/>
          <w:rFonts w:eastAsia="Times New Roman" w:cstheme="minorHAnsi"/>
          <w:szCs w:val="24"/>
        </w:rPr>
        <w:footnoteReference w:id="5"/>
      </w:r>
      <w:r>
        <w:rPr>
          <w:rFonts w:eastAsia="Times New Roman" w:cstheme="minorHAnsi"/>
          <w:szCs w:val="24"/>
        </w:rPr>
        <w:t xml:space="preserve"> </w:t>
      </w:r>
    </w:p>
    <w:p w14:paraId="5BB92AF1" w14:textId="12315070" w:rsidR="00B245E8" w:rsidRDefault="00B245E8" w:rsidP="00B245E8">
      <w:pPr>
        <w:rPr>
          <w:rFonts w:eastAsia="Times New Roman" w:cstheme="minorHAnsi"/>
          <w:szCs w:val="24"/>
        </w:rPr>
      </w:pPr>
      <w:r w:rsidRPr="00276DDB">
        <w:rPr>
          <w:rFonts w:eastAsia="Times New Roman" w:cstheme="minorHAnsi"/>
          <w:szCs w:val="24"/>
        </w:rPr>
        <w:t xml:space="preserve">In the event of a refusal to grant a licence, </w:t>
      </w:r>
      <w:r>
        <w:rPr>
          <w:rFonts w:eastAsia="Times New Roman" w:cstheme="minorHAnsi"/>
          <w:szCs w:val="24"/>
        </w:rPr>
        <w:t>we</w:t>
      </w:r>
      <w:r w:rsidRPr="00276DDB">
        <w:rPr>
          <w:rFonts w:eastAsia="Times New Roman" w:cstheme="minorHAnsi"/>
          <w:szCs w:val="24"/>
        </w:rPr>
        <w:t xml:space="preserve"> will provide </w:t>
      </w:r>
      <w:r>
        <w:rPr>
          <w:rFonts w:eastAsia="Times New Roman" w:cstheme="minorHAnsi"/>
          <w:szCs w:val="24"/>
        </w:rPr>
        <w:t xml:space="preserve">the applicant with our </w:t>
      </w:r>
      <w:r w:rsidRPr="00276DDB">
        <w:rPr>
          <w:rFonts w:eastAsia="Times New Roman" w:cstheme="minorHAnsi"/>
          <w:szCs w:val="24"/>
        </w:rPr>
        <w:t>reasons for the refusal</w:t>
      </w:r>
      <w:r>
        <w:rPr>
          <w:rFonts w:eastAsia="Times New Roman" w:cstheme="minorHAnsi"/>
          <w:szCs w:val="24"/>
        </w:rPr>
        <w:t>.</w:t>
      </w:r>
      <w:r>
        <w:rPr>
          <w:rStyle w:val="FootnoteReference"/>
          <w:rFonts w:eastAsia="Times New Roman" w:cstheme="minorHAnsi"/>
          <w:szCs w:val="24"/>
        </w:rPr>
        <w:footnoteReference w:id="6"/>
      </w:r>
      <w:r w:rsidRPr="00276DDB">
        <w:rPr>
          <w:rFonts w:eastAsia="Times New Roman" w:cstheme="minorHAnsi"/>
          <w:szCs w:val="24"/>
        </w:rPr>
        <w:t xml:space="preserve"> </w:t>
      </w:r>
    </w:p>
    <w:p w14:paraId="69B1582F" w14:textId="09A29A80" w:rsidR="00B245E8" w:rsidRDefault="00B245E8" w:rsidP="00B245E8">
      <w:pPr>
        <w:rPr>
          <w:rFonts w:eastAsia="Times New Roman" w:cstheme="minorHAnsi"/>
          <w:szCs w:val="24"/>
        </w:rPr>
      </w:pPr>
      <w:r>
        <w:rPr>
          <w:rFonts w:eastAsia="Times New Roman" w:cstheme="minorHAnsi"/>
          <w:szCs w:val="24"/>
        </w:rPr>
        <w:t>Licences are issued subject to such conditions as are decided by us.</w:t>
      </w:r>
      <w:r>
        <w:rPr>
          <w:rStyle w:val="FootnoteReference"/>
          <w:rFonts w:eastAsia="Times New Roman" w:cstheme="minorHAnsi"/>
          <w:szCs w:val="24"/>
        </w:rPr>
        <w:footnoteReference w:id="7"/>
      </w:r>
      <w:r w:rsidR="00A41305">
        <w:rPr>
          <w:rFonts w:eastAsia="Times New Roman" w:cstheme="minorHAnsi"/>
          <w:szCs w:val="24"/>
        </w:rPr>
        <w:t xml:space="preserve"> A copy of each licence issued by the commission is published on our </w:t>
      </w:r>
      <w:hyperlink r:id="rId36" w:anchor="tabs-container2" w:history="1">
        <w:r w:rsidR="00A41305" w:rsidRPr="00A41305">
          <w:rPr>
            <w:rStyle w:val="Hyperlink"/>
            <w:rFonts w:eastAsia="Times New Roman" w:cstheme="minorHAnsi"/>
            <w:szCs w:val="24"/>
          </w:rPr>
          <w:t>website</w:t>
        </w:r>
      </w:hyperlink>
      <w:r w:rsidR="00A41305">
        <w:rPr>
          <w:rFonts w:eastAsia="Times New Roman" w:cstheme="minorHAnsi"/>
          <w:szCs w:val="24"/>
        </w:rPr>
        <w:t>.</w:t>
      </w:r>
      <w:r w:rsidR="00DD0301">
        <w:rPr>
          <w:rFonts w:eastAsia="Times New Roman" w:cstheme="minorHAnsi"/>
          <w:szCs w:val="24"/>
        </w:rPr>
        <w:t xml:space="preserve"> </w:t>
      </w:r>
    </w:p>
    <w:p w14:paraId="008DC53C" w14:textId="77777777" w:rsidR="003C0629" w:rsidRDefault="003C0629" w:rsidP="00B245E8">
      <w:pPr>
        <w:rPr>
          <w:rFonts w:eastAsia="Times New Roman" w:cstheme="minorHAnsi"/>
          <w:szCs w:val="24"/>
        </w:rPr>
        <w:sectPr w:rsidR="003C0629" w:rsidSect="00DB206F">
          <w:footerReference w:type="default" r:id="rId37"/>
          <w:type w:val="continuous"/>
          <w:pgSz w:w="11906" w:h="16838" w:code="9"/>
          <w:pgMar w:top="1134" w:right="1134" w:bottom="1134" w:left="1134" w:header="709" w:footer="692" w:gutter="0"/>
          <w:cols w:space="708"/>
          <w:docGrid w:linePitch="360"/>
        </w:sectPr>
      </w:pPr>
    </w:p>
    <w:p w14:paraId="5390EDD9" w14:textId="77777777" w:rsidR="00B245E8" w:rsidRDefault="00B245E8" w:rsidP="00B245E8">
      <w:pPr>
        <w:rPr>
          <w:rFonts w:eastAsia="Times New Roman" w:cstheme="minorHAnsi"/>
          <w:szCs w:val="24"/>
        </w:rPr>
      </w:pPr>
    </w:p>
    <w:p w14:paraId="7A017173" w14:textId="77777777" w:rsidR="00B245E8" w:rsidRDefault="00B245E8" w:rsidP="00B245E8">
      <w:pPr>
        <w:spacing w:before="0" w:line="259" w:lineRule="auto"/>
        <w:rPr>
          <w:rFonts w:eastAsia="Times New Roman" w:cstheme="minorHAnsi"/>
          <w:szCs w:val="24"/>
        </w:rPr>
      </w:pPr>
      <w:r>
        <w:rPr>
          <w:rFonts w:eastAsia="Times New Roman" w:cstheme="minorHAnsi"/>
          <w:szCs w:val="24"/>
        </w:rPr>
        <w:br w:type="page"/>
      </w:r>
    </w:p>
    <w:p w14:paraId="246A3DE4" w14:textId="396A122D" w:rsidR="00B245E8" w:rsidRPr="00C233F2" w:rsidRDefault="00C26E4E" w:rsidP="00B245E8">
      <w:pPr>
        <w:pStyle w:val="Heading1numbered"/>
        <w:numPr>
          <w:ilvl w:val="0"/>
          <w:numId w:val="11"/>
        </w:numPr>
      </w:pPr>
      <w:bookmarkStart w:id="69" w:name="_Toc127875394"/>
      <w:r>
        <w:lastRenderedPageBreak/>
        <w:t>Information required in an application</w:t>
      </w:r>
      <w:bookmarkEnd w:id="69"/>
    </w:p>
    <w:p w14:paraId="1AD52A13" w14:textId="127B6341" w:rsidR="00B245E8" w:rsidRDefault="00B245E8" w:rsidP="00B245E8">
      <w:r>
        <w:t>We may grant or refuse a licence application for any reason we consider appropriate, having regard to our objectives under the</w:t>
      </w:r>
      <w:r w:rsidR="000770D5">
        <w:t xml:space="preserve"> ESC Act, the</w:t>
      </w:r>
      <w:r>
        <w:t xml:space="preserve"> </w:t>
      </w:r>
      <w:r w:rsidRPr="001D60D2">
        <w:rPr>
          <w:i/>
          <w:iCs/>
        </w:rPr>
        <w:t>Electricity Industry Act</w:t>
      </w:r>
      <w:r w:rsidR="00B5050D" w:rsidRPr="001D60D2">
        <w:rPr>
          <w:i/>
          <w:iCs/>
        </w:rPr>
        <w:t xml:space="preserve"> 2000</w:t>
      </w:r>
      <w:r>
        <w:t xml:space="preserve"> and/or </w:t>
      </w:r>
      <w:r w:rsidRPr="001D60D2">
        <w:rPr>
          <w:i/>
          <w:iCs/>
        </w:rPr>
        <w:t>Gas Industry Act</w:t>
      </w:r>
      <w:r w:rsidR="00B5050D" w:rsidRPr="001D60D2">
        <w:rPr>
          <w:i/>
          <w:iCs/>
        </w:rPr>
        <w:t xml:space="preserve"> 2001</w:t>
      </w:r>
      <w:r>
        <w:t>.</w:t>
      </w:r>
      <w:r>
        <w:rPr>
          <w:rStyle w:val="FootnoteReference"/>
        </w:rPr>
        <w:footnoteReference w:id="8"/>
      </w:r>
    </w:p>
    <w:p w14:paraId="7EBBD0FF" w14:textId="77777777" w:rsidR="00B245E8" w:rsidRDefault="00B245E8" w:rsidP="00B245E8">
      <w:r>
        <w:t>Consistent with our objectives, an applicant’s technical capacity and financial viability are central to the consideration of a licence application. We will also consider whether an applicant is a fit and proper person to hold a licence.</w:t>
      </w:r>
    </w:p>
    <w:p w14:paraId="064DCC63" w14:textId="3DBEF6D8" w:rsidR="00B245E8" w:rsidRDefault="00B245E8" w:rsidP="00B245E8">
      <w:r>
        <w:t xml:space="preserve">The applicant must complete the relevant </w:t>
      </w:r>
      <w:hyperlink r:id="rId38" w:history="1">
        <w:r w:rsidRPr="000C65C2">
          <w:rPr>
            <w:rStyle w:val="Hyperlink"/>
          </w:rPr>
          <w:t>application form</w:t>
        </w:r>
      </w:hyperlink>
      <w:r>
        <w:t xml:space="preserve"> available on our website.</w:t>
      </w:r>
    </w:p>
    <w:p w14:paraId="71A6AE48" w14:textId="7209465D" w:rsidR="00B245E8" w:rsidRDefault="00C26E4E" w:rsidP="00B245E8">
      <w:r>
        <w:t>An</w:t>
      </w:r>
      <w:r w:rsidR="00B245E8">
        <w:t xml:space="preserve"> applicant </w:t>
      </w:r>
      <w:r>
        <w:t xml:space="preserve">is required </w:t>
      </w:r>
      <w:r w:rsidR="00B245E8">
        <w:t xml:space="preserve">to provide sufficient information to enable the commission to understand the activities it is proposing to undertake. Applicants must also provide evidence to show that it can meet </w:t>
      </w:r>
      <w:r w:rsidR="00A41305">
        <w:t xml:space="preserve">the </w:t>
      </w:r>
      <w:r w:rsidR="0095186E">
        <w:t xml:space="preserve">statutory </w:t>
      </w:r>
      <w:r w:rsidR="00A41305">
        <w:t xml:space="preserve">criteria for </w:t>
      </w:r>
      <w:r w:rsidR="0095186E">
        <w:t xml:space="preserve">the commission to grant </w:t>
      </w:r>
      <w:r w:rsidR="00A41305">
        <w:t>a licence</w:t>
      </w:r>
      <w:r w:rsidR="00B245E8">
        <w:t>. This may include independent verification that the applicant has the technical capacity to comply with the conditions of the licence and all applicable regulatory requirements, and is financially capable of commencing and sustaining the relevant licensable activity.</w:t>
      </w:r>
    </w:p>
    <w:p w14:paraId="2278E277" w14:textId="77777777" w:rsidR="00B245E8" w:rsidRDefault="00B245E8" w:rsidP="00B245E8">
      <w:r>
        <w:t xml:space="preserve">It is the applicant’s responsibility to ensure that it provides us with accurate and relevant material. Applicants should not rely on us to search for or request information to support any application. </w:t>
      </w:r>
    </w:p>
    <w:p w14:paraId="1294AEB3" w14:textId="77777777" w:rsidR="00B245E8" w:rsidRPr="00D468C1" w:rsidRDefault="00B245E8" w:rsidP="00B245E8">
      <w:r>
        <w:t>All applications are assessed on a case-by-case basis.</w:t>
      </w:r>
    </w:p>
    <w:p w14:paraId="6CFEB6BB" w14:textId="1C9D89F9" w:rsidR="00B245E8" w:rsidRDefault="00B245E8" w:rsidP="00CF46B6">
      <w:pPr>
        <w:pStyle w:val="Pull-out"/>
      </w:pPr>
      <w:r w:rsidRPr="00D468C1">
        <w:rPr>
          <w:b/>
          <w:bCs/>
        </w:rPr>
        <w:t xml:space="preserve">Important note: </w:t>
      </w:r>
      <w:r w:rsidR="00CF1BA1" w:rsidRPr="003E4F60">
        <w:t>T</w:t>
      </w:r>
      <w:r w:rsidRPr="00D468C1">
        <w:t>he information requirements set out in this guide</w:t>
      </w:r>
      <w:r w:rsidR="009C5AB3">
        <w:t>line</w:t>
      </w:r>
      <w:r w:rsidRPr="00D468C1">
        <w:t xml:space="preserve"> </w:t>
      </w:r>
      <w:r w:rsidR="00A41305">
        <w:t xml:space="preserve">and relevant application forms </w:t>
      </w:r>
      <w:r w:rsidR="006E519D">
        <w:t>are</w:t>
      </w:r>
      <w:r w:rsidR="006E519D" w:rsidRPr="00D468C1">
        <w:t xml:space="preserve"> </w:t>
      </w:r>
      <w:r w:rsidRPr="00D468C1">
        <w:t xml:space="preserve">not intended to be an exhaustive list of the information that may ultimately be required by the commission in </w:t>
      </w:r>
      <w:r w:rsidR="003E4F60">
        <w:t>deciding</w:t>
      </w:r>
      <w:r w:rsidRPr="00D468C1">
        <w:t xml:space="preserve"> </w:t>
      </w:r>
      <w:r w:rsidR="00A41305">
        <w:t>a licence</w:t>
      </w:r>
      <w:r w:rsidR="00A41305" w:rsidRPr="00D468C1">
        <w:t xml:space="preserve"> </w:t>
      </w:r>
      <w:r w:rsidRPr="00D468C1">
        <w:t>application. The commission may request further information at any stage prior to making a decision on the application for a</w:t>
      </w:r>
      <w:r>
        <w:t xml:space="preserve"> licence</w:t>
      </w:r>
      <w:r w:rsidRPr="00D468C1">
        <w:t xml:space="preserve">. </w:t>
      </w:r>
      <w:r>
        <w:t>We</w:t>
      </w:r>
      <w:r w:rsidRPr="00CD6343">
        <w:t xml:space="preserve"> may</w:t>
      </w:r>
      <w:r>
        <w:t xml:space="preserve"> depart from the guide</w:t>
      </w:r>
      <w:r w:rsidR="009C5AB3">
        <w:t>line</w:t>
      </w:r>
      <w:r>
        <w:t xml:space="preserve"> and add additional steps to our assessment at our discretion where we consider it appropriate.</w:t>
      </w:r>
    </w:p>
    <w:p w14:paraId="0C1C8439" w14:textId="77777777" w:rsidR="001D60D2" w:rsidRDefault="001D60D2">
      <w:pPr>
        <w:spacing w:before="0" w:line="259" w:lineRule="auto"/>
        <w:rPr>
          <w:rFonts w:ascii="Tahoma" w:eastAsiaTheme="majorEastAsia" w:hAnsi="Tahoma" w:cstheme="majorBidi"/>
          <w:b/>
          <w:sz w:val="26"/>
          <w:szCs w:val="26"/>
        </w:rPr>
      </w:pPr>
      <w:bookmarkStart w:id="70" w:name="_Toc56515872"/>
      <w:r>
        <w:br w:type="page"/>
      </w:r>
    </w:p>
    <w:p w14:paraId="02B51C7F" w14:textId="5DDD413C" w:rsidR="00B245E8" w:rsidRDefault="00B245E8" w:rsidP="00B904DA">
      <w:pPr>
        <w:pStyle w:val="Heading2numbered"/>
        <w:numPr>
          <w:ilvl w:val="1"/>
          <w:numId w:val="11"/>
        </w:numPr>
      </w:pPr>
      <w:bookmarkStart w:id="71" w:name="_Toc127875395"/>
      <w:r>
        <w:lastRenderedPageBreak/>
        <w:t>Information about the applicant and proposed activities</w:t>
      </w:r>
      <w:bookmarkEnd w:id="70"/>
      <w:bookmarkEnd w:id="71"/>
    </w:p>
    <w:p w14:paraId="7912F1A6" w14:textId="6735B863" w:rsidR="00B245E8" w:rsidRDefault="00A41305" w:rsidP="007C6A7E">
      <w:bookmarkStart w:id="72" w:name="_Toc9325119"/>
      <w:bookmarkStart w:id="73" w:name="_Toc11401056"/>
      <w:r>
        <w:t>A</w:t>
      </w:r>
      <w:r w:rsidR="00B245E8">
        <w:t xml:space="preserve">pplicants </w:t>
      </w:r>
      <w:r>
        <w:t xml:space="preserve">must </w:t>
      </w:r>
      <w:r w:rsidR="00B245E8">
        <w:t xml:space="preserve">provide sufficient detail to </w:t>
      </w:r>
      <w:r>
        <w:t xml:space="preserve">demonstrate </w:t>
      </w:r>
      <w:r w:rsidR="00B245E8">
        <w:t>who they are, the activity or activities</w:t>
      </w:r>
      <w:r>
        <w:t xml:space="preserve"> they </w:t>
      </w:r>
      <w:r w:rsidR="00B245E8">
        <w:t>propose to undertake, and the third parties involved with those activities.</w:t>
      </w:r>
      <w:bookmarkEnd w:id="72"/>
      <w:bookmarkEnd w:id="73"/>
    </w:p>
    <w:p w14:paraId="075F65BE" w14:textId="7233635C" w:rsidR="00E66CE8" w:rsidRDefault="00B245E8" w:rsidP="00E66CE8">
      <w:bookmarkStart w:id="74" w:name="_Hlk58858825"/>
      <w:r>
        <w:t xml:space="preserve">Where significant control of an activity requiring a licence is contracted to another entity, the applicant will need to consider whether that entity may also require a licence. </w:t>
      </w:r>
    </w:p>
    <w:p w14:paraId="7B6F9A72" w14:textId="77777777" w:rsidR="00806F1F" w:rsidRDefault="00806F1F" w:rsidP="00B904DA">
      <w:pPr>
        <w:pStyle w:val="Heading2numbered"/>
        <w:numPr>
          <w:ilvl w:val="1"/>
          <w:numId w:val="11"/>
        </w:numPr>
      </w:pPr>
      <w:bookmarkStart w:id="75" w:name="_Toc127875396"/>
      <w:r>
        <w:t>Dispute resolution</w:t>
      </w:r>
      <w:bookmarkEnd w:id="75"/>
    </w:p>
    <w:p w14:paraId="3877BA7B" w14:textId="025DC539" w:rsidR="00806F1F" w:rsidRDefault="00806F1F" w:rsidP="00806F1F">
      <w:bookmarkStart w:id="76" w:name="_Hlk109312108"/>
      <w:r>
        <w:t>Applicants applying for a retail</w:t>
      </w:r>
      <w:r w:rsidR="00D95314">
        <w:t xml:space="preserve"> or </w:t>
      </w:r>
      <w:r w:rsidR="00A7728E">
        <w:t>distribution (supply)</w:t>
      </w:r>
      <w:r w:rsidR="00DD0301">
        <w:t xml:space="preserve"> </w:t>
      </w:r>
      <w:r>
        <w:t>licence</w:t>
      </w:r>
      <w:r w:rsidR="00D95314">
        <w:t>s</w:t>
      </w:r>
      <w:r>
        <w:t xml:space="preserve"> must become a member of </w:t>
      </w:r>
      <w:r w:rsidR="00C864B6">
        <w:t xml:space="preserve">an approved dispute resolution body; </w:t>
      </w:r>
      <w:r>
        <w:t xml:space="preserve">the Energy and Water Ombudsman (Victoria) (EWOV). Applicants will need to provide supporting documents to demonstrate they are a member of EWOV or have approached EWOV about </w:t>
      </w:r>
      <w:hyperlink r:id="rId39" w:history="1">
        <w:r w:rsidRPr="00C864B6">
          <w:rPr>
            <w:rStyle w:val="Hyperlink"/>
          </w:rPr>
          <w:t>joining the scheme</w:t>
        </w:r>
      </w:hyperlink>
      <w:r>
        <w:t>.</w:t>
      </w:r>
      <w:r w:rsidR="00C864B6">
        <w:rPr>
          <w:rStyle w:val="FootnoteReference"/>
        </w:rPr>
        <w:footnoteReference w:id="9"/>
      </w:r>
    </w:p>
    <w:p w14:paraId="7B579049" w14:textId="0783360C" w:rsidR="00D95314" w:rsidRDefault="00D95314" w:rsidP="00806F1F">
      <w:r>
        <w:t>If the applicant is applying for an electricity transmission licence, we may require them to engage with EWOV regarding joining the dispute resolution scheme on a case-by-case basis. Generally, where a transmission licence applicant will seek to use powers under</w:t>
      </w:r>
      <w:r w:rsidR="00907DA4">
        <w:t xml:space="preserve"> land access powers under</w:t>
      </w:r>
      <w:r>
        <w:t xml:space="preserve"> Part 5 of the </w:t>
      </w:r>
      <w:r w:rsidRPr="003E4F60">
        <w:rPr>
          <w:i/>
          <w:iCs/>
        </w:rPr>
        <w:t>Electricity Industry Act</w:t>
      </w:r>
      <w:r w:rsidR="003E4F60" w:rsidRPr="003E4F60">
        <w:rPr>
          <w:i/>
          <w:iCs/>
        </w:rPr>
        <w:t xml:space="preserve"> 2000</w:t>
      </w:r>
      <w:r>
        <w:t>, we will</w:t>
      </w:r>
      <w:r w:rsidR="00907DA4">
        <w:t xml:space="preserve"> consider</w:t>
      </w:r>
      <w:r>
        <w:t xml:space="preserve"> a licence condition </w:t>
      </w:r>
      <w:r w:rsidR="00907DA4">
        <w:t xml:space="preserve">requiring the licensee </w:t>
      </w:r>
      <w:r>
        <w:t>to be a member o</w:t>
      </w:r>
      <w:r w:rsidR="00C830BB">
        <w:t>f</w:t>
      </w:r>
      <w:r>
        <w:t xml:space="preserve"> EWOV.</w:t>
      </w:r>
    </w:p>
    <w:p w14:paraId="738AAE9F" w14:textId="16C0CEB3" w:rsidR="00A7728E" w:rsidRDefault="00A7728E" w:rsidP="007C6A7E">
      <w:pPr>
        <w:pStyle w:val="Heading2numbered"/>
        <w:numPr>
          <w:ilvl w:val="1"/>
          <w:numId w:val="11"/>
        </w:numPr>
      </w:pPr>
      <w:bookmarkStart w:id="77" w:name="_Toc127875397"/>
      <w:r>
        <w:t>Energy Safe Victoria</w:t>
      </w:r>
      <w:bookmarkEnd w:id="77"/>
    </w:p>
    <w:p w14:paraId="7DC6614C" w14:textId="103A3900" w:rsidR="00A7728E" w:rsidRDefault="00A7728E" w:rsidP="00806F1F">
      <w:r>
        <w:t xml:space="preserve">Applicants must engage with Energy Safe Victoria </w:t>
      </w:r>
      <w:r w:rsidR="007C6A7E">
        <w:t xml:space="preserve">regarding their proposed activities </w:t>
      </w:r>
      <w:r>
        <w:t xml:space="preserve">as part of their licence application and provide the commission with </w:t>
      </w:r>
      <w:r w:rsidR="00907DA4">
        <w:t>information or documentation</w:t>
      </w:r>
      <w:r>
        <w:t xml:space="preserve"> to demonstrate this engagement.</w:t>
      </w:r>
    </w:p>
    <w:p w14:paraId="4422DD35" w14:textId="3E8F0BAB" w:rsidR="00E66CE8" w:rsidRDefault="00B245E8" w:rsidP="00B904DA">
      <w:pPr>
        <w:pStyle w:val="Heading2numbered"/>
        <w:numPr>
          <w:ilvl w:val="1"/>
          <w:numId w:val="11"/>
        </w:numPr>
      </w:pPr>
      <w:bookmarkStart w:id="78" w:name="_Toc56515873"/>
      <w:bookmarkStart w:id="79" w:name="_Toc127875398"/>
      <w:bookmarkEnd w:id="74"/>
      <w:bookmarkEnd w:id="76"/>
      <w:r>
        <w:t>Technical capacity</w:t>
      </w:r>
      <w:bookmarkEnd w:id="78"/>
      <w:bookmarkEnd w:id="79"/>
    </w:p>
    <w:p w14:paraId="784CBD00" w14:textId="4FBD26AD" w:rsidR="00B245E8" w:rsidRDefault="00B245E8" w:rsidP="00B245E8">
      <w:r>
        <w:t>Our assessment of technical capacity falls within t</w:t>
      </w:r>
      <w:r w:rsidR="009A527A">
        <w:t>hree</w:t>
      </w:r>
      <w:r>
        <w:t xml:space="preserve"> broad categories:</w:t>
      </w:r>
    </w:p>
    <w:p w14:paraId="32FBB2CB" w14:textId="759BD21A" w:rsidR="00B245E8" w:rsidRDefault="00B245E8" w:rsidP="007063A4">
      <w:pPr>
        <w:pStyle w:val="ListBullet"/>
      </w:pPr>
      <w:r>
        <w:t>the capacity to operate and manage the relevant business</w:t>
      </w:r>
    </w:p>
    <w:p w14:paraId="44C99074" w14:textId="0FAB75A5" w:rsidR="0053687A" w:rsidRDefault="00B245E8" w:rsidP="007063A4">
      <w:pPr>
        <w:pStyle w:val="ListBullet"/>
      </w:pPr>
      <w:r>
        <w:t>the capacity to comply with the licence conditions</w:t>
      </w:r>
      <w:r w:rsidR="0053687A">
        <w:t>,</w:t>
      </w:r>
      <w:r w:rsidR="00C830BB">
        <w:t xml:space="preserve"> and</w:t>
      </w:r>
    </w:p>
    <w:p w14:paraId="7D06F115" w14:textId="134772E3" w:rsidR="00B245E8" w:rsidRDefault="0053687A" w:rsidP="007063A4">
      <w:pPr>
        <w:pStyle w:val="ListBullet"/>
      </w:pPr>
      <w:r>
        <w:t xml:space="preserve">the capacity to comply with </w:t>
      </w:r>
      <w:r w:rsidR="00B245E8">
        <w:t xml:space="preserve">relevant regulatory obligations, including legislation, </w:t>
      </w:r>
      <w:r w:rsidR="002B1D1F">
        <w:t>c</w:t>
      </w:r>
      <w:r w:rsidR="00B245E8">
        <w:t xml:space="preserve">odes </w:t>
      </w:r>
      <w:r w:rsidR="007063A4">
        <w:t xml:space="preserve">of </w:t>
      </w:r>
      <w:r w:rsidR="002B1D1F">
        <w:t>p</w:t>
      </w:r>
      <w:r w:rsidR="007063A4">
        <w:t xml:space="preserve">ractice </w:t>
      </w:r>
      <w:r w:rsidR="00B245E8">
        <w:t xml:space="preserve">and </w:t>
      </w:r>
      <w:r w:rsidR="007063A4">
        <w:t>other regulatory requirements</w:t>
      </w:r>
      <w:r w:rsidR="00B245E8">
        <w:t>.</w:t>
      </w:r>
    </w:p>
    <w:p w14:paraId="281B811D" w14:textId="77777777" w:rsidR="001D60D2" w:rsidRDefault="001D60D2">
      <w:pPr>
        <w:spacing w:before="0" w:line="259" w:lineRule="auto"/>
      </w:pPr>
      <w:r>
        <w:br w:type="page"/>
      </w:r>
    </w:p>
    <w:p w14:paraId="0E5B9C95" w14:textId="6DE945B8" w:rsidR="00B245E8" w:rsidRDefault="00B245E8" w:rsidP="00B245E8">
      <w:r>
        <w:lastRenderedPageBreak/>
        <w:t xml:space="preserve">The applicant must demonstrate that it </w:t>
      </w:r>
      <w:r w:rsidR="001A5443">
        <w:t xml:space="preserve">has the organisational capability to </w:t>
      </w:r>
      <w:r>
        <w:t xml:space="preserve">satisfy these </w:t>
      </w:r>
      <w:r w:rsidR="004573CE">
        <w:t>requirements</w:t>
      </w:r>
      <w:r>
        <w:t>. The applicant is required to provide information that demonstrates:</w:t>
      </w:r>
    </w:p>
    <w:p w14:paraId="6B92AD9C" w14:textId="62CCF266" w:rsidR="00B245E8" w:rsidRDefault="00B245E8" w:rsidP="007063A4">
      <w:pPr>
        <w:pStyle w:val="ListBullet"/>
      </w:pPr>
      <w:r>
        <w:t>it has the business skills, knowledge, personnel, systems and ability to operate the relevant business,</w:t>
      </w:r>
      <w:r w:rsidR="004573CE">
        <w:t xml:space="preserve"> and</w:t>
      </w:r>
    </w:p>
    <w:p w14:paraId="751B1D53" w14:textId="28F2DBB7" w:rsidR="00B245E8" w:rsidRDefault="00B245E8" w:rsidP="007063A4">
      <w:pPr>
        <w:pStyle w:val="ListBullet"/>
      </w:pPr>
      <w:r>
        <w:t>it has the capacity to manage risk</w:t>
      </w:r>
      <w:r w:rsidR="003B0CD9">
        <w:t xml:space="preserve"> (including wholesale market risk management for retail activities)</w:t>
      </w:r>
      <w:r>
        <w:t xml:space="preserve"> and to operate an effective and functional risk management and compliance system consistent with the relevant Australian </w:t>
      </w:r>
      <w:r w:rsidR="004573CE">
        <w:t xml:space="preserve">or International </w:t>
      </w:r>
      <w:r>
        <w:t>Standards</w:t>
      </w:r>
      <w:r w:rsidR="004573CE">
        <w:t>.</w:t>
      </w:r>
    </w:p>
    <w:p w14:paraId="2C40E979" w14:textId="72C0412C" w:rsidR="00B245E8" w:rsidRDefault="00B245E8" w:rsidP="00E273C9">
      <w:r>
        <w:t>If an applicant intends to meet any material aspect of the technical capacity requirements by the use of contractors (including contracts with related entities), it must provide information on the contractors’ experience and expertise</w:t>
      </w:r>
      <w:r w:rsidR="00F67B46">
        <w:t>, and copies of executed contracts</w:t>
      </w:r>
      <w:r>
        <w:t xml:space="preserve">. </w:t>
      </w:r>
      <w:r w:rsidR="00DF33E5">
        <w:t xml:space="preserve">Our assessment of technical capacity will also consider the applicant’s </w:t>
      </w:r>
      <w:r w:rsidR="00DF33E5" w:rsidRPr="001A5443">
        <w:rPr>
          <w:b/>
          <w:bCs/>
        </w:rPr>
        <w:t>internal</w:t>
      </w:r>
      <w:r w:rsidR="00DF33E5">
        <w:t xml:space="preserve"> resources, skills and experience in managing third party contracts to ensure there are appropriate governance arrangements and</w:t>
      </w:r>
      <w:r w:rsidR="00680274">
        <w:t xml:space="preserve"> capability </w:t>
      </w:r>
      <w:r w:rsidR="00625718">
        <w:t xml:space="preserve">for the licensee to be compliant with the energy rules – including in relation to activities </w:t>
      </w:r>
      <w:r w:rsidR="001A5443">
        <w:t xml:space="preserve">proposed to be </w:t>
      </w:r>
      <w:r w:rsidR="00625718">
        <w:t xml:space="preserve">carried out on </w:t>
      </w:r>
      <w:r w:rsidR="00EB3121">
        <w:t>its</w:t>
      </w:r>
      <w:r w:rsidR="00625718">
        <w:t xml:space="preserve"> behalf by third parties. </w:t>
      </w:r>
    </w:p>
    <w:p w14:paraId="51498539" w14:textId="152085A4" w:rsidR="00B245E8" w:rsidRDefault="00B245E8" w:rsidP="00E273C9">
      <w:r>
        <w:t xml:space="preserve">Depending on the nature of the contractual relationship and the services being performed by entities other than the applicant, it may be necessary for these other entities to also be licensed in accordance with section 16 of the </w:t>
      </w:r>
      <w:r w:rsidR="00C830BB" w:rsidRPr="003E4F60">
        <w:rPr>
          <w:i/>
          <w:iCs/>
        </w:rPr>
        <w:t>Electricity Industry Act</w:t>
      </w:r>
      <w:r w:rsidRPr="003E4F60">
        <w:rPr>
          <w:i/>
          <w:iCs/>
        </w:rPr>
        <w:t xml:space="preserve"> </w:t>
      </w:r>
      <w:r w:rsidR="003E4F60" w:rsidRPr="003E4F60">
        <w:rPr>
          <w:i/>
          <w:iCs/>
        </w:rPr>
        <w:t>2000</w:t>
      </w:r>
      <w:r w:rsidR="003E4F60">
        <w:t xml:space="preserve"> </w:t>
      </w:r>
      <w:r>
        <w:t xml:space="preserve">or section 22 of the </w:t>
      </w:r>
      <w:r w:rsidR="00C830BB" w:rsidRPr="003E4F60">
        <w:rPr>
          <w:i/>
          <w:iCs/>
        </w:rPr>
        <w:t>Gas Industry Act</w:t>
      </w:r>
      <w:r w:rsidR="003E4F60" w:rsidRPr="003E4F60">
        <w:rPr>
          <w:i/>
          <w:iCs/>
        </w:rPr>
        <w:t xml:space="preserve"> 2001</w:t>
      </w:r>
      <w:r>
        <w:t>. For example, if a generator engages another entity to sell its electricity through the National Electricity Market, then the other entity may require a licence to sell electricity</w:t>
      </w:r>
      <w:r w:rsidR="007063A4">
        <w:t xml:space="preserve"> through the wholesale market</w:t>
      </w:r>
      <w:r>
        <w:t xml:space="preserve">. </w:t>
      </w:r>
    </w:p>
    <w:p w14:paraId="0C88B360" w14:textId="0CCF9EC6" w:rsidR="00B245E8" w:rsidRDefault="00B245E8" w:rsidP="00E273C9">
      <w:r>
        <w:t>Our assessment of technical capacity for retail licence applications includes the applicant’s ability to support</w:t>
      </w:r>
      <w:r w:rsidR="00DF33E5">
        <w:t xml:space="preserve"> customers experiencing</w:t>
      </w:r>
      <w:r>
        <w:t xml:space="preserve"> vulnerab</w:t>
      </w:r>
      <w:r w:rsidR="00DF33E5">
        <w:t>ility</w:t>
      </w:r>
      <w:r>
        <w:t xml:space="preserve"> (</w:t>
      </w:r>
      <w:r w:rsidR="007063A4">
        <w:t xml:space="preserve">where the applicant is seeking to sell energy to residential </w:t>
      </w:r>
      <w:r w:rsidR="00F96EAA">
        <w:t xml:space="preserve">or small business </w:t>
      </w:r>
      <w:r w:rsidR="007063A4">
        <w:t>customers</w:t>
      </w:r>
      <w:r>
        <w:t>). Applicants need to demonstrate a full understanding of their obligations to support customers</w:t>
      </w:r>
      <w:r w:rsidR="00DF33E5">
        <w:t xml:space="preserve"> experiencing vulnerability</w:t>
      </w:r>
      <w:r>
        <w:t>, including their obligations under the payment difficulty framework</w:t>
      </w:r>
      <w:r w:rsidR="007063A4">
        <w:t xml:space="preserve">, </w:t>
      </w:r>
      <w:r w:rsidR="00F407D7">
        <w:t xml:space="preserve">protections for customers </w:t>
      </w:r>
      <w:r w:rsidR="00D037C7">
        <w:t xml:space="preserve">affected by </w:t>
      </w:r>
      <w:r>
        <w:t>family violence</w:t>
      </w:r>
      <w:r w:rsidR="00D037C7">
        <w:t xml:space="preserve">, and </w:t>
      </w:r>
      <w:r w:rsidR="007063A4">
        <w:t xml:space="preserve">protections </w:t>
      </w:r>
      <w:r w:rsidR="00F407D7">
        <w:t>for</w:t>
      </w:r>
      <w:r w:rsidR="007063A4">
        <w:t xml:space="preserve"> </w:t>
      </w:r>
      <w:r w:rsidR="00F407D7">
        <w:t xml:space="preserve">customers who require </w:t>
      </w:r>
      <w:r w:rsidR="007063A4">
        <w:t xml:space="preserve">life support </w:t>
      </w:r>
      <w:r w:rsidR="00F407D7">
        <w:t>equipment</w:t>
      </w:r>
      <w:r>
        <w:t>.</w:t>
      </w:r>
    </w:p>
    <w:p w14:paraId="73563147" w14:textId="77777777" w:rsidR="00B245E8" w:rsidRDefault="00B245E8" w:rsidP="00B904DA">
      <w:pPr>
        <w:pStyle w:val="Heading2numbered"/>
        <w:numPr>
          <w:ilvl w:val="1"/>
          <w:numId w:val="11"/>
        </w:numPr>
      </w:pPr>
      <w:bookmarkStart w:id="80" w:name="_Toc56515874"/>
      <w:bookmarkStart w:id="81" w:name="_Toc127875399"/>
      <w:r>
        <w:t>Financial viability</w:t>
      </w:r>
      <w:bookmarkEnd w:id="80"/>
      <w:bookmarkEnd w:id="81"/>
    </w:p>
    <w:p w14:paraId="4CAD74F7" w14:textId="4C3425CF" w:rsidR="00B245E8" w:rsidRDefault="00B245E8" w:rsidP="00B245E8">
      <w:r>
        <w:t xml:space="preserve">Consistent with the requirements under the </w:t>
      </w:r>
      <w:r w:rsidRPr="003E4F60">
        <w:rPr>
          <w:i/>
          <w:iCs/>
        </w:rPr>
        <w:t>Electricity Industry Act</w:t>
      </w:r>
      <w:r w:rsidR="003E4F60" w:rsidRPr="003E4F60">
        <w:rPr>
          <w:i/>
          <w:iCs/>
        </w:rPr>
        <w:t xml:space="preserve"> 2000</w:t>
      </w:r>
      <w:r>
        <w:t>, the commission must not grant an application for the issue of a licence</w:t>
      </w:r>
      <w:r w:rsidR="007D19F3">
        <w:t xml:space="preserve"> to sell electricity</w:t>
      </w:r>
      <w:r>
        <w:t xml:space="preserve"> unless the commission is satisfied that, in the case of an application to sell electricity, the applicant is financially viable.</w:t>
      </w:r>
      <w:r>
        <w:rPr>
          <w:rStyle w:val="FootnoteReference"/>
        </w:rPr>
        <w:footnoteReference w:id="10"/>
      </w:r>
      <w:r>
        <w:t xml:space="preserve"> </w:t>
      </w:r>
    </w:p>
    <w:p w14:paraId="356D1175" w14:textId="28974CE9" w:rsidR="00B245E8" w:rsidRDefault="00B245E8" w:rsidP="00B245E8">
      <w:r>
        <w:lastRenderedPageBreak/>
        <w:t xml:space="preserve">Although the </w:t>
      </w:r>
      <w:r w:rsidRPr="003E4F60">
        <w:rPr>
          <w:i/>
          <w:iCs/>
        </w:rPr>
        <w:t>Gas Industry Act</w:t>
      </w:r>
      <w:r w:rsidR="003E4F60" w:rsidRPr="003E4F60">
        <w:rPr>
          <w:i/>
          <w:iCs/>
        </w:rPr>
        <w:t xml:space="preserve"> 2001</w:t>
      </w:r>
      <w:r>
        <w:t xml:space="preserve"> does not contain the equivalent provisions, for consistency, the commission assess</w:t>
      </w:r>
      <w:r w:rsidR="00F407D7">
        <w:t>es</w:t>
      </w:r>
      <w:r>
        <w:t xml:space="preserve"> gas retail applications in the same manner.</w:t>
      </w:r>
      <w:r>
        <w:rPr>
          <w:rStyle w:val="FootnoteReference"/>
        </w:rPr>
        <w:footnoteReference w:id="11"/>
      </w:r>
      <w:r>
        <w:t xml:space="preserve"> </w:t>
      </w:r>
    </w:p>
    <w:p w14:paraId="03B49315" w14:textId="7518ED95" w:rsidR="00844B1A" w:rsidRDefault="00B245E8" w:rsidP="00B245E8">
      <w:r>
        <w:t xml:space="preserve">The commission does not have to be satisfied as to the </w:t>
      </w:r>
      <w:r w:rsidR="004C6B93">
        <w:t xml:space="preserve">electricity retail licence </w:t>
      </w:r>
      <w:r>
        <w:t xml:space="preserve">applicant’s financial viability if the applicant is applying for a licence which includes a condition requiring compliance with the National Electricity Rules (which include prudential requirements). </w:t>
      </w:r>
    </w:p>
    <w:p w14:paraId="3443744B" w14:textId="1D717174" w:rsidR="00B245E8" w:rsidRDefault="00E74807" w:rsidP="00B245E8">
      <w:r>
        <w:t xml:space="preserve">At times, </w:t>
      </w:r>
      <w:r w:rsidR="00551B80" w:rsidRPr="00551B80">
        <w:t xml:space="preserve">depending on the particular circumstances, </w:t>
      </w:r>
      <w:r>
        <w:t>we may undertake a financial viability assessment of generation, transmission and distribution licence applications if we consider it appropriate to do so.</w:t>
      </w:r>
      <w:r w:rsidR="000A57FA">
        <w:t xml:space="preserve"> We will notify applicants for these types of licences if we require financial viability information.</w:t>
      </w:r>
      <w:r w:rsidR="00B245E8">
        <w:t xml:space="preserve"> These types of licensable activities </w:t>
      </w:r>
      <w:r w:rsidR="00E46F42">
        <w:t>may</w:t>
      </w:r>
      <w:r>
        <w:t xml:space="preserve"> also</w:t>
      </w:r>
      <w:r w:rsidR="00E46F42">
        <w:t xml:space="preserve"> need to </w:t>
      </w:r>
      <w:r w:rsidR="00B245E8">
        <w:t xml:space="preserve">meet the strict prudential requirements of the Australian Energy Market Operator. </w:t>
      </w:r>
    </w:p>
    <w:p w14:paraId="72CD0BE2" w14:textId="77777777" w:rsidR="00522905" w:rsidRDefault="00522905" w:rsidP="00522905">
      <w:pPr>
        <w:pStyle w:val="Heading3"/>
      </w:pPr>
      <w:r>
        <w:t>P</w:t>
      </w:r>
      <w:bookmarkStart w:id="82" w:name="_Toc127875400"/>
      <w:r>
        <w:t>oint in time assessment</w:t>
      </w:r>
      <w:bookmarkEnd w:id="82"/>
    </w:p>
    <w:p w14:paraId="3F4DE3D3" w14:textId="77777777" w:rsidR="00522905" w:rsidRDefault="00522905" w:rsidP="00522905">
      <w:r>
        <w:t xml:space="preserve">Our financial viability assessment for a licence application is limited to a point in time and should not be taken as an assessment of the licensee’s ongoing financial capacity should the licence be granted. The assessment that is undertaken is only for the purpose of the licence application and should not be relied upon for any other purpose by any person. </w:t>
      </w:r>
    </w:p>
    <w:p w14:paraId="363659BF" w14:textId="2C217664" w:rsidR="00D9655D" w:rsidRDefault="00D9655D" w:rsidP="00907DA4">
      <w:pPr>
        <w:pStyle w:val="Heading3"/>
      </w:pPr>
      <w:bookmarkStart w:id="83" w:name="_Toc110865979"/>
      <w:bookmarkStart w:id="84" w:name="_Toc111724778"/>
      <w:bookmarkStart w:id="85" w:name="_Toc111725126"/>
      <w:bookmarkStart w:id="86" w:name="_Toc127875401"/>
      <w:r>
        <w:t>Where a financial viability assessment is required</w:t>
      </w:r>
      <w:bookmarkEnd w:id="83"/>
      <w:bookmarkEnd w:id="84"/>
      <w:bookmarkEnd w:id="85"/>
      <w:r w:rsidR="000A57FA">
        <w:t xml:space="preserve"> – retail applications</w:t>
      </w:r>
      <w:bookmarkEnd w:id="86"/>
    </w:p>
    <w:p w14:paraId="5B20263E" w14:textId="19356777" w:rsidR="00D9655D" w:rsidRDefault="00B245E8" w:rsidP="00F407D7">
      <w:r>
        <w:t xml:space="preserve">Retail licence applications where the applicant intends to sell electricity </w:t>
      </w:r>
      <w:r w:rsidR="00907DA4">
        <w:t xml:space="preserve">or gas </w:t>
      </w:r>
      <w:r w:rsidR="007966F7">
        <w:t xml:space="preserve">is </w:t>
      </w:r>
      <w:r>
        <w:t>subject to a financial viability assessment.</w:t>
      </w:r>
      <w:r w:rsidR="001A39D8">
        <w:t xml:space="preserve"> This includes where the applicant intends to sell electricity or gas to residential</w:t>
      </w:r>
      <w:r w:rsidR="00D04B66">
        <w:t xml:space="preserve"> customers or small, medium or large business customers.</w:t>
      </w:r>
    </w:p>
    <w:p w14:paraId="61A2725C" w14:textId="6DBDBD48" w:rsidR="00DC2F92" w:rsidRDefault="00DC2F92" w:rsidP="00907DA4">
      <w:pPr>
        <w:pStyle w:val="Heading3"/>
      </w:pPr>
      <w:bookmarkStart w:id="87" w:name="_Toc110865982"/>
      <w:bookmarkStart w:id="88" w:name="_Toc111724781"/>
      <w:bookmarkStart w:id="89" w:name="_Toc111725129"/>
      <w:bookmarkStart w:id="90" w:name="_Toc127875402"/>
      <w:r>
        <w:t>Information requirements</w:t>
      </w:r>
      <w:bookmarkEnd w:id="87"/>
      <w:bookmarkEnd w:id="88"/>
      <w:bookmarkEnd w:id="89"/>
      <w:r w:rsidR="000046FF">
        <w:t xml:space="preserve"> </w:t>
      </w:r>
      <w:r w:rsidR="008E4251">
        <w:t>– retail applications</w:t>
      </w:r>
      <w:bookmarkEnd w:id="90"/>
    </w:p>
    <w:p w14:paraId="5FDF525B" w14:textId="0949A8D0" w:rsidR="00254EF4" w:rsidRDefault="00B245E8" w:rsidP="00B245E8">
      <w:r>
        <w:t>In assessing whether a</w:t>
      </w:r>
      <w:r w:rsidR="00450464">
        <w:t xml:space="preserve"> retail</w:t>
      </w:r>
      <w:r>
        <w:t xml:space="preserve"> applicant is financially viable, the applicant is required to demonstrate that it </w:t>
      </w:r>
      <w:r w:rsidR="00254EF4">
        <w:t xml:space="preserve">has </w:t>
      </w:r>
      <w:r>
        <w:t>sufficient financial resources to</w:t>
      </w:r>
      <w:r w:rsidR="00254EF4">
        <w:t>:</w:t>
      </w:r>
    </w:p>
    <w:p w14:paraId="6BFD98FB" w14:textId="77777777" w:rsidR="00254EF4" w:rsidRDefault="00B245E8" w:rsidP="00254EF4">
      <w:pPr>
        <w:pStyle w:val="ListBullet"/>
      </w:pPr>
      <w:r>
        <w:t>commence and sustainably operate the retail business</w:t>
      </w:r>
    </w:p>
    <w:p w14:paraId="3FC5686B" w14:textId="2BBE5CB3" w:rsidR="00254EF4" w:rsidRDefault="00B245E8" w:rsidP="00254EF4">
      <w:pPr>
        <w:pStyle w:val="ListBullet"/>
      </w:pPr>
      <w:r>
        <w:t xml:space="preserve">meet the service standards </w:t>
      </w:r>
      <w:r w:rsidR="00B06941">
        <w:t xml:space="preserve">for </w:t>
      </w:r>
      <w:r>
        <w:t>customers</w:t>
      </w:r>
      <w:r w:rsidR="00B06941">
        <w:t xml:space="preserve"> and comply with the regulatory framework</w:t>
      </w:r>
    </w:p>
    <w:p w14:paraId="6910BE70" w14:textId="40F6F820" w:rsidR="00B245E8" w:rsidRDefault="00522905" w:rsidP="003266B3">
      <w:pPr>
        <w:pStyle w:val="ListBullet"/>
      </w:pPr>
      <w:r>
        <w:t>manage</w:t>
      </w:r>
      <w:r w:rsidR="00450464">
        <w:t xml:space="preserve"> financial shocks in the wholesale market and associated increases in operating costs.</w:t>
      </w:r>
    </w:p>
    <w:p w14:paraId="730DE264" w14:textId="321A3576" w:rsidR="009767F1" w:rsidRDefault="009767F1" w:rsidP="003266B3">
      <w:r>
        <w:t xml:space="preserve">This includes </w:t>
      </w:r>
      <w:r w:rsidRPr="000921BA">
        <w:t xml:space="preserve">operating cost considerations, including demonstrating </w:t>
      </w:r>
      <w:r>
        <w:t>the applicant</w:t>
      </w:r>
      <w:r w:rsidRPr="000921BA">
        <w:t xml:space="preserve"> can meet significantly increased prudential costs – we expect detailed, itemised costs</w:t>
      </w:r>
      <w:r>
        <w:t>.</w:t>
      </w:r>
    </w:p>
    <w:p w14:paraId="1C371B3A" w14:textId="77777777" w:rsidR="00522905" w:rsidRDefault="00522905" w:rsidP="00522905">
      <w:r>
        <w:lastRenderedPageBreak/>
        <w:t xml:space="preserve">The applicant must provide documentation to demonstrate the applicant has access to sufficient financial resources to sustainably operate a viable retail business in the electricity and/or gas industry. This includes </w:t>
      </w:r>
      <w:r w:rsidRPr="000921BA">
        <w:t xml:space="preserve">operating cost considerations, including demonstrating </w:t>
      </w:r>
      <w:r>
        <w:t>the applicant</w:t>
      </w:r>
      <w:r w:rsidRPr="000921BA">
        <w:t xml:space="preserve"> can meet significantly increased prudential costs –</w:t>
      </w:r>
      <w:r>
        <w:t xml:space="preserve"> </w:t>
      </w:r>
      <w:r w:rsidRPr="000921BA">
        <w:t>detailed, itemised costs</w:t>
      </w:r>
      <w:r>
        <w:t xml:space="preserve"> must be provided.</w:t>
      </w:r>
    </w:p>
    <w:p w14:paraId="091C4C80" w14:textId="77777777" w:rsidR="00522905" w:rsidRDefault="00522905" w:rsidP="00522905">
      <w:r>
        <w:t>The applicant must provide evidence that it has sufficient financial resources demonstrating that it has the ability to meet higher costs, including adequate liquid financial reserves to meet higher unforeseen costs, such as higher wholesale costs and increased AEMO prudential requirements.</w:t>
      </w:r>
    </w:p>
    <w:p w14:paraId="1DAF8878" w14:textId="131D0BAD" w:rsidR="00522905" w:rsidRDefault="00522905" w:rsidP="00522905">
      <w:r>
        <w:t>The applicant must demonstrate a clear understanding of the wide-ranging effects of the identified risk and potential changes to its business and set out appropriate risk mitigation measures.</w:t>
      </w:r>
    </w:p>
    <w:p w14:paraId="72131F62" w14:textId="77777777" w:rsidR="00522905" w:rsidRDefault="00522905" w:rsidP="00522905">
      <w:r>
        <w:t>Risk mitigation measures may include evidence of available cash reserves, including bank balances, loan guarantees and the like to ensure the business is able to continue as an active participant by servicing all existing customers and continuing to grow its customer base.</w:t>
      </w:r>
    </w:p>
    <w:p w14:paraId="62A7F0DB" w14:textId="77777777" w:rsidR="00522905" w:rsidRDefault="00522905" w:rsidP="00522905">
      <w:pPr>
        <w:pStyle w:val="ListLetters0"/>
        <w:numPr>
          <w:ilvl w:val="0"/>
          <w:numId w:val="0"/>
        </w:numPr>
      </w:pPr>
      <w:r>
        <w:t>Applicants should also consider whether other risk mitigation measures may be necessary to manage risks to the business, such as changes to the organisational and technical capacity of the business.</w:t>
      </w:r>
    </w:p>
    <w:p w14:paraId="4659BE84" w14:textId="09D32042" w:rsidR="009767F1" w:rsidRDefault="008E4251" w:rsidP="003266B3">
      <w:pPr>
        <w:pStyle w:val="Heading3"/>
      </w:pPr>
      <w:bookmarkStart w:id="91" w:name="_Toc127875403"/>
      <w:r>
        <w:t>Required documentation to demonstrate financial viability</w:t>
      </w:r>
      <w:bookmarkEnd w:id="91"/>
    </w:p>
    <w:p w14:paraId="4266AF1F" w14:textId="2556B357" w:rsidR="00B245E8" w:rsidRDefault="00B245E8" w:rsidP="00B245E8">
      <w:r>
        <w:t xml:space="preserve">The material that the commission requests of applicants </w:t>
      </w:r>
      <w:r w:rsidR="00D9655D">
        <w:t xml:space="preserve">may vary </w:t>
      </w:r>
      <w:r>
        <w:t xml:space="preserve">depending on </w:t>
      </w:r>
      <w:r w:rsidR="00D9655D">
        <w:t>several factors</w:t>
      </w:r>
      <w:r w:rsidR="0079666A">
        <w:t xml:space="preserve">. This </w:t>
      </w:r>
      <w:r w:rsidR="008E4251">
        <w:t xml:space="preserve">generally includes </w:t>
      </w:r>
      <w:r>
        <w:t xml:space="preserve">but </w:t>
      </w:r>
      <w:r w:rsidR="008E4251">
        <w:t xml:space="preserve">is </w:t>
      </w:r>
      <w:r>
        <w:t>not limited to:</w:t>
      </w:r>
    </w:p>
    <w:p w14:paraId="78590955" w14:textId="24BB747D" w:rsidR="00B245E8" w:rsidRDefault="00D9655D">
      <w:pPr>
        <w:pStyle w:val="ListBullet"/>
      </w:pPr>
      <w:r>
        <w:t>audited financial statements</w:t>
      </w:r>
    </w:p>
    <w:p w14:paraId="3C63C9F6" w14:textId="10A79613" w:rsidR="00D9655D" w:rsidRDefault="00D9655D">
      <w:pPr>
        <w:pStyle w:val="ListBullet"/>
      </w:pPr>
      <w:r>
        <w:t>annual reports</w:t>
      </w:r>
    </w:p>
    <w:p w14:paraId="08351B9E" w14:textId="4F6CCCE4" w:rsidR="00D9655D" w:rsidRDefault="00D9655D">
      <w:pPr>
        <w:pStyle w:val="ListBullet"/>
      </w:pPr>
      <w:r>
        <w:t>guarantees in place</w:t>
      </w:r>
    </w:p>
    <w:p w14:paraId="1BFD1462" w14:textId="5EEA4346" w:rsidR="00D9655D" w:rsidRDefault="00D9655D">
      <w:pPr>
        <w:pStyle w:val="ListBullet"/>
      </w:pPr>
      <w:r>
        <w:t>shareholder registers</w:t>
      </w:r>
    </w:p>
    <w:p w14:paraId="5C23B323" w14:textId="605CDD56" w:rsidR="00D9655D" w:rsidRDefault="00D9655D">
      <w:pPr>
        <w:pStyle w:val="ListBullet"/>
      </w:pPr>
      <w:r>
        <w:t>statements from banks/financiers, shareholders, the board or parent company</w:t>
      </w:r>
    </w:p>
    <w:p w14:paraId="65A422B4" w14:textId="7842ADCE" w:rsidR="00D9655D" w:rsidRDefault="00D9655D" w:rsidP="00907DA4">
      <w:pPr>
        <w:pStyle w:val="ListBullet"/>
      </w:pPr>
      <w:r>
        <w:t>financial and business</w:t>
      </w:r>
      <w:r w:rsidR="00DC2F92">
        <w:t xml:space="preserve"> growth</w:t>
      </w:r>
      <w:r>
        <w:t xml:space="preserve"> modelling</w:t>
      </w:r>
      <w:r w:rsidR="00211F7B">
        <w:t>.</w:t>
      </w:r>
    </w:p>
    <w:p w14:paraId="05588B3A" w14:textId="0A2ACD3A" w:rsidR="00B245E8" w:rsidRDefault="00B245E8" w:rsidP="00E273C9">
      <w:r>
        <w:t>Refer to the</w:t>
      </w:r>
      <w:r w:rsidR="00D9655D">
        <w:t xml:space="preserve"> energy</w:t>
      </w:r>
      <w:r>
        <w:t xml:space="preserve"> retail licence application form for detail on the financial viability information </w:t>
      </w:r>
      <w:r w:rsidR="0079666A">
        <w:t xml:space="preserve">retail </w:t>
      </w:r>
      <w:r>
        <w:t>applicant</w:t>
      </w:r>
      <w:r w:rsidR="0079666A">
        <w:t>s</w:t>
      </w:r>
      <w:r>
        <w:t xml:space="preserve"> </w:t>
      </w:r>
      <w:r w:rsidR="00DC2F92">
        <w:t>must</w:t>
      </w:r>
      <w:r>
        <w:t xml:space="preserve"> provide.</w:t>
      </w:r>
    </w:p>
    <w:p w14:paraId="6710EA71" w14:textId="77777777" w:rsidR="00B245E8" w:rsidRDefault="00B245E8" w:rsidP="00B904DA">
      <w:pPr>
        <w:pStyle w:val="Heading2numbered"/>
        <w:numPr>
          <w:ilvl w:val="1"/>
          <w:numId w:val="11"/>
        </w:numPr>
      </w:pPr>
      <w:bookmarkStart w:id="92" w:name="_Toc109840596"/>
      <w:bookmarkStart w:id="93" w:name="_Toc56515875"/>
      <w:bookmarkStart w:id="94" w:name="_Toc127875404"/>
      <w:bookmarkEnd w:id="92"/>
      <w:r>
        <w:t>Commission objectives</w:t>
      </w:r>
      <w:bookmarkEnd w:id="93"/>
      <w:bookmarkEnd w:id="94"/>
    </w:p>
    <w:p w14:paraId="0EFED096" w14:textId="7205E5CF" w:rsidR="00B245E8" w:rsidRDefault="00B245E8" w:rsidP="00B245E8">
      <w:r>
        <w:t xml:space="preserve">In deciding whether to grant or refuse a licence application, we must consider our </w:t>
      </w:r>
      <w:r w:rsidR="00F350C5">
        <w:t xml:space="preserve">statutory </w:t>
      </w:r>
      <w:r>
        <w:t>objectives under the</w:t>
      </w:r>
      <w:r w:rsidR="00F350C5">
        <w:t xml:space="preserve"> </w:t>
      </w:r>
      <w:r w:rsidR="00F350C5" w:rsidRPr="003E4F60">
        <w:rPr>
          <w:i/>
          <w:iCs/>
        </w:rPr>
        <w:t>Essential Services Commission Act</w:t>
      </w:r>
      <w:r w:rsidR="00D076FC" w:rsidRPr="003E4F60">
        <w:rPr>
          <w:i/>
          <w:iCs/>
        </w:rPr>
        <w:t xml:space="preserve"> 2001</w:t>
      </w:r>
      <w:r w:rsidR="00F350C5" w:rsidRPr="00F350C5">
        <w:t xml:space="preserve">, </w:t>
      </w:r>
      <w:r w:rsidR="00F350C5" w:rsidRPr="003E4F60">
        <w:rPr>
          <w:i/>
          <w:iCs/>
        </w:rPr>
        <w:t>Electricity Industry Act</w:t>
      </w:r>
      <w:r w:rsidR="00D076FC" w:rsidRPr="003E4F60">
        <w:rPr>
          <w:i/>
          <w:iCs/>
        </w:rPr>
        <w:t xml:space="preserve"> 2000</w:t>
      </w:r>
      <w:r w:rsidR="00F350C5" w:rsidRPr="00E66CE8">
        <w:t xml:space="preserve"> </w:t>
      </w:r>
      <w:r w:rsidR="00F350C5" w:rsidRPr="00F350C5">
        <w:t xml:space="preserve">and </w:t>
      </w:r>
      <w:r w:rsidR="00F350C5" w:rsidRPr="003E4F60">
        <w:rPr>
          <w:i/>
          <w:iCs/>
        </w:rPr>
        <w:t>Gas Industry Act</w:t>
      </w:r>
      <w:r w:rsidR="00D076FC" w:rsidRPr="003E4F60">
        <w:rPr>
          <w:i/>
          <w:iCs/>
        </w:rPr>
        <w:t xml:space="preserve"> 2001</w:t>
      </w:r>
      <w:r w:rsidR="00F350C5" w:rsidRPr="00F350C5">
        <w:rPr>
          <w:lang w:val="en-US"/>
        </w:rPr>
        <w:t xml:space="preserve">. </w:t>
      </w:r>
    </w:p>
    <w:p w14:paraId="6094D4AB" w14:textId="59E263A1" w:rsidR="00B245E8" w:rsidRDefault="007F7609" w:rsidP="00B245E8">
      <w:r>
        <w:t xml:space="preserve">The commission’s primary </w:t>
      </w:r>
      <w:r w:rsidR="00B245E8">
        <w:t xml:space="preserve">objective under the </w:t>
      </w:r>
      <w:r w:rsidR="00F350C5" w:rsidRPr="003E4F60">
        <w:rPr>
          <w:i/>
          <w:iCs/>
        </w:rPr>
        <w:t>E</w:t>
      </w:r>
      <w:r w:rsidR="00C830BB" w:rsidRPr="003E4F60">
        <w:rPr>
          <w:i/>
          <w:iCs/>
        </w:rPr>
        <w:t xml:space="preserve">ssential </w:t>
      </w:r>
      <w:r w:rsidR="00F350C5" w:rsidRPr="003E4F60">
        <w:rPr>
          <w:i/>
          <w:iCs/>
        </w:rPr>
        <w:t>S</w:t>
      </w:r>
      <w:r w:rsidR="00C830BB" w:rsidRPr="003E4F60">
        <w:rPr>
          <w:i/>
          <w:iCs/>
        </w:rPr>
        <w:t xml:space="preserve">ervices </w:t>
      </w:r>
      <w:r w:rsidR="00F350C5" w:rsidRPr="003E4F60">
        <w:rPr>
          <w:i/>
          <w:iCs/>
        </w:rPr>
        <w:t>C</w:t>
      </w:r>
      <w:r w:rsidR="00C830BB" w:rsidRPr="003E4F60">
        <w:rPr>
          <w:i/>
          <w:iCs/>
        </w:rPr>
        <w:t>ommission</w:t>
      </w:r>
      <w:r w:rsidR="00B245E8" w:rsidRPr="003E4F60">
        <w:rPr>
          <w:i/>
          <w:iCs/>
        </w:rPr>
        <w:t xml:space="preserve"> Act</w:t>
      </w:r>
      <w:r w:rsidR="00D076FC" w:rsidRPr="003E4F60">
        <w:rPr>
          <w:i/>
          <w:iCs/>
        </w:rPr>
        <w:t xml:space="preserve"> 2001</w:t>
      </w:r>
      <w:r w:rsidR="00B245E8">
        <w:t>, when performing our functions and exercising our powers, is to promote the long</w:t>
      </w:r>
      <w:r>
        <w:t>-</w:t>
      </w:r>
      <w:r w:rsidR="00B245E8">
        <w:t xml:space="preserve">term interests of </w:t>
      </w:r>
      <w:r w:rsidR="00B245E8">
        <w:lastRenderedPageBreak/>
        <w:t>Victorian consumers. In seeking to achieve this objective, we must have regard to the price</w:t>
      </w:r>
      <w:r>
        <w:t>,</w:t>
      </w:r>
      <w:r w:rsidR="00B245E8">
        <w:t xml:space="preserve"> quality and reliability of essential services and the matters </w:t>
      </w:r>
      <w:r w:rsidR="00F350C5">
        <w:t>under</w:t>
      </w:r>
      <w:r w:rsidR="00B245E8">
        <w:t xml:space="preserve"> section 8A</w:t>
      </w:r>
      <w:r>
        <w:t xml:space="preserve"> of the </w:t>
      </w:r>
      <w:r w:rsidRPr="003E4F60">
        <w:rPr>
          <w:i/>
          <w:iCs/>
        </w:rPr>
        <w:t>E</w:t>
      </w:r>
      <w:r w:rsidR="00C830BB" w:rsidRPr="003E4F60">
        <w:rPr>
          <w:i/>
          <w:iCs/>
        </w:rPr>
        <w:t xml:space="preserve">ssential </w:t>
      </w:r>
      <w:r w:rsidRPr="003E4F60">
        <w:rPr>
          <w:i/>
          <w:iCs/>
        </w:rPr>
        <w:t>S</w:t>
      </w:r>
      <w:r w:rsidR="00C830BB" w:rsidRPr="003E4F60">
        <w:rPr>
          <w:i/>
          <w:iCs/>
        </w:rPr>
        <w:t xml:space="preserve">ervices </w:t>
      </w:r>
      <w:r w:rsidRPr="003E4F60">
        <w:rPr>
          <w:i/>
          <w:iCs/>
        </w:rPr>
        <w:t>C</w:t>
      </w:r>
      <w:r w:rsidR="00C830BB" w:rsidRPr="003E4F60">
        <w:rPr>
          <w:i/>
          <w:iCs/>
        </w:rPr>
        <w:t>ommission</w:t>
      </w:r>
      <w:r w:rsidRPr="003E4F60">
        <w:rPr>
          <w:i/>
          <w:iCs/>
        </w:rPr>
        <w:t xml:space="preserve"> Act</w:t>
      </w:r>
      <w:r w:rsidR="00B245E8" w:rsidRPr="003E4F60">
        <w:rPr>
          <w:i/>
          <w:iCs/>
        </w:rPr>
        <w:t xml:space="preserve"> </w:t>
      </w:r>
      <w:r w:rsidR="00D076FC" w:rsidRPr="003E4F60">
        <w:rPr>
          <w:i/>
          <w:iCs/>
        </w:rPr>
        <w:t>2001</w:t>
      </w:r>
      <w:r w:rsidR="00D076FC">
        <w:t xml:space="preserve"> </w:t>
      </w:r>
      <w:r w:rsidR="00B245E8">
        <w:t xml:space="preserve">to the extent they are relevant.  </w:t>
      </w:r>
    </w:p>
    <w:p w14:paraId="5D14FFDD" w14:textId="3EE7E588" w:rsidR="008A317E" w:rsidRDefault="00D64A7F" w:rsidP="00B245E8">
      <w:r>
        <w:t>An a</w:t>
      </w:r>
      <w:r w:rsidR="008A317E">
        <w:t xml:space="preserve">pplicant must clearly demonstrate how </w:t>
      </w:r>
      <w:r>
        <w:t xml:space="preserve">its </w:t>
      </w:r>
      <w:r w:rsidR="00666006">
        <w:t>entry into the market</w:t>
      </w:r>
      <w:r w:rsidR="00601A87">
        <w:t xml:space="preserve"> is consistent with the commission’s statutory objectives.</w:t>
      </w:r>
      <w:r w:rsidR="008A317E">
        <w:t xml:space="preserve"> </w:t>
      </w:r>
    </w:p>
    <w:p w14:paraId="48AF9D94" w14:textId="26657906" w:rsidR="00B245E8" w:rsidRDefault="00B245E8" w:rsidP="00907DA4">
      <w:pPr>
        <w:spacing w:before="0" w:line="259" w:lineRule="auto"/>
      </w:pPr>
      <w:r>
        <w:t xml:space="preserve">Applicants must provide a statement </w:t>
      </w:r>
      <w:r w:rsidR="007F7609">
        <w:t xml:space="preserve">regarding why </w:t>
      </w:r>
      <w:r>
        <w:t xml:space="preserve">granting a licence </w:t>
      </w:r>
      <w:r w:rsidR="00D64A7F">
        <w:t xml:space="preserve">would </w:t>
      </w:r>
      <w:r>
        <w:t>address the objectives outlined in:</w:t>
      </w:r>
    </w:p>
    <w:p w14:paraId="143D2177" w14:textId="39D9F8D3" w:rsidR="00B245E8" w:rsidRDefault="00B245E8" w:rsidP="00907DA4">
      <w:pPr>
        <w:pStyle w:val="ListBullet"/>
        <w:rPr>
          <w:rFonts w:eastAsiaTheme="minorEastAsia"/>
        </w:rPr>
      </w:pPr>
      <w:r w:rsidRPr="47084759">
        <w:t xml:space="preserve">Section 8 of the </w:t>
      </w:r>
      <w:r w:rsidR="00D076FC" w:rsidRPr="003E4F60">
        <w:rPr>
          <w:i/>
          <w:iCs/>
        </w:rPr>
        <w:t>Essential Services Commission Act 2001</w:t>
      </w:r>
      <w:r w:rsidR="00D076FC">
        <w:t xml:space="preserve"> </w:t>
      </w:r>
      <w:r>
        <w:t>(also see s</w:t>
      </w:r>
      <w:r w:rsidR="00907DA4">
        <w:t>ection</w:t>
      </w:r>
      <w:r>
        <w:t xml:space="preserve"> 8A)</w:t>
      </w:r>
      <w:r w:rsidRPr="47084759">
        <w:t xml:space="preserve"> </w:t>
      </w:r>
    </w:p>
    <w:p w14:paraId="08399EE3" w14:textId="185B6111" w:rsidR="00B245E8" w:rsidRDefault="00B245E8" w:rsidP="00907DA4">
      <w:pPr>
        <w:pStyle w:val="ListBullet"/>
        <w:rPr>
          <w:rFonts w:eastAsiaTheme="minorEastAsia"/>
        </w:rPr>
      </w:pPr>
      <w:r w:rsidRPr="47084759">
        <w:t xml:space="preserve">Section 10 of the </w:t>
      </w:r>
      <w:r w:rsidRPr="003E4F60">
        <w:rPr>
          <w:i/>
          <w:iCs/>
        </w:rPr>
        <w:t>Electricity Industry Act</w:t>
      </w:r>
      <w:r w:rsidR="00D076FC" w:rsidRPr="003E4F60">
        <w:rPr>
          <w:i/>
          <w:iCs/>
        </w:rPr>
        <w:t xml:space="preserve"> 2000</w:t>
      </w:r>
      <w:r w:rsidRPr="47084759">
        <w:t xml:space="preserve">, and/or </w:t>
      </w:r>
    </w:p>
    <w:p w14:paraId="259116F9" w14:textId="156077F2" w:rsidR="00B245E8" w:rsidRDefault="00B245E8" w:rsidP="00907DA4">
      <w:pPr>
        <w:pStyle w:val="ListBullet"/>
        <w:rPr>
          <w:rFonts w:eastAsiaTheme="minorEastAsia"/>
        </w:rPr>
      </w:pPr>
      <w:r w:rsidRPr="47084759">
        <w:t xml:space="preserve">Section 18 of the </w:t>
      </w:r>
      <w:r w:rsidRPr="003E4F60">
        <w:rPr>
          <w:i/>
          <w:iCs/>
        </w:rPr>
        <w:t>Gas Industry Act</w:t>
      </w:r>
      <w:r w:rsidR="00D076FC" w:rsidRPr="003E4F60">
        <w:rPr>
          <w:i/>
          <w:iCs/>
        </w:rPr>
        <w:t xml:space="preserve"> 2001</w:t>
      </w:r>
      <w:r w:rsidRPr="47084759">
        <w:t>.</w:t>
      </w:r>
    </w:p>
    <w:p w14:paraId="4A2B2440" w14:textId="77777777" w:rsidR="00B245E8" w:rsidRDefault="00B245E8" w:rsidP="00B245E8">
      <w:r>
        <w:t>Refer to the relevant licence application form for more detail on the commission’s objectives.</w:t>
      </w:r>
    </w:p>
    <w:p w14:paraId="741A8443" w14:textId="77777777" w:rsidR="00B245E8" w:rsidRDefault="00B245E8" w:rsidP="00B904DA">
      <w:pPr>
        <w:pStyle w:val="Heading2numbered"/>
        <w:numPr>
          <w:ilvl w:val="1"/>
          <w:numId w:val="11"/>
        </w:numPr>
      </w:pPr>
      <w:bookmarkStart w:id="95" w:name="_Toc56515876"/>
      <w:bookmarkStart w:id="96" w:name="_Toc127875405"/>
      <w:r>
        <w:t>Fit and proper person</w:t>
      </w:r>
      <w:bookmarkEnd w:id="95"/>
      <w:bookmarkEnd w:id="96"/>
    </w:p>
    <w:p w14:paraId="3850F673" w14:textId="2FBACBC1" w:rsidR="00B245E8" w:rsidRDefault="007F7609" w:rsidP="00907DA4">
      <w:r>
        <w:t>W</w:t>
      </w:r>
      <w:r w:rsidR="00B245E8">
        <w:t>e will consider whether the applicant is a fit and proper person to hold a Victorian electricity or gas industry licence</w:t>
      </w:r>
      <w:r>
        <w:t xml:space="preserve"> in deciding whether to grant or refuse a licence application</w:t>
      </w:r>
      <w:r w:rsidR="00B245E8">
        <w:t>.</w:t>
      </w:r>
    </w:p>
    <w:p w14:paraId="150B7A37" w14:textId="77777777" w:rsidR="00B245E8" w:rsidRDefault="00B245E8" w:rsidP="00907DA4">
      <w:r>
        <w:t>The concept of a</w:t>
      </w:r>
      <w:r w:rsidRPr="009A372B">
        <w:t xml:space="preserve"> </w:t>
      </w:r>
      <w:r>
        <w:t>‘</w:t>
      </w:r>
      <w:r w:rsidRPr="009A372B">
        <w:t>fit and proper person</w:t>
      </w:r>
      <w:r>
        <w:t>’</w:t>
      </w:r>
      <w:r w:rsidRPr="009A372B">
        <w:t xml:space="preserve"> is</w:t>
      </w:r>
      <w:r>
        <w:t xml:space="preserve"> established by common law and </w:t>
      </w:r>
      <w:r w:rsidRPr="009A372B">
        <w:t>takes its meaning from its context, from the activities in which the person is or will be engaged</w:t>
      </w:r>
      <w:r>
        <w:t>,</w:t>
      </w:r>
      <w:r w:rsidRPr="009A372B">
        <w:t xml:space="preserve"> and the ends t</w:t>
      </w:r>
      <w:r>
        <w:t xml:space="preserve">o be served by those activities. </w:t>
      </w:r>
    </w:p>
    <w:p w14:paraId="745C3AB0" w14:textId="77777777" w:rsidR="00B245E8" w:rsidRDefault="00B245E8" w:rsidP="00907DA4">
      <w:r>
        <w:t>In considering whether an applicant is a fit and proper person, we will have regard to the applicant’s honesty, integrity and reputation. These are relevant factors as they can inform an assessment of the likelihood of future conduct.</w:t>
      </w:r>
      <w:r>
        <w:rPr>
          <w:rStyle w:val="CommentReference"/>
        </w:rPr>
        <w:t xml:space="preserve"> </w:t>
      </w:r>
    </w:p>
    <w:p w14:paraId="1144604F" w14:textId="77777777" w:rsidR="00B245E8" w:rsidRDefault="00B245E8" w:rsidP="00907DA4">
      <w:r>
        <w:t>In considering an applicant’s suitability to hold an energy licence, we will also consider the conduct of directors, office holders or any person with significant managerial duties or influence in the applicant. We may also consider the conduct of related bodies corporate or entities that can exert control over the applicant.</w:t>
      </w:r>
    </w:p>
    <w:p w14:paraId="072F7F9C" w14:textId="7A2B8147" w:rsidR="00B245E8" w:rsidRDefault="00B245E8" w:rsidP="00907DA4">
      <w:r>
        <w:t>We require applicants to disclose any conduct or event relating to the following broad areas:</w:t>
      </w:r>
    </w:p>
    <w:p w14:paraId="443F2D08" w14:textId="77777777" w:rsidR="00B245E8" w:rsidRDefault="00B245E8" w:rsidP="007F7609">
      <w:pPr>
        <w:pStyle w:val="ListBullet"/>
      </w:pPr>
      <w:r>
        <w:t>bankruptcy and insolvency</w:t>
      </w:r>
    </w:p>
    <w:p w14:paraId="46AF6FEF" w14:textId="77777777" w:rsidR="00B245E8" w:rsidRDefault="00B245E8" w:rsidP="007F7609">
      <w:pPr>
        <w:pStyle w:val="ListBullet"/>
      </w:pPr>
      <w:r>
        <w:t>disqualification from managing a company</w:t>
      </w:r>
    </w:p>
    <w:p w14:paraId="53661078" w14:textId="77777777" w:rsidR="00B245E8" w:rsidRDefault="00B245E8" w:rsidP="007F7609">
      <w:pPr>
        <w:pStyle w:val="ListBullet"/>
      </w:pPr>
      <w:r>
        <w:t>criminal prosecutions</w:t>
      </w:r>
    </w:p>
    <w:p w14:paraId="0D92B3F9" w14:textId="77777777" w:rsidR="00B245E8" w:rsidRDefault="00B245E8" w:rsidP="007F7609">
      <w:pPr>
        <w:pStyle w:val="ListBullet"/>
      </w:pPr>
      <w:r>
        <w:t>prosecutions or enforcement action taken under relevant laws</w:t>
      </w:r>
    </w:p>
    <w:p w14:paraId="500F0BE8" w14:textId="77777777" w:rsidR="00B245E8" w:rsidRDefault="00B245E8" w:rsidP="007F7609">
      <w:pPr>
        <w:pStyle w:val="ListBullet"/>
      </w:pPr>
      <w:r>
        <w:t>refused licence applications or licences that have been restricted, suspended or revoked</w:t>
      </w:r>
    </w:p>
    <w:p w14:paraId="18ECE5A1" w14:textId="77777777" w:rsidR="00595C12" w:rsidRDefault="00B245E8">
      <w:pPr>
        <w:pStyle w:val="ListBullet"/>
      </w:pPr>
      <w:r>
        <w:t>material failures to comply with regulatory requirements</w:t>
      </w:r>
    </w:p>
    <w:p w14:paraId="6C48A2D0" w14:textId="6C1EFB33" w:rsidR="00B245E8" w:rsidRDefault="00595C12" w:rsidP="007F7609">
      <w:pPr>
        <w:pStyle w:val="ListBullet"/>
      </w:pPr>
      <w:r>
        <w:t>current investigations by a</w:t>
      </w:r>
      <w:r w:rsidR="0047303E">
        <w:t>ny other</w:t>
      </w:r>
      <w:r>
        <w:t xml:space="preserve"> regulator</w:t>
      </w:r>
      <w:r w:rsidR="00B245E8">
        <w:t>.</w:t>
      </w:r>
    </w:p>
    <w:p w14:paraId="08E03D0F" w14:textId="4D948BB6" w:rsidR="00B245E8" w:rsidRDefault="00B245E8">
      <w:r>
        <w:lastRenderedPageBreak/>
        <w:t>Disclosure of one or more matters will not automatically lead us to conclude that the applicant is not fit and proper</w:t>
      </w:r>
      <w:r w:rsidR="007F7609">
        <w:t xml:space="preserve"> to hold a Victorian energy licence</w:t>
      </w:r>
      <w:r>
        <w:t>. We will consider a number of factors when a disclosure is made, such as the seriousness of the matter and the impact on consumers, the egregiousness of the conduct (for example, where the conduct involved dishonesty or a deliberate attempt to mislead, this will be viewed more seriously), when the conduct occurred and the applicant’s subsequent conduct.</w:t>
      </w:r>
    </w:p>
    <w:p w14:paraId="3949DE72" w14:textId="1F5D2D7C" w:rsidR="0047303E" w:rsidRDefault="0047303E" w:rsidP="0047303E">
      <w:pPr>
        <w:pStyle w:val="Heading2numbered"/>
        <w:numPr>
          <w:ilvl w:val="1"/>
          <w:numId w:val="11"/>
        </w:numPr>
      </w:pPr>
      <w:bookmarkStart w:id="97" w:name="_Toc127875406"/>
      <w:r>
        <w:t>Policies</w:t>
      </w:r>
      <w:bookmarkEnd w:id="97"/>
    </w:p>
    <w:p w14:paraId="7B4E0AC9" w14:textId="712C3BE3" w:rsidR="003C0629" w:rsidRDefault="00EE291E">
      <w:pPr>
        <w:sectPr w:rsidR="003C0629" w:rsidSect="00DB206F">
          <w:footerReference w:type="default" r:id="rId40"/>
          <w:type w:val="continuous"/>
          <w:pgSz w:w="11906" w:h="16838" w:code="9"/>
          <w:pgMar w:top="1134" w:right="1134" w:bottom="1134" w:left="1134" w:header="709" w:footer="692" w:gutter="0"/>
          <w:cols w:space="708"/>
          <w:docGrid w:linePitch="360"/>
        </w:sectPr>
      </w:pPr>
      <w:r>
        <w:t>Applicants applying for a</w:t>
      </w:r>
      <w:r w:rsidR="007F7609">
        <w:t xml:space="preserve"> </w:t>
      </w:r>
      <w:r>
        <w:t xml:space="preserve">retail licence involving </w:t>
      </w:r>
      <w:r w:rsidR="007F7609">
        <w:t xml:space="preserve">the sale of energy to </w:t>
      </w:r>
      <w:r>
        <w:t xml:space="preserve">residential customers must provide </w:t>
      </w:r>
      <w:r w:rsidRPr="00EE291E">
        <w:t>a financial hardship policy, family violence policy and life support policy</w:t>
      </w:r>
      <w:r>
        <w:t xml:space="preserve"> with their application</w:t>
      </w:r>
      <w:r w:rsidR="007F7609">
        <w:t>.</w:t>
      </w:r>
    </w:p>
    <w:p w14:paraId="1D93145C" w14:textId="521DBF72" w:rsidR="00B245E8" w:rsidRPr="0031223E" w:rsidRDefault="003C0629" w:rsidP="00B245E8">
      <w:pPr>
        <w:pStyle w:val="Heading1numbered"/>
        <w:numPr>
          <w:ilvl w:val="0"/>
          <w:numId w:val="11"/>
        </w:numPr>
      </w:pPr>
      <w:bookmarkStart w:id="98" w:name="_Toc56515877"/>
      <w:bookmarkStart w:id="99" w:name="_Toc127875407"/>
      <w:r>
        <w:lastRenderedPageBreak/>
        <w:t>L</w:t>
      </w:r>
      <w:r w:rsidR="00B245E8">
        <w:t>icence</w:t>
      </w:r>
      <w:r>
        <w:t xml:space="preserve"> variation, </w:t>
      </w:r>
      <w:r w:rsidR="001D60D2">
        <w:t>transfer</w:t>
      </w:r>
      <w:r>
        <w:t xml:space="preserve"> and </w:t>
      </w:r>
      <w:bookmarkEnd w:id="98"/>
      <w:r w:rsidR="001D60D2">
        <w:t>revocation</w:t>
      </w:r>
      <w:bookmarkEnd w:id="99"/>
    </w:p>
    <w:p w14:paraId="2E80D1D5" w14:textId="77777777" w:rsidR="00B245E8" w:rsidRDefault="00B245E8" w:rsidP="00B245E8">
      <w:pPr>
        <w:pStyle w:val="Heading2numbered"/>
        <w:numPr>
          <w:ilvl w:val="1"/>
          <w:numId w:val="11"/>
        </w:numPr>
      </w:pPr>
      <w:bookmarkStart w:id="100" w:name="_Toc9325127"/>
      <w:bookmarkStart w:id="101" w:name="_Toc56515878"/>
      <w:bookmarkStart w:id="102" w:name="_Toc127875408"/>
      <w:bookmarkStart w:id="103" w:name="_Toc131490060"/>
      <w:bookmarkStart w:id="104" w:name="_Toc151981883"/>
      <w:r>
        <w:t>Variation</w:t>
      </w:r>
      <w:bookmarkEnd w:id="100"/>
      <w:bookmarkEnd w:id="101"/>
      <w:bookmarkEnd w:id="102"/>
    </w:p>
    <w:p w14:paraId="1EFEAC00" w14:textId="2442C4D9" w:rsidR="00B245E8" w:rsidRDefault="00B245E8" w:rsidP="00B245E8">
      <w:r>
        <w:t>A licence may be varied:</w:t>
      </w:r>
      <w:r>
        <w:rPr>
          <w:rStyle w:val="FootnoteReference"/>
        </w:rPr>
        <w:footnoteReference w:id="12"/>
      </w:r>
    </w:p>
    <w:p w14:paraId="2B194AC0" w14:textId="77777777" w:rsidR="00B245E8" w:rsidRDefault="00B245E8" w:rsidP="007F7609">
      <w:pPr>
        <w:pStyle w:val="ListBullet"/>
      </w:pPr>
      <w:r>
        <w:t xml:space="preserve">in accordance with the procedures set out in the licence, or </w:t>
      </w:r>
    </w:p>
    <w:p w14:paraId="04557DEC" w14:textId="4A1FF385" w:rsidR="00B245E8" w:rsidRDefault="00B245E8" w:rsidP="007F7609">
      <w:pPr>
        <w:pStyle w:val="ListBullet"/>
      </w:pPr>
      <w:r>
        <w:t xml:space="preserve">by agreement between </w:t>
      </w:r>
      <w:r w:rsidR="007F7609">
        <w:t xml:space="preserve">the commission </w:t>
      </w:r>
      <w:r>
        <w:t>and the licensee</w:t>
      </w:r>
      <w:r w:rsidR="007F7609">
        <w:t>,</w:t>
      </w:r>
      <w:r>
        <w:t xml:space="preserve"> or </w:t>
      </w:r>
    </w:p>
    <w:p w14:paraId="5ECC75DD" w14:textId="45C3B6A1" w:rsidR="00B245E8" w:rsidRDefault="00B245E8" w:rsidP="00104470">
      <w:pPr>
        <w:pStyle w:val="ListBullet"/>
      </w:pPr>
      <w:r>
        <w:t>by written notice from us</w:t>
      </w:r>
      <w:r w:rsidR="00FC70DA">
        <w:t xml:space="preserve"> provided that</w:t>
      </w:r>
      <w:r w:rsidR="00104470">
        <w:t xml:space="preserve"> </w:t>
      </w:r>
      <w:r w:rsidR="00FC70DA">
        <w:t>the commission is satisfied that the variation is necessary</w:t>
      </w:r>
      <w:r w:rsidR="00F1324B">
        <w:t xml:space="preserve"> and that the commission has given the licensee an opportunity to make representations on the matte</w:t>
      </w:r>
      <w:r w:rsidR="005D377E">
        <w:t>r</w:t>
      </w:r>
      <w:r w:rsidR="00104470">
        <w:t>.</w:t>
      </w:r>
    </w:p>
    <w:p w14:paraId="64D282CA" w14:textId="00CC3F98" w:rsidR="00B245E8" w:rsidRDefault="00B245E8" w:rsidP="00B245E8">
      <w:r>
        <w:t>Where a licensee requests that we vary its licence or licence conditions, the licensee should provide sufficient information to enable us to assess the impact and significance of the variation to the current licensing arrangements.</w:t>
      </w:r>
      <w:r w:rsidR="007F7609">
        <w:t xml:space="preserve"> For example, where an applicant seeks to expand the scope of permitted activities to include the sale of energy to residential or small business customers, it will need to submit information and documents to the commission in line with the requirements of the energy retail licence application form.</w:t>
      </w:r>
      <w:r w:rsidR="009C4F4A">
        <w:t xml:space="preserve"> This includes information and documents to demonstrate that it has the technical capacity and is financially viable to undertake the activities sought via the licence variation application. </w:t>
      </w:r>
    </w:p>
    <w:p w14:paraId="7AF0619C" w14:textId="77777777" w:rsidR="00B245E8" w:rsidRPr="001E48BA" w:rsidRDefault="00B245E8" w:rsidP="00B245E8">
      <w:pPr>
        <w:pStyle w:val="Heading2numbered"/>
        <w:numPr>
          <w:ilvl w:val="1"/>
          <w:numId w:val="11"/>
        </w:numPr>
      </w:pPr>
      <w:bookmarkStart w:id="105" w:name="_Toc9325128"/>
      <w:bookmarkStart w:id="106" w:name="_Toc56515879"/>
      <w:bookmarkStart w:id="107" w:name="_Toc127875409"/>
      <w:r w:rsidRPr="001E48BA">
        <w:t>Transfer</w:t>
      </w:r>
      <w:bookmarkEnd w:id="103"/>
      <w:bookmarkEnd w:id="104"/>
      <w:bookmarkEnd w:id="105"/>
      <w:bookmarkEnd w:id="106"/>
      <w:bookmarkEnd w:id="107"/>
    </w:p>
    <w:p w14:paraId="72DDA2E4" w14:textId="77777777" w:rsidR="00B245E8" w:rsidRPr="00F41877" w:rsidRDefault="00B245E8" w:rsidP="00907DA4">
      <w:r w:rsidRPr="00F41877">
        <w:t>After a lic</w:t>
      </w:r>
      <w:r>
        <w:t>ence is granted, a licensee may apply to us to approve the transfer of its licence to another legal person.</w:t>
      </w:r>
      <w:r>
        <w:rPr>
          <w:rStyle w:val="FootnoteReference"/>
          <w:rFonts w:cstheme="minorHAnsi"/>
        </w:rPr>
        <w:footnoteReference w:id="13"/>
      </w:r>
      <w:r w:rsidRPr="00F41877">
        <w:t xml:space="preserve"> </w:t>
      </w:r>
    </w:p>
    <w:p w14:paraId="3BBF0388" w14:textId="246E34AD" w:rsidR="00B245E8" w:rsidRPr="00F41877" w:rsidRDefault="00B245E8" w:rsidP="00907DA4">
      <w:r>
        <w:t xml:space="preserve">Applications must be in writing and must include </w:t>
      </w:r>
      <w:r w:rsidRPr="00F41877">
        <w:t xml:space="preserve">written confirmation from the transferee setting out </w:t>
      </w:r>
      <w:r>
        <w:t xml:space="preserve">its </w:t>
      </w:r>
      <w:r w:rsidRPr="00F41877">
        <w:t>formal consent to the transfer.</w:t>
      </w:r>
    </w:p>
    <w:p w14:paraId="29F7583E" w14:textId="1E6C696D" w:rsidR="00B245E8" w:rsidRPr="00F41877" w:rsidRDefault="00B245E8" w:rsidP="00907DA4">
      <w:r>
        <w:t xml:space="preserve">The licensee must </w:t>
      </w:r>
      <w:r w:rsidRPr="00F41877">
        <w:t>obtain and provide from the transferee all relevant information and necessar</w:t>
      </w:r>
      <w:r>
        <w:t>y declarations set out in this guide</w:t>
      </w:r>
      <w:r w:rsidR="00107430">
        <w:t>line</w:t>
      </w:r>
      <w:r>
        <w:t xml:space="preserve"> and </w:t>
      </w:r>
      <w:r w:rsidR="00BC47BC">
        <w:t xml:space="preserve">use the relevant application form </w:t>
      </w:r>
      <w:r>
        <w:t xml:space="preserve">as if </w:t>
      </w:r>
      <w:r w:rsidR="00BC47BC">
        <w:t xml:space="preserve">it was </w:t>
      </w:r>
      <w:r w:rsidRPr="00F41877">
        <w:t>applying for</w:t>
      </w:r>
      <w:r>
        <w:t xml:space="preserve"> a new licence</w:t>
      </w:r>
      <w:r w:rsidRPr="00F41877">
        <w:t xml:space="preserve">. </w:t>
      </w:r>
    </w:p>
    <w:p w14:paraId="6EBEBA97" w14:textId="26A4E829" w:rsidR="00B245E8" w:rsidRPr="00F41877" w:rsidRDefault="00B245E8" w:rsidP="00907DA4">
      <w:r w:rsidRPr="3A8C2E28">
        <w:t>A transfer of licence application must also be accompanied by a declaration in the form set out in this guide</w:t>
      </w:r>
      <w:r w:rsidR="00107430">
        <w:t>line</w:t>
      </w:r>
      <w:r w:rsidRPr="3A8C2E28">
        <w:t>.</w:t>
      </w:r>
    </w:p>
    <w:p w14:paraId="26091F0E" w14:textId="77777777" w:rsidR="00B245E8" w:rsidRPr="001E48BA" w:rsidRDefault="00B245E8" w:rsidP="00B245E8">
      <w:pPr>
        <w:pStyle w:val="Heading2numbered"/>
        <w:numPr>
          <w:ilvl w:val="1"/>
          <w:numId w:val="11"/>
        </w:numPr>
      </w:pPr>
      <w:bookmarkStart w:id="108" w:name="_Toc9325129"/>
      <w:bookmarkStart w:id="109" w:name="_Toc56515880"/>
      <w:bookmarkStart w:id="110" w:name="_Toc127875410"/>
      <w:r>
        <w:lastRenderedPageBreak/>
        <w:t>Revocation</w:t>
      </w:r>
      <w:bookmarkEnd w:id="108"/>
      <w:bookmarkEnd w:id="109"/>
      <w:bookmarkEnd w:id="110"/>
    </w:p>
    <w:p w14:paraId="375AA3C5" w14:textId="3E4C69E0" w:rsidR="00D25D52" w:rsidRDefault="00E61272" w:rsidP="00B245E8">
      <w:pPr>
        <w:pStyle w:val="BodyText1"/>
        <w:spacing w:before="160" w:after="160" w:line="336" w:lineRule="auto"/>
        <w:rPr>
          <w:rFonts w:asciiTheme="minorHAnsi" w:hAnsiTheme="minorHAnsi" w:cstheme="minorHAnsi"/>
          <w:sz w:val="22"/>
          <w:szCs w:val="22"/>
        </w:rPr>
      </w:pPr>
      <w:r>
        <w:rPr>
          <w:rFonts w:asciiTheme="minorHAnsi" w:hAnsiTheme="minorHAnsi" w:cstheme="minorHAnsi"/>
          <w:sz w:val="22"/>
          <w:szCs w:val="22"/>
        </w:rPr>
        <w:t xml:space="preserve">The commission </w:t>
      </w:r>
      <w:r w:rsidR="001254A2">
        <w:rPr>
          <w:rFonts w:asciiTheme="minorHAnsi" w:hAnsiTheme="minorHAnsi" w:cstheme="minorHAnsi"/>
          <w:sz w:val="22"/>
          <w:szCs w:val="22"/>
        </w:rPr>
        <w:t xml:space="preserve">has </w:t>
      </w:r>
      <w:r w:rsidR="00CD1D71">
        <w:rPr>
          <w:rFonts w:asciiTheme="minorHAnsi" w:hAnsiTheme="minorHAnsi" w:cstheme="minorHAnsi"/>
          <w:sz w:val="22"/>
          <w:szCs w:val="22"/>
        </w:rPr>
        <w:t>a broad</w:t>
      </w:r>
      <w:r>
        <w:rPr>
          <w:rFonts w:asciiTheme="minorHAnsi" w:hAnsiTheme="minorHAnsi" w:cstheme="minorHAnsi"/>
          <w:sz w:val="22"/>
          <w:szCs w:val="22"/>
        </w:rPr>
        <w:t xml:space="preserve"> discretion to revoke a licence. In addition</w:t>
      </w:r>
      <w:r w:rsidR="005E6BB5">
        <w:rPr>
          <w:rFonts w:asciiTheme="minorHAnsi" w:hAnsiTheme="minorHAnsi" w:cstheme="minorHAnsi"/>
          <w:sz w:val="22"/>
          <w:szCs w:val="22"/>
        </w:rPr>
        <w:t xml:space="preserve"> (and without limiting this discretion),</w:t>
      </w:r>
      <w:r>
        <w:rPr>
          <w:rFonts w:asciiTheme="minorHAnsi" w:hAnsiTheme="minorHAnsi" w:cstheme="minorHAnsi"/>
          <w:sz w:val="22"/>
          <w:szCs w:val="22"/>
        </w:rPr>
        <w:t xml:space="preserve"> </w:t>
      </w:r>
      <w:r w:rsidR="006D3105">
        <w:rPr>
          <w:rFonts w:asciiTheme="minorHAnsi" w:hAnsiTheme="minorHAnsi" w:cstheme="minorHAnsi"/>
          <w:sz w:val="22"/>
          <w:szCs w:val="22"/>
        </w:rPr>
        <w:t>licences specify procedures in accordance with which licences may be revoked</w:t>
      </w:r>
      <w:r w:rsidR="00B245E8">
        <w:rPr>
          <w:rFonts w:asciiTheme="minorHAnsi" w:hAnsiTheme="minorHAnsi" w:cstheme="minorHAnsi"/>
          <w:sz w:val="22"/>
          <w:szCs w:val="22"/>
        </w:rPr>
        <w:t>.</w:t>
      </w:r>
    </w:p>
    <w:p w14:paraId="5D8045D8" w14:textId="1ACEC257" w:rsidR="00B245E8" w:rsidRDefault="00B245E8" w:rsidP="00B245E8">
      <w:pPr>
        <w:pStyle w:val="BodyText1"/>
        <w:spacing w:before="160" w:after="160" w:line="336" w:lineRule="auto"/>
        <w:rPr>
          <w:rFonts w:asciiTheme="minorHAnsi" w:hAnsiTheme="minorHAnsi" w:cstheme="minorHAnsi"/>
          <w:sz w:val="22"/>
          <w:szCs w:val="22"/>
        </w:rPr>
      </w:pPr>
      <w:r>
        <w:rPr>
          <w:rFonts w:asciiTheme="minorHAnsi" w:hAnsiTheme="minorHAnsi" w:cstheme="minorHAnsi"/>
          <w:sz w:val="22"/>
          <w:szCs w:val="22"/>
        </w:rPr>
        <w:t xml:space="preserve">Generally, </w:t>
      </w:r>
      <w:r w:rsidR="003B7C67">
        <w:rPr>
          <w:rFonts w:asciiTheme="minorHAnsi" w:hAnsiTheme="minorHAnsi" w:cstheme="minorHAnsi"/>
          <w:sz w:val="22"/>
          <w:szCs w:val="22"/>
        </w:rPr>
        <w:t>the commission</w:t>
      </w:r>
      <w:r>
        <w:rPr>
          <w:rFonts w:asciiTheme="minorHAnsi" w:hAnsiTheme="minorHAnsi" w:cstheme="minorHAnsi"/>
          <w:sz w:val="22"/>
          <w:szCs w:val="22"/>
        </w:rPr>
        <w:t xml:space="preserve"> may revoke a licence:</w:t>
      </w:r>
    </w:p>
    <w:p w14:paraId="1D044CC2" w14:textId="64FAAA82" w:rsidR="00B245E8" w:rsidRDefault="00B245E8" w:rsidP="00907DA4">
      <w:pPr>
        <w:pStyle w:val="ListBullet"/>
      </w:pPr>
      <w:r>
        <w:t xml:space="preserve">at any time </w:t>
      </w:r>
      <w:r w:rsidR="009C4F4A">
        <w:t xml:space="preserve">by agreement with </w:t>
      </w:r>
      <w:r>
        <w:t>the licensee or</w:t>
      </w:r>
    </w:p>
    <w:p w14:paraId="4901676C" w14:textId="2C8EC49D" w:rsidR="00B245E8" w:rsidRDefault="00B245E8" w:rsidP="00907DA4">
      <w:pPr>
        <w:pStyle w:val="ListBullet"/>
      </w:pPr>
      <w:r>
        <w:t xml:space="preserve">in </w:t>
      </w:r>
      <w:r w:rsidR="0081146F">
        <w:t xml:space="preserve">accordance with the </w:t>
      </w:r>
      <w:r w:rsidR="008238FD" w:rsidRPr="003B7C67">
        <w:rPr>
          <w:i/>
          <w:iCs/>
        </w:rPr>
        <w:t xml:space="preserve">Electricity Industry Act </w:t>
      </w:r>
      <w:r w:rsidR="003B7C67" w:rsidRPr="003B7C67">
        <w:rPr>
          <w:i/>
          <w:iCs/>
        </w:rPr>
        <w:t>2000</w:t>
      </w:r>
      <w:r w:rsidR="003B7C67">
        <w:t xml:space="preserve"> </w:t>
      </w:r>
      <w:r w:rsidR="008238FD">
        <w:t xml:space="preserve">or </w:t>
      </w:r>
      <w:r w:rsidR="008238FD" w:rsidRPr="003B7C67">
        <w:rPr>
          <w:i/>
          <w:iCs/>
        </w:rPr>
        <w:t>Gas Industry Act</w:t>
      </w:r>
      <w:r w:rsidR="003B7C67" w:rsidRPr="003B7C67">
        <w:rPr>
          <w:i/>
          <w:iCs/>
        </w:rPr>
        <w:t xml:space="preserve"> 2001</w:t>
      </w:r>
      <w:r w:rsidR="002810FA">
        <w:t xml:space="preserve"> (as applicable)</w:t>
      </w:r>
      <w:r>
        <w:t>.</w:t>
      </w:r>
      <w:r>
        <w:rPr>
          <w:rStyle w:val="CommentReference"/>
        </w:rPr>
        <w:t xml:space="preserve"> </w:t>
      </w:r>
    </w:p>
    <w:p w14:paraId="242E786D" w14:textId="4A13670C" w:rsidR="00B245E8" w:rsidRDefault="008C5C4B" w:rsidP="00B245E8">
      <w:pPr>
        <w:pStyle w:val="BodyText1"/>
        <w:spacing w:before="160" w:after="160" w:line="336" w:lineRule="auto"/>
        <w:rPr>
          <w:rFonts w:asciiTheme="minorHAnsi" w:hAnsiTheme="minorHAnsi" w:cstheme="minorHAnsi"/>
          <w:sz w:val="22"/>
          <w:szCs w:val="22"/>
        </w:rPr>
      </w:pPr>
      <w:r>
        <w:rPr>
          <w:rFonts w:asciiTheme="minorHAnsi" w:hAnsiTheme="minorHAnsi" w:cstheme="minorHAnsi"/>
          <w:sz w:val="22"/>
          <w:szCs w:val="22"/>
        </w:rPr>
        <w:t>The commission recognises that revocation of a licence is a serious smatter and may have significant consequences for the relevant licensee. As such, the commission will regard revocation of a licence</w:t>
      </w:r>
      <w:r w:rsidR="009C4F4A">
        <w:rPr>
          <w:rFonts w:asciiTheme="minorHAnsi" w:hAnsiTheme="minorHAnsi" w:cstheme="minorHAnsi"/>
          <w:sz w:val="22"/>
          <w:szCs w:val="22"/>
        </w:rPr>
        <w:t>, where it is not by agreement,</w:t>
      </w:r>
      <w:r>
        <w:rPr>
          <w:rFonts w:asciiTheme="minorHAnsi" w:hAnsiTheme="minorHAnsi" w:cstheme="minorHAnsi"/>
          <w:sz w:val="22"/>
          <w:szCs w:val="22"/>
        </w:rPr>
        <w:t xml:space="preserve"> to be a last resort measure. </w:t>
      </w:r>
    </w:p>
    <w:p w14:paraId="351D971B" w14:textId="77777777" w:rsidR="003C0629" w:rsidRDefault="003C0629" w:rsidP="00B245E8">
      <w:pPr>
        <w:pStyle w:val="BodyText1"/>
        <w:spacing w:before="160" w:after="160" w:line="336" w:lineRule="auto"/>
        <w:rPr>
          <w:rFonts w:asciiTheme="minorHAnsi" w:hAnsiTheme="minorHAnsi" w:cstheme="minorHAnsi"/>
          <w:sz w:val="22"/>
          <w:szCs w:val="22"/>
        </w:rPr>
        <w:sectPr w:rsidR="003C0629" w:rsidSect="00DB206F">
          <w:footerReference w:type="default" r:id="rId41"/>
          <w:type w:val="continuous"/>
          <w:pgSz w:w="11906" w:h="16838" w:code="9"/>
          <w:pgMar w:top="1134" w:right="1134" w:bottom="1134" w:left="1134" w:header="709" w:footer="692" w:gutter="0"/>
          <w:cols w:space="708"/>
          <w:docGrid w:linePitch="360"/>
        </w:sectPr>
      </w:pPr>
    </w:p>
    <w:p w14:paraId="25CEB4DB" w14:textId="0F5DBA84" w:rsidR="00B245E8" w:rsidRPr="0031223E" w:rsidRDefault="001D60D2" w:rsidP="00B245E8">
      <w:pPr>
        <w:pStyle w:val="Heading1numbered"/>
        <w:numPr>
          <w:ilvl w:val="0"/>
          <w:numId w:val="11"/>
        </w:numPr>
      </w:pPr>
      <w:bookmarkStart w:id="111" w:name="_Toc56515881"/>
      <w:bookmarkStart w:id="112" w:name="_Toc127875411"/>
      <w:bookmarkStart w:id="113" w:name="_Toc151981884"/>
      <w:r>
        <w:lastRenderedPageBreak/>
        <w:t>Licence e</w:t>
      </w:r>
      <w:r w:rsidR="00B245E8" w:rsidRPr="009821FD">
        <w:t>xemptions</w:t>
      </w:r>
      <w:bookmarkEnd w:id="111"/>
      <w:r w:rsidR="00993E34">
        <w:t xml:space="preserve"> and trial waivers</w:t>
      </w:r>
      <w:bookmarkEnd w:id="112"/>
    </w:p>
    <w:p w14:paraId="2474B84E" w14:textId="0D571B97" w:rsidR="00993E34" w:rsidRDefault="001D60D2" w:rsidP="00993E34">
      <w:pPr>
        <w:pStyle w:val="Heading2"/>
      </w:pPr>
      <w:bookmarkStart w:id="114" w:name="_Toc111724790"/>
      <w:bookmarkStart w:id="115" w:name="_Toc111725138"/>
      <w:bookmarkStart w:id="116" w:name="_Toc127875412"/>
      <w:bookmarkEnd w:id="113"/>
      <w:r>
        <w:t>Licence e</w:t>
      </w:r>
      <w:r w:rsidR="00993E34">
        <w:t>xemptions</w:t>
      </w:r>
      <w:bookmarkEnd w:id="114"/>
      <w:bookmarkEnd w:id="115"/>
      <w:bookmarkEnd w:id="116"/>
    </w:p>
    <w:p w14:paraId="05FD0570" w14:textId="7C7CC7D4" w:rsidR="00B245E8" w:rsidRDefault="00B245E8" w:rsidP="00907DA4">
      <w:pPr>
        <w:rPr>
          <w:rFonts w:cstheme="minorHAnsi"/>
        </w:rPr>
      </w:pPr>
      <w:r w:rsidRPr="00F41877">
        <w:rPr>
          <w:rFonts w:cstheme="minorHAnsi"/>
        </w:rPr>
        <w:t xml:space="preserve">Section 17 of the </w:t>
      </w:r>
      <w:r w:rsidR="009C4F4A" w:rsidRPr="003B7C67">
        <w:rPr>
          <w:i/>
          <w:iCs/>
        </w:rPr>
        <w:t>Electricity Industry Act</w:t>
      </w:r>
      <w:r w:rsidRPr="003B7C67">
        <w:rPr>
          <w:rFonts w:cstheme="minorHAnsi"/>
          <w:i/>
          <w:iCs/>
        </w:rPr>
        <w:t xml:space="preserve"> </w:t>
      </w:r>
      <w:r w:rsidR="003B7C67" w:rsidRPr="003B7C67">
        <w:rPr>
          <w:rFonts w:cstheme="minorHAnsi"/>
          <w:i/>
          <w:iCs/>
        </w:rPr>
        <w:t>2000</w:t>
      </w:r>
      <w:r w:rsidR="003B7C67">
        <w:rPr>
          <w:rFonts w:cstheme="minorHAnsi"/>
        </w:rPr>
        <w:t xml:space="preserve"> </w:t>
      </w:r>
      <w:r>
        <w:rPr>
          <w:rFonts w:cstheme="minorHAnsi"/>
        </w:rPr>
        <w:t xml:space="preserve">and section 24 of the </w:t>
      </w:r>
      <w:r w:rsidR="009C4F4A" w:rsidRPr="003B7C67">
        <w:rPr>
          <w:i/>
          <w:iCs/>
        </w:rPr>
        <w:t>Gas Industry Act</w:t>
      </w:r>
      <w:r w:rsidRPr="003B7C67">
        <w:rPr>
          <w:rFonts w:cstheme="minorHAnsi"/>
          <w:i/>
          <w:iCs/>
        </w:rPr>
        <w:t xml:space="preserve"> </w:t>
      </w:r>
      <w:r w:rsidR="003B7C67" w:rsidRPr="003B7C67">
        <w:rPr>
          <w:rFonts w:cstheme="minorHAnsi"/>
          <w:i/>
          <w:iCs/>
        </w:rPr>
        <w:t>2001</w:t>
      </w:r>
      <w:r w:rsidR="003B7C67">
        <w:rPr>
          <w:rFonts w:cstheme="minorHAnsi"/>
        </w:rPr>
        <w:t xml:space="preserve"> </w:t>
      </w:r>
      <w:r>
        <w:rPr>
          <w:rFonts w:cstheme="minorHAnsi"/>
        </w:rPr>
        <w:t>provide</w:t>
      </w:r>
      <w:r w:rsidRPr="00F41877">
        <w:rPr>
          <w:rFonts w:cstheme="minorHAnsi"/>
        </w:rPr>
        <w:t xml:space="preserve"> </w:t>
      </w:r>
      <w:r>
        <w:rPr>
          <w:rFonts w:cstheme="minorHAnsi"/>
        </w:rPr>
        <w:t>that a person may be exempted</w:t>
      </w:r>
      <w:r w:rsidRPr="00F41877">
        <w:rPr>
          <w:rFonts w:cstheme="minorHAnsi"/>
        </w:rPr>
        <w:t xml:space="preserve"> from the r</w:t>
      </w:r>
      <w:r>
        <w:rPr>
          <w:rFonts w:cstheme="minorHAnsi"/>
        </w:rPr>
        <w:t xml:space="preserve">equirement to obtain a licence. </w:t>
      </w:r>
      <w:bookmarkStart w:id="117" w:name="_Hlk109307971"/>
      <w:r>
        <w:rPr>
          <w:rFonts w:cstheme="minorHAnsi"/>
        </w:rPr>
        <w:t xml:space="preserve">Exemptions are made by an Order </w:t>
      </w:r>
      <w:r w:rsidR="00D14EE9">
        <w:rPr>
          <w:rFonts w:cstheme="minorHAnsi"/>
        </w:rPr>
        <w:t xml:space="preserve">issued </w:t>
      </w:r>
      <w:r>
        <w:rPr>
          <w:rFonts w:cstheme="minorHAnsi"/>
        </w:rPr>
        <w:t>by the Governor in Council.</w:t>
      </w:r>
    </w:p>
    <w:p w14:paraId="56C63EED" w14:textId="4591612B" w:rsidR="00B245E8" w:rsidRDefault="00B245E8" w:rsidP="00907DA4">
      <w:pPr>
        <w:rPr>
          <w:rFonts w:cstheme="minorHAnsi"/>
        </w:rPr>
      </w:pPr>
      <w:r>
        <w:rPr>
          <w:rFonts w:cstheme="minorHAnsi"/>
        </w:rPr>
        <w:t xml:space="preserve">Exemptions may be of </w:t>
      </w:r>
      <w:r w:rsidR="00B37C23">
        <w:rPr>
          <w:rFonts w:cstheme="minorHAnsi"/>
        </w:rPr>
        <w:t xml:space="preserve">an </w:t>
      </w:r>
      <w:r>
        <w:rPr>
          <w:rFonts w:cstheme="minorHAnsi"/>
        </w:rPr>
        <w:t>individual or general application.</w:t>
      </w:r>
    </w:p>
    <w:bookmarkEnd w:id="117"/>
    <w:p w14:paraId="0E68EE81" w14:textId="2C1DD124" w:rsidR="00B245E8" w:rsidRDefault="00B245E8" w:rsidP="00907DA4">
      <w:pPr>
        <w:rPr>
          <w:rFonts w:cstheme="minorHAnsi"/>
        </w:rPr>
      </w:pPr>
      <w:r>
        <w:rPr>
          <w:rFonts w:cstheme="minorHAnsi"/>
        </w:rPr>
        <w:t>A person may be exempted from the requirement to obtain a</w:t>
      </w:r>
      <w:r w:rsidR="00BC47BC">
        <w:rPr>
          <w:rFonts w:cstheme="minorHAnsi"/>
        </w:rPr>
        <w:t>n electricity</w:t>
      </w:r>
      <w:r>
        <w:rPr>
          <w:rFonts w:cstheme="minorHAnsi"/>
        </w:rPr>
        <w:t xml:space="preserve"> licence if they meet the </w:t>
      </w:r>
      <w:r w:rsidR="00BC47BC">
        <w:rPr>
          <w:rFonts w:cstheme="minorHAnsi"/>
        </w:rPr>
        <w:t xml:space="preserve">conditions </w:t>
      </w:r>
      <w:r>
        <w:rPr>
          <w:rFonts w:cstheme="minorHAnsi"/>
        </w:rPr>
        <w:t xml:space="preserve">of the </w:t>
      </w:r>
      <w:hyperlink r:id="rId42" w:history="1">
        <w:r w:rsidR="004918DF" w:rsidRPr="004918DF">
          <w:rPr>
            <w:rStyle w:val="Hyperlink"/>
            <w:rFonts w:cstheme="minorHAnsi"/>
          </w:rPr>
          <w:t>General Exemption Order</w:t>
        </w:r>
      </w:hyperlink>
      <w:r>
        <w:rPr>
          <w:rFonts w:cstheme="minorHAnsi"/>
        </w:rPr>
        <w:t xml:space="preserve">. The General Exemption Order only applies to electricity activities, not the sale or supply of gas. </w:t>
      </w:r>
    </w:p>
    <w:p w14:paraId="6A928D9F" w14:textId="77777777" w:rsidR="00B245E8" w:rsidRDefault="00B245E8" w:rsidP="00907DA4">
      <w:pPr>
        <w:rPr>
          <w:rFonts w:cstheme="minorHAnsi"/>
        </w:rPr>
      </w:pPr>
      <w:r>
        <w:rPr>
          <w:rFonts w:cstheme="minorHAnsi"/>
        </w:rPr>
        <w:t>Persons who are exempted from holding a licence under the General Exemption Order have obligations which include:</w:t>
      </w:r>
    </w:p>
    <w:p w14:paraId="135006E6" w14:textId="759B7D42" w:rsidR="00B245E8" w:rsidRDefault="00B245E8" w:rsidP="00B245E8">
      <w:pPr>
        <w:pStyle w:val="ListBullet"/>
        <w:tabs>
          <w:tab w:val="num" w:pos="360"/>
        </w:tabs>
        <w:ind w:left="360" w:hanging="360"/>
      </w:pPr>
      <w:r>
        <w:t>registering their exemption with us (in most circumstances)</w:t>
      </w:r>
      <w:r>
        <w:rPr>
          <w:rStyle w:val="FootnoteReference"/>
          <w:rFonts w:cstheme="minorHAnsi"/>
        </w:rPr>
        <w:footnoteReference w:id="14"/>
      </w:r>
    </w:p>
    <w:p w14:paraId="00255BE2" w14:textId="43F8AB77" w:rsidR="00B245E8" w:rsidRDefault="00BE462A" w:rsidP="00B245E8">
      <w:pPr>
        <w:pStyle w:val="ListBullet"/>
        <w:tabs>
          <w:tab w:val="num" w:pos="360"/>
        </w:tabs>
        <w:ind w:left="360" w:hanging="360"/>
      </w:pPr>
      <w:hyperlink r:id="rId43" w:history="1">
        <w:r w:rsidR="00B245E8" w:rsidRPr="00386FA6">
          <w:rPr>
            <w:rStyle w:val="Hyperlink"/>
          </w:rPr>
          <w:t>becoming a member of the Energy and Water Ombudsman (Victoria)</w:t>
        </w:r>
      </w:hyperlink>
    </w:p>
    <w:p w14:paraId="344294AA" w14:textId="778ED87D" w:rsidR="00B245E8" w:rsidRDefault="00B245E8" w:rsidP="00B245E8">
      <w:pPr>
        <w:pStyle w:val="ListBullet"/>
        <w:tabs>
          <w:tab w:val="num" w:pos="360"/>
        </w:tabs>
        <w:ind w:left="360" w:hanging="360"/>
      </w:pPr>
      <w:r>
        <w:t>complying with relevant sections of the Energy Retail Code</w:t>
      </w:r>
      <w:r w:rsidR="00236655">
        <w:t xml:space="preserve"> of Practice</w:t>
      </w:r>
      <w:r>
        <w:t xml:space="preserve">, Electricity Distribution Code </w:t>
      </w:r>
      <w:r w:rsidR="00236655">
        <w:t xml:space="preserve">of Practice </w:t>
      </w:r>
      <w:r>
        <w:t>and General Exemption Order.</w:t>
      </w:r>
    </w:p>
    <w:p w14:paraId="794E1400" w14:textId="6B9A7137" w:rsidR="00B245E8" w:rsidRDefault="00B245E8" w:rsidP="00907DA4">
      <w:r>
        <w:t xml:space="preserve">If the applicant </w:t>
      </w:r>
      <w:r w:rsidR="00BC47BC">
        <w:t xml:space="preserve">considers </w:t>
      </w:r>
      <w:r>
        <w:t>it is exempted from holding a</w:t>
      </w:r>
      <w:r w:rsidR="00BC47BC">
        <w:t>n electricity</w:t>
      </w:r>
      <w:r>
        <w:t xml:space="preserve"> licence, the applicant should </w:t>
      </w:r>
      <w:r w:rsidR="00BC47BC">
        <w:t xml:space="preserve">refer to </w:t>
      </w:r>
      <w:r>
        <w:t xml:space="preserve">the General Exemption Order to understand whether the activities fall within the scope of that exemption and what obligations may apply.  </w:t>
      </w:r>
    </w:p>
    <w:p w14:paraId="43622ED9" w14:textId="127D856C" w:rsidR="00B245E8" w:rsidRDefault="00B245E8" w:rsidP="00907DA4">
      <w:r>
        <w:t xml:space="preserve">We have more information about </w:t>
      </w:r>
      <w:r w:rsidR="00213C27">
        <w:t xml:space="preserve">licence </w:t>
      </w:r>
      <w:r>
        <w:t xml:space="preserve">exemptions on our </w:t>
      </w:r>
      <w:hyperlink r:id="rId44" w:history="1">
        <w:r w:rsidRPr="00C8668E">
          <w:rPr>
            <w:rStyle w:val="Hyperlink"/>
            <w:rFonts w:cstheme="minorHAnsi"/>
          </w:rPr>
          <w:t>website</w:t>
        </w:r>
      </w:hyperlink>
      <w:r>
        <w:t xml:space="preserve">. </w:t>
      </w:r>
    </w:p>
    <w:p w14:paraId="747449D0" w14:textId="5ABB531A" w:rsidR="00993E34" w:rsidRDefault="00993E34" w:rsidP="00993E34">
      <w:pPr>
        <w:pStyle w:val="Heading2"/>
      </w:pPr>
      <w:bookmarkStart w:id="118" w:name="_Toc111724791"/>
      <w:bookmarkStart w:id="119" w:name="_Toc111725139"/>
      <w:bookmarkStart w:id="120" w:name="_Toc127875413"/>
      <w:r>
        <w:t>Trial waivers</w:t>
      </w:r>
      <w:bookmarkEnd w:id="118"/>
      <w:bookmarkEnd w:id="119"/>
      <w:bookmarkEnd w:id="120"/>
    </w:p>
    <w:p w14:paraId="704C5E5D" w14:textId="328EE081" w:rsidR="00E93409" w:rsidRPr="00E93409" w:rsidRDefault="00E93409" w:rsidP="00E93409">
      <w:r w:rsidRPr="00E93409">
        <w:rPr>
          <w:rFonts w:hint="cs"/>
        </w:rPr>
        <w:t>Victoria’s regulatory sandboxing framework commenced on 1 June 2022</w:t>
      </w:r>
      <w:r>
        <w:t>.</w:t>
      </w:r>
    </w:p>
    <w:p w14:paraId="3CCD0B93" w14:textId="77777777" w:rsidR="00E93409" w:rsidRPr="00E93409" w:rsidRDefault="00E93409" w:rsidP="00E93409">
      <w:r w:rsidRPr="00E93409">
        <w:rPr>
          <w:rFonts w:hint="cs"/>
        </w:rPr>
        <w:t xml:space="preserve">New provisions in the </w:t>
      </w:r>
      <w:r w:rsidRPr="003B7C67">
        <w:rPr>
          <w:rFonts w:hint="cs"/>
          <w:i/>
          <w:iCs/>
        </w:rPr>
        <w:t>Electricity Industry Act 2000</w:t>
      </w:r>
      <w:r w:rsidRPr="00E93409">
        <w:rPr>
          <w:rFonts w:hint="cs"/>
        </w:rPr>
        <w:t xml:space="preserve">, the </w:t>
      </w:r>
      <w:r w:rsidRPr="003B7C67">
        <w:rPr>
          <w:rFonts w:hint="cs"/>
          <w:i/>
          <w:iCs/>
        </w:rPr>
        <w:t>Gas Industry Act 2001</w:t>
      </w:r>
      <w:r w:rsidRPr="00E93409">
        <w:rPr>
          <w:rFonts w:hint="cs"/>
        </w:rPr>
        <w:t xml:space="preserve"> and the </w:t>
      </w:r>
      <w:r w:rsidRPr="003B7C67">
        <w:rPr>
          <w:rFonts w:hint="cs"/>
          <w:i/>
          <w:iCs/>
        </w:rPr>
        <w:t>Essential Services Commission Act 2001</w:t>
      </w:r>
      <w:r w:rsidRPr="00E93409">
        <w:rPr>
          <w:rFonts w:hint="cs"/>
        </w:rPr>
        <w:t xml:space="preserve"> provide the commission new powers to grant a time-limited trial waiver to innovators who sell, supply, generate or transmit electricity or gas. This will allow the trialling of innovative technologies, approaches, business models, products and services in the </w:t>
      </w:r>
      <w:r w:rsidRPr="00E93409">
        <w:rPr>
          <w:rFonts w:hint="cs"/>
        </w:rPr>
        <w:lastRenderedPageBreak/>
        <w:t>Victorian energy market, in a controlled setting, and help inform whether permanent changes to particular energy rules would benefit Victorian consumers.</w:t>
      </w:r>
    </w:p>
    <w:p w14:paraId="2141CE8F" w14:textId="2E478BC8" w:rsidR="00E93409" w:rsidRPr="00E93409" w:rsidRDefault="00E93409" w:rsidP="00E93409">
      <w:r w:rsidRPr="00E93409">
        <w:rPr>
          <w:rFonts w:hint="cs"/>
        </w:rPr>
        <w:t>Trial waivers operate alongside licences and licence exemptions as a distinct authorisation category that enables entry into Victoria’s energy market.</w:t>
      </w:r>
    </w:p>
    <w:p w14:paraId="5F70000F" w14:textId="0DD45526" w:rsidR="00993E34" w:rsidRPr="00993E34" w:rsidRDefault="00CA6037" w:rsidP="00993E34">
      <w:r>
        <w:t xml:space="preserve">We have more information about trial waivers and regulatory sandboxing on our </w:t>
      </w:r>
      <w:hyperlink r:id="rId45" w:history="1">
        <w:r w:rsidRPr="00CA6037">
          <w:rPr>
            <w:rStyle w:val="Hyperlink"/>
          </w:rPr>
          <w:t>website</w:t>
        </w:r>
      </w:hyperlink>
      <w:r>
        <w:t>.</w:t>
      </w:r>
    </w:p>
    <w:p w14:paraId="28AC1592" w14:textId="77777777" w:rsidR="00B245E8" w:rsidRDefault="00B245E8" w:rsidP="00B245E8">
      <w:pPr>
        <w:pStyle w:val="ListNumber"/>
        <w:numPr>
          <w:ilvl w:val="0"/>
          <w:numId w:val="0"/>
        </w:numPr>
        <w:rPr>
          <w:rFonts w:cstheme="minorHAnsi"/>
          <w:sz w:val="24"/>
        </w:rPr>
      </w:pPr>
    </w:p>
    <w:p w14:paraId="03202889" w14:textId="7B8BDA1A" w:rsidR="003C0629" w:rsidRDefault="003C0629" w:rsidP="00B245E8">
      <w:pPr>
        <w:spacing w:before="0" w:line="259" w:lineRule="auto"/>
        <w:sectPr w:rsidR="003C0629" w:rsidSect="00DB206F">
          <w:footerReference w:type="default" r:id="rId46"/>
          <w:type w:val="continuous"/>
          <w:pgSz w:w="11906" w:h="16838" w:code="9"/>
          <w:pgMar w:top="1134" w:right="1134" w:bottom="1134" w:left="1134" w:header="709" w:footer="692" w:gutter="0"/>
          <w:cols w:space="708"/>
          <w:docGrid w:linePitch="360"/>
        </w:sectPr>
      </w:pPr>
    </w:p>
    <w:p w14:paraId="6CC45A9A" w14:textId="77777777" w:rsidR="00B245E8" w:rsidRDefault="00B245E8" w:rsidP="00B245E8">
      <w:pPr>
        <w:spacing w:before="0" w:line="259" w:lineRule="auto"/>
      </w:pPr>
    </w:p>
    <w:p w14:paraId="43D4BA9C" w14:textId="77777777" w:rsidR="00B245E8" w:rsidRDefault="00B245E8" w:rsidP="00B245E8">
      <w:pPr>
        <w:pStyle w:val="Heading1numbered"/>
        <w:numPr>
          <w:ilvl w:val="0"/>
          <w:numId w:val="11"/>
        </w:numPr>
      </w:pPr>
      <w:bookmarkStart w:id="121" w:name="_Toc56515882"/>
      <w:bookmarkStart w:id="122" w:name="_Toc127875414"/>
      <w:r>
        <w:lastRenderedPageBreak/>
        <w:t>Obligations once granted a licence</w:t>
      </w:r>
      <w:bookmarkEnd w:id="121"/>
      <w:bookmarkEnd w:id="122"/>
    </w:p>
    <w:p w14:paraId="5307C578" w14:textId="77777777" w:rsidR="00B245E8" w:rsidRDefault="00B245E8" w:rsidP="00B245E8">
      <w:pPr>
        <w:pStyle w:val="Heading2numbered"/>
        <w:numPr>
          <w:ilvl w:val="1"/>
          <w:numId w:val="11"/>
        </w:numPr>
      </w:pPr>
      <w:bookmarkStart w:id="123" w:name="_Toc56515883"/>
      <w:bookmarkStart w:id="124" w:name="_Toc127875415"/>
      <w:r>
        <w:t>Ongoing obligations</w:t>
      </w:r>
      <w:bookmarkEnd w:id="123"/>
      <w:bookmarkEnd w:id="124"/>
    </w:p>
    <w:p w14:paraId="6C2F5B6A" w14:textId="4370FACC" w:rsidR="00B245E8" w:rsidRDefault="00B245E8" w:rsidP="00907DA4">
      <w:bookmarkStart w:id="125" w:name="_Toc9325133"/>
      <w:bookmarkStart w:id="126" w:name="_Toc11401070"/>
      <w:r>
        <w:t>Lice</w:t>
      </w:r>
      <w:r w:rsidRPr="00585A4A">
        <w:t>n</w:t>
      </w:r>
      <w:r w:rsidR="00E11553" w:rsidRPr="00585A4A">
        <w:t>c</w:t>
      </w:r>
      <w:r>
        <w:t xml:space="preserve">es are issued subject to such conditions </w:t>
      </w:r>
      <w:r w:rsidR="00107430">
        <w:t xml:space="preserve">that </w:t>
      </w:r>
      <w:r>
        <w:t>are deemed to apply under the Industry Acts and those that are decided by the commission.</w:t>
      </w:r>
      <w:bookmarkEnd w:id="125"/>
      <w:bookmarkEnd w:id="126"/>
    </w:p>
    <w:p w14:paraId="6FD2F501" w14:textId="77777777" w:rsidR="00B245E8" w:rsidRDefault="00B245E8" w:rsidP="00907DA4">
      <w:bookmarkStart w:id="127" w:name="_Toc9325134"/>
      <w:bookmarkStart w:id="128" w:name="_Toc11401071"/>
      <w:r>
        <w:t xml:space="preserve">A copy of each licence we have issued can be found on </w:t>
      </w:r>
      <w:hyperlink r:id="rId47" w:history="1">
        <w:r w:rsidRPr="002503E7">
          <w:rPr>
            <w:rStyle w:val="Hyperlink"/>
          </w:rPr>
          <w:t>our website</w:t>
        </w:r>
      </w:hyperlink>
      <w:r>
        <w:t>.</w:t>
      </w:r>
      <w:bookmarkEnd w:id="127"/>
      <w:bookmarkEnd w:id="128"/>
    </w:p>
    <w:p w14:paraId="18675612" w14:textId="3AF450F8" w:rsidR="00B245E8" w:rsidRDefault="003836DB" w:rsidP="00907DA4">
      <w:bookmarkStart w:id="129" w:name="_Toc9325135"/>
      <w:bookmarkStart w:id="130" w:name="_Toc11401072"/>
      <w:r>
        <w:t>L</w:t>
      </w:r>
      <w:r w:rsidR="00B245E8">
        <w:t>icensee</w:t>
      </w:r>
      <w:r>
        <w:t>s are required</w:t>
      </w:r>
      <w:r w:rsidR="00B245E8">
        <w:t xml:space="preserve"> to comply with </w:t>
      </w:r>
      <w:r w:rsidR="00B245E8" w:rsidRPr="00DE05F6">
        <w:t xml:space="preserve">applicable </w:t>
      </w:r>
      <w:r w:rsidR="00CA15C4">
        <w:t xml:space="preserve">regulatory </w:t>
      </w:r>
      <w:r w:rsidR="00590CF2">
        <w:t>instruments</w:t>
      </w:r>
      <w:r w:rsidR="00B245E8">
        <w:t xml:space="preserve"> overseen </w:t>
      </w:r>
      <w:r w:rsidR="00CA15C4">
        <w:t>by the commission</w:t>
      </w:r>
      <w:r w:rsidR="00D14EE3">
        <w:t xml:space="preserve"> and</w:t>
      </w:r>
      <w:r w:rsidR="00CA15C4">
        <w:t xml:space="preserve"> </w:t>
      </w:r>
      <w:r w:rsidR="00B245E8">
        <w:t xml:space="preserve">Energy Safe Victoria </w:t>
      </w:r>
      <w:r w:rsidR="001B4D35">
        <w:t>and t</w:t>
      </w:r>
      <w:r w:rsidR="002A21D9">
        <w:t xml:space="preserve">he </w:t>
      </w:r>
      <w:r w:rsidR="00CA15C4">
        <w:t xml:space="preserve">commission’s </w:t>
      </w:r>
      <w:r w:rsidR="00AB1917">
        <w:t>c</w:t>
      </w:r>
      <w:r w:rsidR="00CA15C4">
        <w:t xml:space="preserve">odes of </w:t>
      </w:r>
      <w:r w:rsidR="00AB1917">
        <w:t>p</w:t>
      </w:r>
      <w:r w:rsidR="00CA15C4">
        <w:t>ractice</w:t>
      </w:r>
      <w:r w:rsidR="004147ED">
        <w:t xml:space="preserve"> and</w:t>
      </w:r>
      <w:r w:rsidR="002A21D9">
        <w:t xml:space="preserve"> guidelines </w:t>
      </w:r>
      <w:r w:rsidR="001B4D35">
        <w:t xml:space="preserve">which </w:t>
      </w:r>
      <w:r w:rsidR="00CA15C4">
        <w:t>are</w:t>
      </w:r>
      <w:r w:rsidR="00112B7C">
        <w:t xml:space="preserve"> published </w:t>
      </w:r>
      <w:r w:rsidR="001B4D35">
        <w:t xml:space="preserve">on </w:t>
      </w:r>
      <w:hyperlink r:id="rId48" w:history="1">
        <w:r w:rsidR="002A21D9" w:rsidRPr="002A21D9">
          <w:rPr>
            <w:rStyle w:val="Hyperlink"/>
          </w:rPr>
          <w:t>our website</w:t>
        </w:r>
      </w:hyperlink>
      <w:r w:rsidR="002A21D9">
        <w:t xml:space="preserve">. </w:t>
      </w:r>
      <w:bookmarkEnd w:id="129"/>
      <w:bookmarkEnd w:id="130"/>
    </w:p>
    <w:p w14:paraId="4F5DA31D" w14:textId="4315C86E" w:rsidR="00B245E8" w:rsidRDefault="00B245E8" w:rsidP="00907DA4">
      <w:bookmarkStart w:id="131" w:name="_Toc9325148"/>
      <w:bookmarkStart w:id="132" w:name="_Toc11401085"/>
      <w:r>
        <w:t xml:space="preserve">Licence </w:t>
      </w:r>
      <w:r w:rsidR="00CA15C4">
        <w:t xml:space="preserve">conditions </w:t>
      </w:r>
      <w:r>
        <w:t>require the licensee to maintain ongoing technical capacity and financial viability</w:t>
      </w:r>
      <w:r w:rsidR="00CA15C4">
        <w:t xml:space="preserve"> (where applicable)</w:t>
      </w:r>
      <w:r>
        <w:t>.</w:t>
      </w:r>
      <w:bookmarkEnd w:id="131"/>
      <w:bookmarkEnd w:id="132"/>
    </w:p>
    <w:p w14:paraId="42DCCD3F" w14:textId="15DD4902" w:rsidR="00B245E8" w:rsidRDefault="00B245E8" w:rsidP="00C4622E">
      <w:pPr>
        <w:spacing w:before="0" w:line="259" w:lineRule="auto"/>
      </w:pPr>
      <w:bookmarkStart w:id="133" w:name="_Toc9325149"/>
      <w:bookmarkStart w:id="134" w:name="_Toc11401086"/>
      <w:r>
        <w:t>Licensees must notify us</w:t>
      </w:r>
      <w:bookmarkStart w:id="135" w:name="_Toc9325151"/>
      <w:bookmarkStart w:id="136" w:name="_Toc11401088"/>
      <w:bookmarkEnd w:id="133"/>
      <w:bookmarkEnd w:id="134"/>
      <w:r w:rsidR="00A066BF">
        <w:t xml:space="preserve"> </w:t>
      </w:r>
      <w:r>
        <w:t xml:space="preserve">where there is a change of control of the licensee (for example, where the licensee is purchased by another </w:t>
      </w:r>
      <w:r w:rsidR="00CA15C4">
        <w:t>legal entity</w:t>
      </w:r>
      <w:r>
        <w:t>).</w:t>
      </w:r>
      <w:bookmarkEnd w:id="135"/>
      <w:bookmarkEnd w:id="136"/>
    </w:p>
    <w:p w14:paraId="2BBAB989" w14:textId="26CBD459" w:rsidR="00B245E8" w:rsidRDefault="001B4D35" w:rsidP="00CA15C4">
      <w:r w:rsidRPr="001D60D2">
        <w:t xml:space="preserve">Licensees must maintain comprehensive records regarding any activities undertaken pursuant to their licence for the periods specified in any licence conditions or applicable </w:t>
      </w:r>
      <w:r w:rsidR="00AB1917">
        <w:t>c</w:t>
      </w:r>
      <w:r>
        <w:t xml:space="preserve">odes of </w:t>
      </w:r>
      <w:r w:rsidR="00AB1917">
        <w:t>p</w:t>
      </w:r>
      <w:r>
        <w:t>ractice</w:t>
      </w:r>
      <w:r w:rsidR="00B245E8">
        <w:t xml:space="preserve">. The </w:t>
      </w:r>
      <w:r w:rsidR="009B33EB">
        <w:t>l</w:t>
      </w:r>
      <w:r w:rsidR="00B245E8">
        <w:t>icensee must provide the commission, as soon as reasonably practicable, with such information relating to activities undertaken pursuant to the licence as the commission may properly request.</w:t>
      </w:r>
    </w:p>
    <w:p w14:paraId="356C99D5" w14:textId="77777777" w:rsidR="00B245E8" w:rsidRDefault="00B245E8" w:rsidP="00B245E8">
      <w:pPr>
        <w:pStyle w:val="Heading2numbered"/>
        <w:numPr>
          <w:ilvl w:val="1"/>
          <w:numId w:val="11"/>
        </w:numPr>
      </w:pPr>
      <w:bookmarkStart w:id="137" w:name="_Toc56515884"/>
      <w:bookmarkStart w:id="138" w:name="_Toc127875416"/>
      <w:r>
        <w:t>Annual licence fees</w:t>
      </w:r>
      <w:bookmarkEnd w:id="137"/>
      <w:bookmarkEnd w:id="138"/>
    </w:p>
    <w:p w14:paraId="22564AC9" w14:textId="74723D03" w:rsidR="00B245E8" w:rsidRPr="004F38B7" w:rsidRDefault="00B245E8" w:rsidP="00B245E8">
      <w:pPr>
        <w:rPr>
          <w:rFonts w:ascii="Arial" w:hAnsi="Arial" w:cs="Arial"/>
          <w:bCs/>
        </w:rPr>
      </w:pPr>
      <w:bookmarkStart w:id="139" w:name="_Toc9325153"/>
      <w:bookmarkStart w:id="140" w:name="_Toc11401090"/>
      <w:r w:rsidRPr="00315F24">
        <w:rPr>
          <w:rFonts w:ascii="Arial" w:hAnsi="Arial" w:cs="Arial"/>
          <w:bCs/>
        </w:rPr>
        <w:t>Holding an electricity or gas licence incurs annual licence fees. These fees and charges are determined by the</w:t>
      </w:r>
      <w:r w:rsidR="0030443E">
        <w:rPr>
          <w:rFonts w:ascii="Arial" w:hAnsi="Arial" w:cs="Arial"/>
          <w:bCs/>
        </w:rPr>
        <w:t xml:space="preserve"> Minister for Energy, Environment and Climate change in consultation with the Minister administering the </w:t>
      </w:r>
      <w:r w:rsidR="0030443E" w:rsidRPr="003B7C67">
        <w:rPr>
          <w:rFonts w:ascii="Arial" w:hAnsi="Arial" w:cs="Arial"/>
          <w:bCs/>
          <w:i/>
          <w:iCs/>
        </w:rPr>
        <w:t>Essential Services Commission Act 2001</w:t>
      </w:r>
      <w:r w:rsidR="0030443E">
        <w:rPr>
          <w:rFonts w:ascii="Arial" w:hAnsi="Arial" w:cs="Arial"/>
          <w:bCs/>
        </w:rPr>
        <w:t>.</w:t>
      </w:r>
      <w:r w:rsidR="0082342B" w:rsidRPr="004F38B7">
        <w:rPr>
          <w:rStyle w:val="FootnoteReference"/>
          <w:rFonts w:ascii="Arial" w:hAnsi="Arial" w:cs="Arial"/>
          <w:bCs/>
        </w:rPr>
        <w:footnoteReference w:id="15"/>
      </w:r>
      <w:r w:rsidR="0030443E">
        <w:rPr>
          <w:rFonts w:ascii="Arial" w:hAnsi="Arial" w:cs="Arial"/>
          <w:bCs/>
        </w:rPr>
        <w:t xml:space="preserve"> The fees have been set for the years 2022-23 to 2025-26.</w:t>
      </w:r>
      <w:r w:rsidR="000943CE">
        <w:rPr>
          <w:rStyle w:val="FootnoteReference"/>
          <w:rFonts w:ascii="Arial" w:hAnsi="Arial" w:cs="Arial"/>
          <w:bCs/>
        </w:rPr>
        <w:footnoteReference w:id="16"/>
      </w:r>
      <w:bookmarkEnd w:id="139"/>
      <w:bookmarkEnd w:id="140"/>
    </w:p>
    <w:p w14:paraId="399EE9F9" w14:textId="77777777" w:rsidR="00232F57" w:rsidRDefault="00232F57">
      <w:pPr>
        <w:spacing w:before="0" w:line="259" w:lineRule="auto"/>
        <w:rPr>
          <w:rFonts w:ascii="Tahoma" w:eastAsiaTheme="majorEastAsia" w:hAnsi="Tahoma" w:cstheme="majorBidi"/>
          <w:b/>
          <w:color w:val="4986A0" w:themeColor="text2"/>
          <w:szCs w:val="24"/>
        </w:rPr>
      </w:pPr>
      <w:bookmarkStart w:id="141" w:name="_Electricity_licence_fees"/>
      <w:bookmarkStart w:id="142" w:name="_Toc111724795"/>
      <w:bookmarkStart w:id="143" w:name="_Toc111725143"/>
      <w:bookmarkStart w:id="144" w:name="_Toc127875417"/>
      <w:bookmarkEnd w:id="141"/>
      <w:r>
        <w:br w:type="page"/>
      </w:r>
    </w:p>
    <w:p w14:paraId="4BC9EBBF" w14:textId="5DAFBAD2" w:rsidR="0082342B" w:rsidRDefault="0082342B" w:rsidP="00D076FC">
      <w:pPr>
        <w:pStyle w:val="Heading3"/>
      </w:pPr>
      <w:r>
        <w:lastRenderedPageBreak/>
        <w:t>Electricity licence fees</w:t>
      </w:r>
      <w:bookmarkEnd w:id="142"/>
      <w:bookmarkEnd w:id="143"/>
      <w:bookmarkEnd w:id="144"/>
    </w:p>
    <w:tbl>
      <w:tblPr>
        <w:tblStyle w:val="TableGrid"/>
        <w:tblW w:w="0" w:type="auto"/>
        <w:tblBorders>
          <w:insideH w:val="none" w:sz="0" w:space="0" w:color="auto"/>
        </w:tblBorders>
        <w:tblLook w:val="04A0" w:firstRow="1" w:lastRow="0" w:firstColumn="1" w:lastColumn="0" w:noHBand="0" w:noVBand="1"/>
      </w:tblPr>
      <w:tblGrid>
        <w:gridCol w:w="3257"/>
        <w:gridCol w:w="1523"/>
        <w:gridCol w:w="1524"/>
        <w:gridCol w:w="1523"/>
        <w:gridCol w:w="1524"/>
      </w:tblGrid>
      <w:tr w:rsidR="005639EF" w14:paraId="6E39372F" w14:textId="77777777" w:rsidTr="00C21B9A">
        <w:trPr>
          <w:cnfStyle w:val="100000000000" w:firstRow="1" w:lastRow="0" w:firstColumn="0" w:lastColumn="0" w:oddVBand="0" w:evenVBand="0" w:oddHBand="0" w:evenHBand="0" w:firstRowFirstColumn="0" w:firstRowLastColumn="0" w:lastRowFirstColumn="0" w:lastRowLastColumn="0"/>
        </w:trPr>
        <w:tc>
          <w:tcPr>
            <w:tcW w:w="3257" w:type="dxa"/>
          </w:tcPr>
          <w:p w14:paraId="30EFA011" w14:textId="3B4FC0F6" w:rsidR="005639EF" w:rsidRDefault="005639EF" w:rsidP="00C21B9A">
            <w:pPr>
              <w:pStyle w:val="TableHeading"/>
            </w:pPr>
            <w:r>
              <w:t>Type of licence</w:t>
            </w:r>
          </w:p>
        </w:tc>
        <w:tc>
          <w:tcPr>
            <w:tcW w:w="1523" w:type="dxa"/>
          </w:tcPr>
          <w:p w14:paraId="5D16D472" w14:textId="45156079" w:rsidR="005639EF" w:rsidRPr="005639EF" w:rsidRDefault="005639EF" w:rsidP="00C21B9A">
            <w:pPr>
              <w:pStyle w:val="TableHeading"/>
              <w:rPr>
                <w:bCs/>
              </w:rPr>
            </w:pPr>
            <w:r w:rsidRPr="005639EF">
              <w:rPr>
                <w:bCs/>
              </w:rPr>
              <w:t>2022-23</w:t>
            </w:r>
          </w:p>
        </w:tc>
        <w:tc>
          <w:tcPr>
            <w:tcW w:w="1524" w:type="dxa"/>
          </w:tcPr>
          <w:p w14:paraId="4FE105E9" w14:textId="5F21A8FB" w:rsidR="005639EF" w:rsidRPr="005639EF" w:rsidRDefault="005639EF" w:rsidP="00C21B9A">
            <w:pPr>
              <w:pStyle w:val="TableHeading"/>
              <w:rPr>
                <w:bCs/>
              </w:rPr>
            </w:pPr>
            <w:r w:rsidRPr="005639EF">
              <w:rPr>
                <w:bCs/>
              </w:rPr>
              <w:t>2023-24</w:t>
            </w:r>
          </w:p>
        </w:tc>
        <w:tc>
          <w:tcPr>
            <w:tcW w:w="1523" w:type="dxa"/>
          </w:tcPr>
          <w:p w14:paraId="06ACA18D" w14:textId="4628B26C" w:rsidR="005639EF" w:rsidRPr="005639EF" w:rsidRDefault="005639EF" w:rsidP="00C21B9A">
            <w:pPr>
              <w:pStyle w:val="TableHeading"/>
              <w:rPr>
                <w:bCs/>
              </w:rPr>
            </w:pPr>
            <w:r w:rsidRPr="005639EF">
              <w:rPr>
                <w:bCs/>
              </w:rPr>
              <w:t>2024-25</w:t>
            </w:r>
          </w:p>
        </w:tc>
        <w:tc>
          <w:tcPr>
            <w:tcW w:w="1524" w:type="dxa"/>
          </w:tcPr>
          <w:p w14:paraId="27BE52E6" w14:textId="0B89AB7D" w:rsidR="005639EF" w:rsidRPr="005639EF" w:rsidRDefault="005639EF" w:rsidP="00C21B9A">
            <w:pPr>
              <w:pStyle w:val="TableHeading"/>
              <w:rPr>
                <w:bCs/>
              </w:rPr>
            </w:pPr>
            <w:r w:rsidRPr="005639EF">
              <w:rPr>
                <w:bCs/>
              </w:rPr>
              <w:t>2025-26</w:t>
            </w:r>
          </w:p>
        </w:tc>
      </w:tr>
      <w:tr w:rsidR="005639EF" w14:paraId="6B348E33" w14:textId="77777777" w:rsidTr="00C21B9A">
        <w:trPr>
          <w:cnfStyle w:val="000000100000" w:firstRow="0" w:lastRow="0" w:firstColumn="0" w:lastColumn="0" w:oddVBand="0" w:evenVBand="0" w:oddHBand="1" w:evenHBand="0" w:firstRowFirstColumn="0" w:firstRowLastColumn="0" w:lastRowFirstColumn="0" w:lastRowLastColumn="0"/>
        </w:trPr>
        <w:tc>
          <w:tcPr>
            <w:tcW w:w="3257" w:type="dxa"/>
          </w:tcPr>
          <w:p w14:paraId="29E8B073" w14:textId="70DEC6EF" w:rsidR="005639EF" w:rsidRDefault="005639EF" w:rsidP="00C21B9A">
            <w:pPr>
              <w:pStyle w:val="TableBody"/>
            </w:pPr>
            <w:r>
              <w:t>Retail licence volume fee (per customer)</w:t>
            </w:r>
          </w:p>
        </w:tc>
        <w:tc>
          <w:tcPr>
            <w:tcW w:w="1523" w:type="dxa"/>
          </w:tcPr>
          <w:p w14:paraId="15CC1230" w14:textId="6DFDBEE1" w:rsidR="005639EF" w:rsidRDefault="005639EF" w:rsidP="00C21B9A">
            <w:pPr>
              <w:pStyle w:val="TableBody"/>
            </w:pPr>
            <w:r>
              <w:t>$2.0399</w:t>
            </w:r>
          </w:p>
        </w:tc>
        <w:tc>
          <w:tcPr>
            <w:tcW w:w="1524" w:type="dxa"/>
          </w:tcPr>
          <w:p w14:paraId="50E283BE" w14:textId="3A90B5C6" w:rsidR="005639EF" w:rsidRDefault="005639EF" w:rsidP="00C21B9A">
            <w:pPr>
              <w:pStyle w:val="TableBody"/>
            </w:pPr>
            <w:r>
              <w:t>$2.0112</w:t>
            </w:r>
          </w:p>
        </w:tc>
        <w:tc>
          <w:tcPr>
            <w:tcW w:w="1523" w:type="dxa"/>
          </w:tcPr>
          <w:p w14:paraId="1CE4F4BB" w14:textId="6DB33873" w:rsidR="005639EF" w:rsidRDefault="005639EF" w:rsidP="00C21B9A">
            <w:pPr>
              <w:pStyle w:val="TableBody"/>
            </w:pPr>
            <w:r>
              <w:t>$1.9829</w:t>
            </w:r>
          </w:p>
        </w:tc>
        <w:tc>
          <w:tcPr>
            <w:tcW w:w="1524" w:type="dxa"/>
          </w:tcPr>
          <w:p w14:paraId="168D6235" w14:textId="43EFCAA3" w:rsidR="005639EF" w:rsidRDefault="005639EF" w:rsidP="00C21B9A">
            <w:pPr>
              <w:pStyle w:val="TableBody"/>
            </w:pPr>
            <w:r>
              <w:t>$1.9549</w:t>
            </w:r>
          </w:p>
        </w:tc>
      </w:tr>
      <w:tr w:rsidR="005639EF" w14:paraId="43A403FE" w14:textId="77777777" w:rsidTr="00C21B9A">
        <w:trPr>
          <w:cnfStyle w:val="000000010000" w:firstRow="0" w:lastRow="0" w:firstColumn="0" w:lastColumn="0" w:oddVBand="0" w:evenVBand="0" w:oddHBand="0" w:evenHBand="1" w:firstRowFirstColumn="0" w:firstRowLastColumn="0" w:lastRowFirstColumn="0" w:lastRowLastColumn="0"/>
        </w:trPr>
        <w:tc>
          <w:tcPr>
            <w:tcW w:w="3257" w:type="dxa"/>
          </w:tcPr>
          <w:p w14:paraId="12E96D18" w14:textId="66F4F971" w:rsidR="005639EF" w:rsidRDefault="005639EF" w:rsidP="00C21B9A">
            <w:pPr>
              <w:pStyle w:val="TableBody"/>
            </w:pPr>
            <w:r>
              <w:t>Retail licence base fee</w:t>
            </w:r>
          </w:p>
        </w:tc>
        <w:tc>
          <w:tcPr>
            <w:tcW w:w="1523" w:type="dxa"/>
          </w:tcPr>
          <w:p w14:paraId="200ADB88" w14:textId="7EDF4DD7" w:rsidR="005639EF" w:rsidRDefault="005639EF" w:rsidP="00C21B9A">
            <w:pPr>
              <w:pStyle w:val="TableBody"/>
            </w:pPr>
            <w:r>
              <w:t>$9,076</w:t>
            </w:r>
          </w:p>
        </w:tc>
        <w:tc>
          <w:tcPr>
            <w:tcW w:w="1524" w:type="dxa"/>
          </w:tcPr>
          <w:p w14:paraId="5B94B185" w14:textId="559ADE95" w:rsidR="005639EF" w:rsidRDefault="005639EF" w:rsidP="00C21B9A">
            <w:pPr>
              <w:pStyle w:val="TableBody"/>
            </w:pPr>
            <w:r>
              <w:t>$9,303</w:t>
            </w:r>
          </w:p>
        </w:tc>
        <w:tc>
          <w:tcPr>
            <w:tcW w:w="1523" w:type="dxa"/>
          </w:tcPr>
          <w:p w14:paraId="726B0F3C" w14:textId="1C7D955E" w:rsidR="005639EF" w:rsidRDefault="005639EF" w:rsidP="00C21B9A">
            <w:pPr>
              <w:pStyle w:val="TableBody"/>
            </w:pPr>
            <w:r>
              <w:t>$9,535</w:t>
            </w:r>
          </w:p>
        </w:tc>
        <w:tc>
          <w:tcPr>
            <w:tcW w:w="1524" w:type="dxa"/>
          </w:tcPr>
          <w:p w14:paraId="10345B6C" w14:textId="679E83AD" w:rsidR="005639EF" w:rsidRDefault="005639EF" w:rsidP="00C21B9A">
            <w:pPr>
              <w:pStyle w:val="TableBody"/>
            </w:pPr>
            <w:r>
              <w:t>$9,773</w:t>
            </w:r>
          </w:p>
        </w:tc>
      </w:tr>
      <w:tr w:rsidR="005639EF" w14:paraId="5B3D94CC" w14:textId="77777777" w:rsidTr="00C21B9A">
        <w:trPr>
          <w:cnfStyle w:val="000000100000" w:firstRow="0" w:lastRow="0" w:firstColumn="0" w:lastColumn="0" w:oddVBand="0" w:evenVBand="0" w:oddHBand="1" w:evenHBand="0" w:firstRowFirstColumn="0" w:firstRowLastColumn="0" w:lastRowFirstColumn="0" w:lastRowLastColumn="0"/>
        </w:trPr>
        <w:tc>
          <w:tcPr>
            <w:tcW w:w="3257" w:type="dxa"/>
          </w:tcPr>
          <w:p w14:paraId="2657E872" w14:textId="729FA1C6" w:rsidR="005639EF" w:rsidRDefault="005639EF" w:rsidP="00C21B9A">
            <w:pPr>
              <w:pStyle w:val="TableBody"/>
            </w:pPr>
            <w:r>
              <w:t>Distribution licence volume fee (per customer)</w:t>
            </w:r>
          </w:p>
        </w:tc>
        <w:tc>
          <w:tcPr>
            <w:tcW w:w="1523" w:type="dxa"/>
          </w:tcPr>
          <w:p w14:paraId="157D1C48" w14:textId="495BB25D" w:rsidR="005639EF" w:rsidRDefault="005639EF" w:rsidP="00C21B9A">
            <w:pPr>
              <w:pStyle w:val="TableBody"/>
            </w:pPr>
            <w:r>
              <w:t>$0.9817</w:t>
            </w:r>
          </w:p>
        </w:tc>
        <w:tc>
          <w:tcPr>
            <w:tcW w:w="1524" w:type="dxa"/>
          </w:tcPr>
          <w:p w14:paraId="7BB2B8D7" w14:textId="282A3E49" w:rsidR="005639EF" w:rsidRDefault="005639EF" w:rsidP="00C21B9A">
            <w:pPr>
              <w:pStyle w:val="TableBody"/>
            </w:pPr>
            <w:r>
              <w:t>$0.9684</w:t>
            </w:r>
          </w:p>
        </w:tc>
        <w:tc>
          <w:tcPr>
            <w:tcW w:w="1523" w:type="dxa"/>
          </w:tcPr>
          <w:p w14:paraId="126A0346" w14:textId="10065861" w:rsidR="005639EF" w:rsidRDefault="005639EF" w:rsidP="00C21B9A">
            <w:pPr>
              <w:pStyle w:val="TableBody"/>
            </w:pPr>
            <w:r>
              <w:t>$0.9553</w:t>
            </w:r>
          </w:p>
        </w:tc>
        <w:tc>
          <w:tcPr>
            <w:tcW w:w="1524" w:type="dxa"/>
          </w:tcPr>
          <w:p w14:paraId="080C4EF4" w14:textId="11A1B690" w:rsidR="005639EF" w:rsidRDefault="005639EF" w:rsidP="00C21B9A">
            <w:pPr>
              <w:pStyle w:val="TableBody"/>
            </w:pPr>
            <w:r>
              <w:t>$0.9424</w:t>
            </w:r>
          </w:p>
        </w:tc>
      </w:tr>
      <w:tr w:rsidR="005639EF" w14:paraId="463CC080" w14:textId="77777777" w:rsidTr="00C21B9A">
        <w:trPr>
          <w:cnfStyle w:val="000000010000" w:firstRow="0" w:lastRow="0" w:firstColumn="0" w:lastColumn="0" w:oddVBand="0" w:evenVBand="0" w:oddHBand="0" w:evenHBand="1" w:firstRowFirstColumn="0" w:firstRowLastColumn="0" w:lastRowFirstColumn="0" w:lastRowLastColumn="0"/>
        </w:trPr>
        <w:tc>
          <w:tcPr>
            <w:tcW w:w="3257" w:type="dxa"/>
          </w:tcPr>
          <w:p w14:paraId="62080E4F" w14:textId="5D0CB043" w:rsidR="005639EF" w:rsidRDefault="005639EF" w:rsidP="00C21B9A">
            <w:pPr>
              <w:pStyle w:val="TableBody"/>
            </w:pPr>
            <w:r>
              <w:t>Generation licence base fee – less than 200 megawatts capacity in respect of the licence in the financial year</w:t>
            </w:r>
          </w:p>
        </w:tc>
        <w:tc>
          <w:tcPr>
            <w:tcW w:w="1523" w:type="dxa"/>
          </w:tcPr>
          <w:p w14:paraId="6A19E269" w14:textId="0C5418A2" w:rsidR="005639EF" w:rsidRDefault="00C21B9A" w:rsidP="00C21B9A">
            <w:pPr>
              <w:pStyle w:val="TableBody"/>
            </w:pPr>
            <w:r>
              <w:t>$3,977</w:t>
            </w:r>
          </w:p>
        </w:tc>
        <w:tc>
          <w:tcPr>
            <w:tcW w:w="1524" w:type="dxa"/>
          </w:tcPr>
          <w:p w14:paraId="7E0FBDB1" w14:textId="6B0DE2CB" w:rsidR="005639EF" w:rsidRDefault="00C21B9A" w:rsidP="00C21B9A">
            <w:pPr>
              <w:pStyle w:val="TableBody"/>
            </w:pPr>
            <w:r>
              <w:t>$4,068</w:t>
            </w:r>
          </w:p>
        </w:tc>
        <w:tc>
          <w:tcPr>
            <w:tcW w:w="1523" w:type="dxa"/>
          </w:tcPr>
          <w:p w14:paraId="3CED308D" w14:textId="75168306" w:rsidR="005639EF" w:rsidRDefault="00C21B9A" w:rsidP="00C21B9A">
            <w:pPr>
              <w:pStyle w:val="TableBody"/>
            </w:pPr>
            <w:r>
              <w:t>$4,161</w:t>
            </w:r>
          </w:p>
        </w:tc>
        <w:tc>
          <w:tcPr>
            <w:tcW w:w="1524" w:type="dxa"/>
          </w:tcPr>
          <w:p w14:paraId="726C77CC" w14:textId="2E20EAC4" w:rsidR="005639EF" w:rsidRDefault="00C21B9A" w:rsidP="00C21B9A">
            <w:pPr>
              <w:pStyle w:val="TableBody"/>
            </w:pPr>
            <w:r>
              <w:t>$4,256</w:t>
            </w:r>
          </w:p>
        </w:tc>
      </w:tr>
      <w:tr w:rsidR="00C21B9A" w14:paraId="78497221" w14:textId="77777777" w:rsidTr="00C21B9A">
        <w:trPr>
          <w:cnfStyle w:val="000000100000" w:firstRow="0" w:lastRow="0" w:firstColumn="0" w:lastColumn="0" w:oddVBand="0" w:evenVBand="0" w:oddHBand="1" w:evenHBand="0" w:firstRowFirstColumn="0" w:firstRowLastColumn="0" w:lastRowFirstColumn="0" w:lastRowLastColumn="0"/>
        </w:trPr>
        <w:tc>
          <w:tcPr>
            <w:tcW w:w="3257" w:type="dxa"/>
          </w:tcPr>
          <w:p w14:paraId="77FBA75E" w14:textId="6F2A61A5" w:rsidR="00C21B9A" w:rsidRDefault="00C21B9A" w:rsidP="00C21B9A">
            <w:pPr>
              <w:pStyle w:val="TableBody"/>
            </w:pPr>
            <w:r>
              <w:t>Generation licence base fee – 200 to 999 megawatts capacity in relation to the licence in the financial year</w:t>
            </w:r>
          </w:p>
        </w:tc>
        <w:tc>
          <w:tcPr>
            <w:tcW w:w="1523" w:type="dxa"/>
          </w:tcPr>
          <w:p w14:paraId="0C50A75B" w14:textId="4B840483" w:rsidR="00C21B9A" w:rsidRDefault="00C21B9A" w:rsidP="00C21B9A">
            <w:pPr>
              <w:pStyle w:val="TableBody"/>
            </w:pPr>
            <w:r>
              <w:t>$11,931</w:t>
            </w:r>
          </w:p>
        </w:tc>
        <w:tc>
          <w:tcPr>
            <w:tcW w:w="1524" w:type="dxa"/>
          </w:tcPr>
          <w:p w14:paraId="0D30F83F" w14:textId="1E11FA72" w:rsidR="00C21B9A" w:rsidRDefault="00C21B9A" w:rsidP="00C21B9A">
            <w:pPr>
              <w:pStyle w:val="TableBody"/>
            </w:pPr>
            <w:r>
              <w:t>$12,203</w:t>
            </w:r>
          </w:p>
        </w:tc>
        <w:tc>
          <w:tcPr>
            <w:tcW w:w="1523" w:type="dxa"/>
          </w:tcPr>
          <w:p w14:paraId="2AB0467B" w14:textId="1D2BA926" w:rsidR="00C21B9A" w:rsidRDefault="00C21B9A" w:rsidP="00C21B9A">
            <w:pPr>
              <w:pStyle w:val="TableBody"/>
            </w:pPr>
            <w:r>
              <w:t>$12,482</w:t>
            </w:r>
          </w:p>
        </w:tc>
        <w:tc>
          <w:tcPr>
            <w:tcW w:w="1524" w:type="dxa"/>
          </w:tcPr>
          <w:p w14:paraId="478C9BFF" w14:textId="0C64F577" w:rsidR="00C21B9A" w:rsidRDefault="00C21B9A" w:rsidP="00C21B9A">
            <w:pPr>
              <w:pStyle w:val="TableBody"/>
            </w:pPr>
            <w:r>
              <w:t>$12,768</w:t>
            </w:r>
          </w:p>
        </w:tc>
      </w:tr>
      <w:tr w:rsidR="00C21B9A" w14:paraId="5EEA0475" w14:textId="77777777" w:rsidTr="00C21B9A">
        <w:trPr>
          <w:cnfStyle w:val="000000010000" w:firstRow="0" w:lastRow="0" w:firstColumn="0" w:lastColumn="0" w:oddVBand="0" w:evenVBand="0" w:oddHBand="0" w:evenHBand="1" w:firstRowFirstColumn="0" w:firstRowLastColumn="0" w:lastRowFirstColumn="0" w:lastRowLastColumn="0"/>
        </w:trPr>
        <w:tc>
          <w:tcPr>
            <w:tcW w:w="3257" w:type="dxa"/>
          </w:tcPr>
          <w:p w14:paraId="5A13319D" w14:textId="24DDFD26" w:rsidR="00C21B9A" w:rsidRDefault="00C21B9A" w:rsidP="00C21B9A">
            <w:pPr>
              <w:pStyle w:val="TableBody"/>
            </w:pPr>
            <w:r>
              <w:t>Generation licence base fee – More than 999 megawatts capacity in relation to the licence in the financial year</w:t>
            </w:r>
          </w:p>
        </w:tc>
        <w:tc>
          <w:tcPr>
            <w:tcW w:w="1523" w:type="dxa"/>
          </w:tcPr>
          <w:p w14:paraId="2D634840" w14:textId="07C54614" w:rsidR="00C21B9A" w:rsidRDefault="00C21B9A" w:rsidP="00C21B9A">
            <w:pPr>
              <w:pStyle w:val="TableBody"/>
            </w:pPr>
            <w:r>
              <w:t>$19,885</w:t>
            </w:r>
          </w:p>
        </w:tc>
        <w:tc>
          <w:tcPr>
            <w:tcW w:w="1524" w:type="dxa"/>
          </w:tcPr>
          <w:p w14:paraId="54D78E86" w14:textId="361EDB26" w:rsidR="00C21B9A" w:rsidRDefault="00C21B9A" w:rsidP="00C21B9A">
            <w:pPr>
              <w:pStyle w:val="TableBody"/>
            </w:pPr>
            <w:r>
              <w:t>$20,338</w:t>
            </w:r>
          </w:p>
        </w:tc>
        <w:tc>
          <w:tcPr>
            <w:tcW w:w="1523" w:type="dxa"/>
          </w:tcPr>
          <w:p w14:paraId="6C838B43" w14:textId="5F720876" w:rsidR="00C21B9A" w:rsidRDefault="00C21B9A" w:rsidP="00C21B9A">
            <w:pPr>
              <w:pStyle w:val="TableBody"/>
            </w:pPr>
            <w:r>
              <w:t>$20,804</w:t>
            </w:r>
          </w:p>
        </w:tc>
        <w:tc>
          <w:tcPr>
            <w:tcW w:w="1524" w:type="dxa"/>
          </w:tcPr>
          <w:p w14:paraId="0D82685A" w14:textId="36FDC48C" w:rsidR="00C21B9A" w:rsidRDefault="00C21B9A" w:rsidP="00C21B9A">
            <w:pPr>
              <w:pStyle w:val="TableBody"/>
            </w:pPr>
            <w:r>
              <w:t>$21,280</w:t>
            </w:r>
          </w:p>
        </w:tc>
      </w:tr>
      <w:tr w:rsidR="00C21B9A" w14:paraId="7CAC01DD" w14:textId="77777777" w:rsidTr="00C21B9A">
        <w:trPr>
          <w:cnfStyle w:val="000000100000" w:firstRow="0" w:lastRow="0" w:firstColumn="0" w:lastColumn="0" w:oddVBand="0" w:evenVBand="0" w:oddHBand="1" w:evenHBand="0" w:firstRowFirstColumn="0" w:firstRowLastColumn="0" w:lastRowFirstColumn="0" w:lastRowLastColumn="0"/>
        </w:trPr>
        <w:tc>
          <w:tcPr>
            <w:tcW w:w="3257" w:type="dxa"/>
          </w:tcPr>
          <w:p w14:paraId="76BCF4D3" w14:textId="36997653" w:rsidR="00C21B9A" w:rsidRDefault="00C21B9A" w:rsidP="00C21B9A">
            <w:pPr>
              <w:pStyle w:val="TableBody"/>
            </w:pPr>
            <w:r>
              <w:t>Transmission licence base fee – interconnector</w:t>
            </w:r>
          </w:p>
        </w:tc>
        <w:tc>
          <w:tcPr>
            <w:tcW w:w="1523" w:type="dxa"/>
          </w:tcPr>
          <w:p w14:paraId="4A09384A" w14:textId="2A492E07" w:rsidR="00C21B9A" w:rsidRDefault="00C21B9A" w:rsidP="00C21B9A">
            <w:pPr>
              <w:pStyle w:val="TableBody"/>
            </w:pPr>
            <w:r>
              <w:t>$65,331</w:t>
            </w:r>
          </w:p>
        </w:tc>
        <w:tc>
          <w:tcPr>
            <w:tcW w:w="1524" w:type="dxa"/>
          </w:tcPr>
          <w:p w14:paraId="5EC14F9D" w14:textId="03D492CC" w:rsidR="00C21B9A" w:rsidRDefault="00C21B9A" w:rsidP="00C21B9A">
            <w:pPr>
              <w:pStyle w:val="TableBody"/>
            </w:pPr>
            <w:r>
              <w:t>$65,557</w:t>
            </w:r>
          </w:p>
        </w:tc>
        <w:tc>
          <w:tcPr>
            <w:tcW w:w="1523" w:type="dxa"/>
          </w:tcPr>
          <w:p w14:paraId="391826FB" w14:textId="56C18901" w:rsidR="00C21B9A" w:rsidRDefault="00C21B9A" w:rsidP="00C21B9A">
            <w:pPr>
              <w:pStyle w:val="TableBody"/>
            </w:pPr>
            <w:r>
              <w:t>$65,790</w:t>
            </w:r>
          </w:p>
        </w:tc>
        <w:tc>
          <w:tcPr>
            <w:tcW w:w="1524" w:type="dxa"/>
          </w:tcPr>
          <w:p w14:paraId="6E9C4911" w14:textId="65D4BBD3" w:rsidR="00C21B9A" w:rsidRDefault="00C21B9A" w:rsidP="00C21B9A">
            <w:pPr>
              <w:pStyle w:val="TableBody"/>
            </w:pPr>
            <w:r>
              <w:t>$66,028</w:t>
            </w:r>
          </w:p>
        </w:tc>
      </w:tr>
      <w:tr w:rsidR="00C21B9A" w14:paraId="4CABD05F" w14:textId="77777777" w:rsidTr="00C21B9A">
        <w:trPr>
          <w:cnfStyle w:val="000000010000" w:firstRow="0" w:lastRow="0" w:firstColumn="0" w:lastColumn="0" w:oddVBand="0" w:evenVBand="0" w:oddHBand="0" w:evenHBand="1" w:firstRowFirstColumn="0" w:firstRowLastColumn="0" w:lastRowFirstColumn="0" w:lastRowLastColumn="0"/>
        </w:trPr>
        <w:tc>
          <w:tcPr>
            <w:tcW w:w="3257" w:type="dxa"/>
          </w:tcPr>
          <w:p w14:paraId="6852FBD9" w14:textId="63DF08AE" w:rsidR="00C21B9A" w:rsidRDefault="00C21B9A" w:rsidP="00C21B9A">
            <w:pPr>
              <w:pStyle w:val="TableBody"/>
            </w:pPr>
            <w:r>
              <w:t>Transmission licence base fee – statewide</w:t>
            </w:r>
          </w:p>
        </w:tc>
        <w:tc>
          <w:tcPr>
            <w:tcW w:w="1523" w:type="dxa"/>
          </w:tcPr>
          <w:p w14:paraId="5294AE6A" w14:textId="04820497" w:rsidR="00C21B9A" w:rsidRDefault="00C21B9A" w:rsidP="00C21B9A">
            <w:pPr>
              <w:pStyle w:val="TableBody"/>
            </w:pPr>
            <w:r>
              <w:t>$130,661</w:t>
            </w:r>
          </w:p>
        </w:tc>
        <w:tc>
          <w:tcPr>
            <w:tcW w:w="1524" w:type="dxa"/>
          </w:tcPr>
          <w:p w14:paraId="2CF3F8A4" w14:textId="6F456E8D" w:rsidR="00C21B9A" w:rsidRDefault="00C21B9A" w:rsidP="00C21B9A">
            <w:pPr>
              <w:pStyle w:val="TableBody"/>
            </w:pPr>
            <w:r>
              <w:t>$131,115</w:t>
            </w:r>
          </w:p>
        </w:tc>
        <w:tc>
          <w:tcPr>
            <w:tcW w:w="1523" w:type="dxa"/>
          </w:tcPr>
          <w:p w14:paraId="26968724" w14:textId="74472935" w:rsidR="00C21B9A" w:rsidRDefault="00C21B9A" w:rsidP="00C21B9A">
            <w:pPr>
              <w:pStyle w:val="TableBody"/>
            </w:pPr>
            <w:r>
              <w:t>$131,580</w:t>
            </w:r>
          </w:p>
        </w:tc>
        <w:tc>
          <w:tcPr>
            <w:tcW w:w="1524" w:type="dxa"/>
          </w:tcPr>
          <w:p w14:paraId="77CB4891" w14:textId="61A08694" w:rsidR="00C21B9A" w:rsidRDefault="00C21B9A" w:rsidP="00C21B9A">
            <w:pPr>
              <w:pStyle w:val="TableBody"/>
            </w:pPr>
            <w:r>
              <w:t>$132,057</w:t>
            </w:r>
          </w:p>
        </w:tc>
      </w:tr>
      <w:tr w:rsidR="00C21B9A" w14:paraId="67850D40" w14:textId="77777777" w:rsidTr="00C21B9A">
        <w:trPr>
          <w:cnfStyle w:val="000000100000" w:firstRow="0" w:lastRow="0" w:firstColumn="0" w:lastColumn="0" w:oddVBand="0" w:evenVBand="0" w:oddHBand="1" w:evenHBand="0" w:firstRowFirstColumn="0" w:firstRowLastColumn="0" w:lastRowFirstColumn="0" w:lastRowLastColumn="0"/>
        </w:trPr>
        <w:tc>
          <w:tcPr>
            <w:tcW w:w="3257" w:type="dxa"/>
          </w:tcPr>
          <w:p w14:paraId="01A55B06" w14:textId="6AFBEF9E" w:rsidR="00C21B9A" w:rsidRDefault="00C21B9A" w:rsidP="00C21B9A">
            <w:pPr>
              <w:pStyle w:val="TableBody"/>
            </w:pPr>
            <w:r>
              <w:t>Wholesale licence base fee</w:t>
            </w:r>
          </w:p>
        </w:tc>
        <w:tc>
          <w:tcPr>
            <w:tcW w:w="1523" w:type="dxa"/>
          </w:tcPr>
          <w:p w14:paraId="3FA19DB7" w14:textId="4183D00B" w:rsidR="00C21B9A" w:rsidRDefault="00C21B9A" w:rsidP="00C21B9A">
            <w:pPr>
              <w:pStyle w:val="TableBody"/>
            </w:pPr>
            <w:r>
              <w:t>$3,630</w:t>
            </w:r>
          </w:p>
        </w:tc>
        <w:tc>
          <w:tcPr>
            <w:tcW w:w="1524" w:type="dxa"/>
          </w:tcPr>
          <w:p w14:paraId="362C5996" w14:textId="29C5BCDC" w:rsidR="00C21B9A" w:rsidRDefault="00C21B9A" w:rsidP="00C21B9A">
            <w:pPr>
              <w:pStyle w:val="TableBody"/>
            </w:pPr>
            <w:r>
              <w:t>$3,721</w:t>
            </w:r>
          </w:p>
        </w:tc>
        <w:tc>
          <w:tcPr>
            <w:tcW w:w="1523" w:type="dxa"/>
          </w:tcPr>
          <w:p w14:paraId="5E75A835" w14:textId="4A1D4C71" w:rsidR="00C21B9A" w:rsidRDefault="00C21B9A" w:rsidP="00C21B9A">
            <w:pPr>
              <w:pStyle w:val="TableBody"/>
            </w:pPr>
            <w:r>
              <w:t>$3,814</w:t>
            </w:r>
          </w:p>
        </w:tc>
        <w:tc>
          <w:tcPr>
            <w:tcW w:w="1524" w:type="dxa"/>
          </w:tcPr>
          <w:p w14:paraId="62C2D57D" w14:textId="7433D3DD" w:rsidR="00C21B9A" w:rsidRDefault="00C21B9A" w:rsidP="00C21B9A">
            <w:pPr>
              <w:pStyle w:val="TableBody"/>
            </w:pPr>
            <w:r>
              <w:t>$3,909</w:t>
            </w:r>
          </w:p>
        </w:tc>
      </w:tr>
    </w:tbl>
    <w:p w14:paraId="31360FD2" w14:textId="6DD9CD6A" w:rsidR="0082342B" w:rsidRDefault="00C21B9A" w:rsidP="00D249E0">
      <w:pPr>
        <w:pStyle w:val="Heading3"/>
        <w:spacing w:before="360"/>
      </w:pPr>
      <w:bookmarkStart w:id="145" w:name="_Toc111724796"/>
      <w:bookmarkStart w:id="146" w:name="_Toc111725144"/>
      <w:bookmarkStart w:id="147" w:name="_Toc127875418"/>
      <w:r>
        <w:t>Gas licence fees</w:t>
      </w:r>
      <w:bookmarkEnd w:id="145"/>
      <w:bookmarkEnd w:id="146"/>
      <w:bookmarkEnd w:id="147"/>
    </w:p>
    <w:tbl>
      <w:tblPr>
        <w:tblStyle w:val="TableGrid"/>
        <w:tblW w:w="0" w:type="auto"/>
        <w:tblBorders>
          <w:insideH w:val="none" w:sz="0" w:space="0" w:color="auto"/>
        </w:tblBorders>
        <w:tblLook w:val="04A0" w:firstRow="1" w:lastRow="0" w:firstColumn="1" w:lastColumn="0" w:noHBand="0" w:noVBand="1"/>
      </w:tblPr>
      <w:tblGrid>
        <w:gridCol w:w="3257"/>
        <w:gridCol w:w="1523"/>
        <w:gridCol w:w="1524"/>
        <w:gridCol w:w="1523"/>
        <w:gridCol w:w="1524"/>
      </w:tblGrid>
      <w:tr w:rsidR="00C21B9A" w14:paraId="49E77D1B" w14:textId="77777777" w:rsidTr="001A6179">
        <w:trPr>
          <w:cnfStyle w:val="100000000000" w:firstRow="1" w:lastRow="0" w:firstColumn="0" w:lastColumn="0" w:oddVBand="0" w:evenVBand="0" w:oddHBand="0" w:evenHBand="0" w:firstRowFirstColumn="0" w:firstRowLastColumn="0" w:lastRowFirstColumn="0" w:lastRowLastColumn="0"/>
        </w:trPr>
        <w:tc>
          <w:tcPr>
            <w:tcW w:w="3257" w:type="dxa"/>
          </w:tcPr>
          <w:p w14:paraId="39DD69F4" w14:textId="77777777" w:rsidR="00C21B9A" w:rsidRDefault="00C21B9A" w:rsidP="001A6179">
            <w:pPr>
              <w:pStyle w:val="TableHeading"/>
            </w:pPr>
            <w:r>
              <w:t>Type of licence</w:t>
            </w:r>
          </w:p>
        </w:tc>
        <w:tc>
          <w:tcPr>
            <w:tcW w:w="1523" w:type="dxa"/>
          </w:tcPr>
          <w:p w14:paraId="7E368822" w14:textId="77777777" w:rsidR="00C21B9A" w:rsidRPr="005639EF" w:rsidRDefault="00C21B9A" w:rsidP="001A6179">
            <w:pPr>
              <w:pStyle w:val="TableHeading"/>
              <w:rPr>
                <w:bCs/>
              </w:rPr>
            </w:pPr>
            <w:r w:rsidRPr="005639EF">
              <w:rPr>
                <w:bCs/>
              </w:rPr>
              <w:t>2022-23</w:t>
            </w:r>
          </w:p>
        </w:tc>
        <w:tc>
          <w:tcPr>
            <w:tcW w:w="1524" w:type="dxa"/>
          </w:tcPr>
          <w:p w14:paraId="0D118008" w14:textId="77777777" w:rsidR="00C21B9A" w:rsidRPr="005639EF" w:rsidRDefault="00C21B9A" w:rsidP="001A6179">
            <w:pPr>
              <w:pStyle w:val="TableHeading"/>
              <w:rPr>
                <w:bCs/>
              </w:rPr>
            </w:pPr>
            <w:r w:rsidRPr="005639EF">
              <w:rPr>
                <w:bCs/>
              </w:rPr>
              <w:t>2023-24</w:t>
            </w:r>
          </w:p>
        </w:tc>
        <w:tc>
          <w:tcPr>
            <w:tcW w:w="1523" w:type="dxa"/>
          </w:tcPr>
          <w:p w14:paraId="73697A29" w14:textId="77777777" w:rsidR="00C21B9A" w:rsidRPr="005639EF" w:rsidRDefault="00C21B9A" w:rsidP="001A6179">
            <w:pPr>
              <w:pStyle w:val="TableHeading"/>
              <w:rPr>
                <w:bCs/>
              </w:rPr>
            </w:pPr>
            <w:r w:rsidRPr="005639EF">
              <w:rPr>
                <w:bCs/>
              </w:rPr>
              <w:t>2024-25</w:t>
            </w:r>
          </w:p>
        </w:tc>
        <w:tc>
          <w:tcPr>
            <w:tcW w:w="1524" w:type="dxa"/>
          </w:tcPr>
          <w:p w14:paraId="30806D22" w14:textId="77777777" w:rsidR="00C21B9A" w:rsidRPr="005639EF" w:rsidRDefault="00C21B9A" w:rsidP="001A6179">
            <w:pPr>
              <w:pStyle w:val="TableHeading"/>
              <w:rPr>
                <w:bCs/>
              </w:rPr>
            </w:pPr>
            <w:r w:rsidRPr="005639EF">
              <w:rPr>
                <w:bCs/>
              </w:rPr>
              <w:t>2025-26</w:t>
            </w:r>
          </w:p>
        </w:tc>
      </w:tr>
      <w:tr w:rsidR="00C21B9A" w14:paraId="7DBF52FD" w14:textId="77777777" w:rsidTr="001A6179">
        <w:trPr>
          <w:cnfStyle w:val="000000100000" w:firstRow="0" w:lastRow="0" w:firstColumn="0" w:lastColumn="0" w:oddVBand="0" w:evenVBand="0" w:oddHBand="1" w:evenHBand="0" w:firstRowFirstColumn="0" w:firstRowLastColumn="0" w:lastRowFirstColumn="0" w:lastRowLastColumn="0"/>
        </w:trPr>
        <w:tc>
          <w:tcPr>
            <w:tcW w:w="3257" w:type="dxa"/>
          </w:tcPr>
          <w:p w14:paraId="50B740C9" w14:textId="77777777" w:rsidR="00C21B9A" w:rsidRDefault="00C21B9A" w:rsidP="001A6179">
            <w:pPr>
              <w:pStyle w:val="TableBody"/>
            </w:pPr>
            <w:r>
              <w:t>Retail licence volume fee (per customer)</w:t>
            </w:r>
          </w:p>
        </w:tc>
        <w:tc>
          <w:tcPr>
            <w:tcW w:w="1523" w:type="dxa"/>
          </w:tcPr>
          <w:p w14:paraId="213D3FE7" w14:textId="77777777" w:rsidR="00C21B9A" w:rsidRDefault="00C21B9A" w:rsidP="001A6179">
            <w:pPr>
              <w:pStyle w:val="TableBody"/>
            </w:pPr>
            <w:r>
              <w:t>$2.0399</w:t>
            </w:r>
          </w:p>
        </w:tc>
        <w:tc>
          <w:tcPr>
            <w:tcW w:w="1524" w:type="dxa"/>
          </w:tcPr>
          <w:p w14:paraId="45C95570" w14:textId="77777777" w:rsidR="00C21B9A" w:rsidRDefault="00C21B9A" w:rsidP="001A6179">
            <w:pPr>
              <w:pStyle w:val="TableBody"/>
            </w:pPr>
            <w:r>
              <w:t>$2.0112</w:t>
            </w:r>
          </w:p>
        </w:tc>
        <w:tc>
          <w:tcPr>
            <w:tcW w:w="1523" w:type="dxa"/>
          </w:tcPr>
          <w:p w14:paraId="57DF7F54" w14:textId="77777777" w:rsidR="00C21B9A" w:rsidRDefault="00C21B9A" w:rsidP="001A6179">
            <w:pPr>
              <w:pStyle w:val="TableBody"/>
            </w:pPr>
            <w:r>
              <w:t>$1.9829</w:t>
            </w:r>
          </w:p>
        </w:tc>
        <w:tc>
          <w:tcPr>
            <w:tcW w:w="1524" w:type="dxa"/>
          </w:tcPr>
          <w:p w14:paraId="3424AAF5" w14:textId="77777777" w:rsidR="00C21B9A" w:rsidRDefault="00C21B9A" w:rsidP="001A6179">
            <w:pPr>
              <w:pStyle w:val="TableBody"/>
            </w:pPr>
            <w:r>
              <w:t>$1.9549</w:t>
            </w:r>
          </w:p>
        </w:tc>
      </w:tr>
      <w:tr w:rsidR="00C21B9A" w14:paraId="07331FA7" w14:textId="77777777" w:rsidTr="001A6179">
        <w:trPr>
          <w:cnfStyle w:val="000000010000" w:firstRow="0" w:lastRow="0" w:firstColumn="0" w:lastColumn="0" w:oddVBand="0" w:evenVBand="0" w:oddHBand="0" w:evenHBand="1" w:firstRowFirstColumn="0" w:firstRowLastColumn="0" w:lastRowFirstColumn="0" w:lastRowLastColumn="0"/>
        </w:trPr>
        <w:tc>
          <w:tcPr>
            <w:tcW w:w="3257" w:type="dxa"/>
          </w:tcPr>
          <w:p w14:paraId="2FDFB9E2" w14:textId="77777777" w:rsidR="00C21B9A" w:rsidRDefault="00C21B9A" w:rsidP="001A6179">
            <w:pPr>
              <w:pStyle w:val="TableBody"/>
            </w:pPr>
            <w:r>
              <w:t>Retail licence base fee</w:t>
            </w:r>
          </w:p>
        </w:tc>
        <w:tc>
          <w:tcPr>
            <w:tcW w:w="1523" w:type="dxa"/>
          </w:tcPr>
          <w:p w14:paraId="34EAE440" w14:textId="730D3733" w:rsidR="00C21B9A" w:rsidRDefault="00C21B9A" w:rsidP="001A6179">
            <w:pPr>
              <w:pStyle w:val="TableBody"/>
            </w:pPr>
            <w:r>
              <w:t>$</w:t>
            </w:r>
            <w:r w:rsidR="004147ED">
              <w:t>9,076</w:t>
            </w:r>
          </w:p>
        </w:tc>
        <w:tc>
          <w:tcPr>
            <w:tcW w:w="1524" w:type="dxa"/>
          </w:tcPr>
          <w:p w14:paraId="32433A3A" w14:textId="40E7706D" w:rsidR="00C21B9A" w:rsidRDefault="00C21B9A" w:rsidP="001A6179">
            <w:pPr>
              <w:pStyle w:val="TableBody"/>
            </w:pPr>
            <w:r>
              <w:t>$9,</w:t>
            </w:r>
            <w:r w:rsidR="004147ED">
              <w:t>303</w:t>
            </w:r>
          </w:p>
        </w:tc>
        <w:tc>
          <w:tcPr>
            <w:tcW w:w="1523" w:type="dxa"/>
          </w:tcPr>
          <w:p w14:paraId="581D87C7" w14:textId="77777777" w:rsidR="00C21B9A" w:rsidRDefault="00C21B9A" w:rsidP="001A6179">
            <w:pPr>
              <w:pStyle w:val="TableBody"/>
            </w:pPr>
            <w:r>
              <w:t>$9,535</w:t>
            </w:r>
          </w:p>
        </w:tc>
        <w:tc>
          <w:tcPr>
            <w:tcW w:w="1524" w:type="dxa"/>
          </w:tcPr>
          <w:p w14:paraId="7FEECCC8" w14:textId="77777777" w:rsidR="00C21B9A" w:rsidRDefault="00C21B9A" w:rsidP="001A6179">
            <w:pPr>
              <w:pStyle w:val="TableBody"/>
            </w:pPr>
            <w:r>
              <w:t>$9,773</w:t>
            </w:r>
          </w:p>
        </w:tc>
      </w:tr>
      <w:tr w:rsidR="00C21B9A" w14:paraId="0B212AF5" w14:textId="77777777" w:rsidTr="001A6179">
        <w:trPr>
          <w:cnfStyle w:val="000000100000" w:firstRow="0" w:lastRow="0" w:firstColumn="0" w:lastColumn="0" w:oddVBand="0" w:evenVBand="0" w:oddHBand="1" w:evenHBand="0" w:firstRowFirstColumn="0" w:firstRowLastColumn="0" w:lastRowFirstColumn="0" w:lastRowLastColumn="0"/>
        </w:trPr>
        <w:tc>
          <w:tcPr>
            <w:tcW w:w="3257" w:type="dxa"/>
          </w:tcPr>
          <w:p w14:paraId="4F51FB0C" w14:textId="77777777" w:rsidR="00C21B9A" w:rsidRDefault="00C21B9A" w:rsidP="001A6179">
            <w:pPr>
              <w:pStyle w:val="TableBody"/>
            </w:pPr>
            <w:r>
              <w:t>Distribution licence volume fee (per customer)</w:t>
            </w:r>
          </w:p>
        </w:tc>
        <w:tc>
          <w:tcPr>
            <w:tcW w:w="1523" w:type="dxa"/>
          </w:tcPr>
          <w:p w14:paraId="1718C9BD" w14:textId="69C9577D" w:rsidR="00C21B9A" w:rsidRDefault="00C21B9A" w:rsidP="001A6179">
            <w:pPr>
              <w:pStyle w:val="TableBody"/>
            </w:pPr>
            <w:r>
              <w:t>$0.</w:t>
            </w:r>
            <w:r w:rsidR="004147ED">
              <w:t>3333</w:t>
            </w:r>
          </w:p>
        </w:tc>
        <w:tc>
          <w:tcPr>
            <w:tcW w:w="1524" w:type="dxa"/>
          </w:tcPr>
          <w:p w14:paraId="2D000AFD" w14:textId="742B4075" w:rsidR="00C21B9A" w:rsidRDefault="00C21B9A" w:rsidP="001A6179">
            <w:pPr>
              <w:pStyle w:val="TableBody"/>
            </w:pPr>
            <w:r>
              <w:t>$0.</w:t>
            </w:r>
            <w:r w:rsidR="004147ED">
              <w:t>3284</w:t>
            </w:r>
          </w:p>
        </w:tc>
        <w:tc>
          <w:tcPr>
            <w:tcW w:w="1523" w:type="dxa"/>
          </w:tcPr>
          <w:p w14:paraId="75B24FA4" w14:textId="70FDF175" w:rsidR="00C21B9A" w:rsidRDefault="00C21B9A" w:rsidP="001A6179">
            <w:pPr>
              <w:pStyle w:val="TableBody"/>
            </w:pPr>
            <w:r>
              <w:t>$0.</w:t>
            </w:r>
            <w:r w:rsidR="004147ED">
              <w:t>3235</w:t>
            </w:r>
          </w:p>
        </w:tc>
        <w:tc>
          <w:tcPr>
            <w:tcW w:w="1524" w:type="dxa"/>
          </w:tcPr>
          <w:p w14:paraId="54A64E92" w14:textId="17FFFE29" w:rsidR="00C21B9A" w:rsidRDefault="00C21B9A" w:rsidP="001A6179">
            <w:pPr>
              <w:pStyle w:val="TableBody"/>
            </w:pPr>
            <w:r>
              <w:t>$0.</w:t>
            </w:r>
            <w:r w:rsidR="004147ED">
              <w:t>3187</w:t>
            </w:r>
          </w:p>
        </w:tc>
      </w:tr>
    </w:tbl>
    <w:p w14:paraId="7EF0A72D" w14:textId="77777777" w:rsidR="00666006" w:rsidRDefault="00666006" w:rsidP="00B84159">
      <w:pPr>
        <w:pStyle w:val="Heading2numbered"/>
        <w:numPr>
          <w:ilvl w:val="0"/>
          <w:numId w:val="0"/>
        </w:numPr>
        <w:spacing w:before="480"/>
        <w:ind w:left="851" w:hanging="851"/>
      </w:pPr>
      <w:bookmarkStart w:id="148" w:name="_Toc151981902"/>
      <w:bookmarkStart w:id="149" w:name="_Toc56515885"/>
      <w:bookmarkStart w:id="150" w:name="_Toc127875419"/>
      <w:bookmarkStart w:id="151" w:name="_Toc491349410"/>
      <w:bookmarkStart w:id="152" w:name="_Toc491349555"/>
      <w:bookmarkStart w:id="153" w:name="_Toc529956414"/>
      <w:bookmarkStart w:id="154" w:name="_Toc530427154"/>
    </w:p>
    <w:p w14:paraId="4FC5AC46" w14:textId="77777777" w:rsidR="00666006" w:rsidRDefault="00666006">
      <w:pPr>
        <w:spacing w:before="0" w:line="259" w:lineRule="auto"/>
        <w:rPr>
          <w:rFonts w:ascii="Tahoma" w:eastAsiaTheme="majorEastAsia" w:hAnsi="Tahoma" w:cstheme="majorBidi"/>
          <w:b/>
          <w:sz w:val="26"/>
          <w:szCs w:val="26"/>
        </w:rPr>
      </w:pPr>
      <w:r>
        <w:br w:type="page"/>
      </w:r>
    </w:p>
    <w:p w14:paraId="4D1834EC" w14:textId="714A705E" w:rsidR="00B245E8" w:rsidRDefault="00B245E8" w:rsidP="00F525FE">
      <w:pPr>
        <w:pStyle w:val="Heading2numbered"/>
        <w:numPr>
          <w:ilvl w:val="1"/>
          <w:numId w:val="11"/>
        </w:numPr>
        <w:spacing w:before="480"/>
      </w:pPr>
      <w:r w:rsidRPr="00BC7C86">
        <w:lastRenderedPageBreak/>
        <w:t xml:space="preserve">Application for licence </w:t>
      </w:r>
      <w:bookmarkEnd w:id="148"/>
      <w:bookmarkEnd w:id="149"/>
      <w:r w:rsidRPr="00BC7C86">
        <w:t>transfer</w:t>
      </w:r>
      <w:bookmarkEnd w:id="150"/>
    </w:p>
    <w:p w14:paraId="34B33068" w14:textId="3E69A95F" w:rsidR="00B245E8" w:rsidRPr="003A6E5D" w:rsidRDefault="00B245E8" w:rsidP="00B245E8">
      <w:pPr>
        <w:pStyle w:val="BodyText1"/>
        <w:rPr>
          <w:rFonts w:asciiTheme="minorHAnsi" w:hAnsiTheme="minorHAnsi" w:cstheme="minorHAnsi"/>
          <w:sz w:val="22"/>
          <w:szCs w:val="22"/>
        </w:rPr>
      </w:pPr>
      <w:r>
        <w:rPr>
          <w:rFonts w:asciiTheme="minorHAnsi" w:hAnsiTheme="minorHAnsi" w:cstheme="minorHAnsi"/>
          <w:sz w:val="22"/>
          <w:szCs w:val="22"/>
        </w:rPr>
        <w:t xml:space="preserve">A </w:t>
      </w:r>
      <w:r w:rsidRPr="003A6E5D">
        <w:rPr>
          <w:rFonts w:asciiTheme="minorHAnsi" w:hAnsiTheme="minorHAnsi" w:cstheme="minorHAnsi"/>
          <w:sz w:val="22"/>
          <w:szCs w:val="22"/>
        </w:rPr>
        <w:t>transfer of licence application must be accompanied by a declaration in the form set out below:</w:t>
      </w:r>
    </w:p>
    <w:p w14:paraId="5954C41F" w14:textId="77777777" w:rsidR="00B245E8" w:rsidRDefault="00B245E8" w:rsidP="00B245E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b/>
          <w:sz w:val="22"/>
          <w:szCs w:val="22"/>
        </w:rPr>
        <w:t>Transfer licence</w:t>
      </w:r>
    </w:p>
    <w:p w14:paraId="23F4B7E6"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A6E5D">
        <w:rPr>
          <w:rFonts w:asciiTheme="minorHAnsi" w:hAnsiTheme="minorHAnsi" w:cstheme="minorHAnsi"/>
          <w:b/>
          <w:sz w:val="22"/>
          <w:szCs w:val="22"/>
        </w:rPr>
        <w:t>Section 31 of t</w:t>
      </w:r>
      <w:r>
        <w:rPr>
          <w:rFonts w:asciiTheme="minorHAnsi" w:hAnsiTheme="minorHAnsi" w:cstheme="minorHAnsi"/>
          <w:b/>
          <w:sz w:val="22"/>
          <w:szCs w:val="22"/>
        </w:rPr>
        <w:t xml:space="preserve">he </w:t>
      </w:r>
      <w:r w:rsidRPr="001D60D2">
        <w:rPr>
          <w:rFonts w:asciiTheme="minorHAnsi" w:hAnsiTheme="minorHAnsi" w:cstheme="minorHAnsi"/>
          <w:b/>
          <w:i/>
          <w:iCs/>
          <w:sz w:val="22"/>
          <w:szCs w:val="22"/>
        </w:rPr>
        <w:t>Electricity Industry Act 2000</w:t>
      </w:r>
      <w:r>
        <w:rPr>
          <w:rFonts w:asciiTheme="minorHAnsi" w:hAnsiTheme="minorHAnsi" w:cstheme="minorHAnsi"/>
          <w:b/>
          <w:sz w:val="22"/>
          <w:szCs w:val="22"/>
        </w:rPr>
        <w:t xml:space="preserve"> or section 40 of the </w:t>
      </w:r>
      <w:r w:rsidRPr="001D60D2">
        <w:rPr>
          <w:rFonts w:asciiTheme="minorHAnsi" w:hAnsiTheme="minorHAnsi" w:cstheme="minorHAnsi"/>
          <w:b/>
          <w:i/>
          <w:iCs/>
          <w:sz w:val="22"/>
          <w:szCs w:val="22"/>
        </w:rPr>
        <w:t>Gas Industry Act 2001</w:t>
      </w:r>
    </w:p>
    <w:p w14:paraId="7E3FB5D6"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A6E5D">
        <w:rPr>
          <w:rFonts w:asciiTheme="minorHAnsi" w:hAnsiTheme="minorHAnsi" w:cstheme="minorHAnsi"/>
          <w:sz w:val="22"/>
          <w:szCs w:val="22"/>
        </w:rPr>
        <w:t>Upon the approval of the Essential Services Commission, the Transferor transfers to the Transferee the estate and interest in the Licence described for the consideration expressed.</w:t>
      </w:r>
    </w:p>
    <w:p w14:paraId="5F631829"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A2B47C"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Licence:</w:t>
      </w:r>
    </w:p>
    <w:p w14:paraId="37F2DFD9"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8269C3"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Consideration ($)</w:t>
      </w:r>
    </w:p>
    <w:p w14:paraId="55204730"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257E543"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Transferor:</w:t>
      </w:r>
    </w:p>
    <w:p w14:paraId="1103199A"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F9EFC1"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56F8B8B"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Transferee:</w:t>
      </w:r>
    </w:p>
    <w:p w14:paraId="73491176"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2FBE06"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399C439"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Date:</w:t>
      </w:r>
    </w:p>
    <w:p w14:paraId="5D098297"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Execution and attestation</w:t>
      </w:r>
    </w:p>
    <w:p w14:paraId="50E3CA6C" w14:textId="77777777" w:rsidR="00B245E8" w:rsidRPr="003A6E5D" w:rsidRDefault="00B245E8" w:rsidP="00B245E8">
      <w:pPr>
        <w:pStyle w:val="BodyText1"/>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6E5D">
        <w:rPr>
          <w:rFonts w:asciiTheme="minorHAnsi" w:hAnsiTheme="minorHAnsi" w:cstheme="minorHAnsi"/>
          <w:sz w:val="22"/>
          <w:szCs w:val="22"/>
        </w:rPr>
        <w:t>Transferor:</w:t>
      </w:r>
      <w:r w:rsidRPr="003A6E5D">
        <w:rPr>
          <w:rFonts w:asciiTheme="minorHAnsi" w:hAnsiTheme="minorHAnsi" w:cstheme="minorHAnsi"/>
          <w:sz w:val="22"/>
          <w:szCs w:val="22"/>
        </w:rPr>
        <w:tab/>
      </w:r>
      <w:r w:rsidRPr="003A6E5D">
        <w:rPr>
          <w:rFonts w:asciiTheme="minorHAnsi" w:hAnsiTheme="minorHAnsi" w:cstheme="minorHAnsi"/>
          <w:sz w:val="22"/>
          <w:szCs w:val="22"/>
        </w:rPr>
        <w:tab/>
      </w:r>
      <w:r w:rsidRPr="003A6E5D">
        <w:rPr>
          <w:rFonts w:asciiTheme="minorHAnsi" w:hAnsiTheme="minorHAnsi" w:cstheme="minorHAnsi"/>
          <w:sz w:val="22"/>
          <w:szCs w:val="22"/>
        </w:rPr>
        <w:tab/>
      </w:r>
      <w:r w:rsidRPr="003A6E5D">
        <w:rPr>
          <w:rFonts w:asciiTheme="minorHAnsi" w:hAnsiTheme="minorHAnsi" w:cstheme="minorHAnsi"/>
          <w:sz w:val="22"/>
          <w:szCs w:val="22"/>
        </w:rPr>
        <w:tab/>
      </w:r>
      <w:r w:rsidRPr="003A6E5D">
        <w:rPr>
          <w:rFonts w:asciiTheme="minorHAnsi" w:hAnsiTheme="minorHAnsi" w:cstheme="minorHAnsi"/>
          <w:sz w:val="22"/>
          <w:szCs w:val="22"/>
        </w:rPr>
        <w:tab/>
      </w:r>
      <w:r w:rsidRPr="003A6E5D">
        <w:rPr>
          <w:rFonts w:asciiTheme="minorHAnsi" w:hAnsiTheme="minorHAnsi" w:cstheme="minorHAnsi"/>
          <w:sz w:val="22"/>
          <w:szCs w:val="22"/>
        </w:rPr>
        <w:tab/>
        <w:t>Transferee:</w:t>
      </w:r>
    </w:p>
    <w:p w14:paraId="0FE92C23" w14:textId="77777777" w:rsidR="003C0629" w:rsidRDefault="003C0629" w:rsidP="00B245E8">
      <w:pPr>
        <w:pStyle w:val="BodyText1"/>
        <w:pBdr>
          <w:top w:val="single" w:sz="4" w:space="1" w:color="auto"/>
          <w:left w:val="single" w:sz="4" w:space="4" w:color="auto"/>
          <w:bottom w:val="single" w:sz="4" w:space="1" w:color="auto"/>
          <w:right w:val="single" w:sz="4" w:space="4" w:color="auto"/>
        </w:pBdr>
        <w:jc w:val="both"/>
        <w:sectPr w:rsidR="003C0629" w:rsidSect="00DB206F">
          <w:footerReference w:type="default" r:id="rId49"/>
          <w:type w:val="continuous"/>
          <w:pgSz w:w="11906" w:h="16838" w:code="9"/>
          <w:pgMar w:top="1134" w:right="1134" w:bottom="1134" w:left="1134" w:header="709" w:footer="692" w:gutter="0"/>
          <w:cols w:space="708"/>
          <w:docGrid w:linePitch="360"/>
        </w:sectPr>
      </w:pPr>
    </w:p>
    <w:p w14:paraId="52F3ADE1" w14:textId="77777777" w:rsidR="00B245E8" w:rsidRPr="0017602A" w:rsidRDefault="00B245E8" w:rsidP="003C0629">
      <w:pPr>
        <w:pStyle w:val="Heading1"/>
      </w:pPr>
      <w:bookmarkStart w:id="155" w:name="_Toc127875420"/>
      <w:r w:rsidRPr="0017602A">
        <w:lastRenderedPageBreak/>
        <w:t>Document version control</w:t>
      </w:r>
      <w:bookmarkEnd w:id="151"/>
      <w:bookmarkEnd w:id="152"/>
      <w:bookmarkEnd w:id="153"/>
      <w:bookmarkEnd w:id="154"/>
      <w:bookmarkEnd w:id="155"/>
    </w:p>
    <w:p w14:paraId="69626B06" w14:textId="39E55BFA" w:rsidR="00B245E8" w:rsidRPr="00BD66D9" w:rsidRDefault="00B245E8" w:rsidP="00B245E8">
      <w:pPr>
        <w:tabs>
          <w:tab w:val="center" w:pos="4819"/>
        </w:tabs>
      </w:pPr>
      <w:r w:rsidRPr="00124899">
        <w:t xml:space="preserve">The </w:t>
      </w:r>
      <w:r w:rsidR="003C0629" w:rsidRPr="00124899">
        <w:t>C</w:t>
      </w:r>
      <w:r w:rsidRPr="00124899">
        <w:t xml:space="preserve">M reference for this document is: </w:t>
      </w:r>
      <w:r w:rsidRPr="00440760">
        <w:t>C/</w:t>
      </w:r>
      <w:r w:rsidR="0085379A" w:rsidRPr="00440760">
        <w:t>2</w:t>
      </w:r>
      <w:r w:rsidR="00124899" w:rsidRPr="00440760">
        <w:t>4/3924</w:t>
      </w:r>
    </w:p>
    <w:tbl>
      <w:tblPr>
        <w:tblStyle w:val="TableGrid"/>
        <w:tblW w:w="9639" w:type="dxa"/>
        <w:tblLook w:val="04A0" w:firstRow="1" w:lastRow="0" w:firstColumn="1" w:lastColumn="0" w:noHBand="0" w:noVBand="1"/>
      </w:tblPr>
      <w:tblGrid>
        <w:gridCol w:w="1189"/>
        <w:gridCol w:w="5586"/>
        <w:gridCol w:w="2864"/>
      </w:tblGrid>
      <w:tr w:rsidR="00B245E8" w:rsidRPr="00522662" w14:paraId="66D6C99C" w14:textId="77777777" w:rsidTr="00D51438">
        <w:trPr>
          <w:cnfStyle w:val="100000000000" w:firstRow="1" w:lastRow="0" w:firstColumn="0" w:lastColumn="0" w:oddVBand="0" w:evenVBand="0" w:oddHBand="0" w:evenHBand="0" w:firstRowFirstColumn="0" w:firstRowLastColumn="0" w:lastRowFirstColumn="0" w:lastRowLastColumn="0"/>
        </w:trPr>
        <w:tc>
          <w:tcPr>
            <w:tcW w:w="1189" w:type="dxa"/>
          </w:tcPr>
          <w:p w14:paraId="7FB0C0A8" w14:textId="77777777" w:rsidR="00B245E8" w:rsidRPr="00522662" w:rsidRDefault="00B245E8" w:rsidP="00D249E0">
            <w:pPr>
              <w:pStyle w:val="TableHeading"/>
            </w:pPr>
            <w:r w:rsidRPr="00522662">
              <w:t>Version</w:t>
            </w:r>
          </w:p>
        </w:tc>
        <w:tc>
          <w:tcPr>
            <w:tcW w:w="5586" w:type="dxa"/>
          </w:tcPr>
          <w:p w14:paraId="3ADBFA6C" w14:textId="77777777" w:rsidR="00B245E8" w:rsidRPr="00522662" w:rsidRDefault="00B245E8" w:rsidP="00D249E0">
            <w:pPr>
              <w:pStyle w:val="TableHeading"/>
            </w:pPr>
            <w:r>
              <w:t>Updates made</w:t>
            </w:r>
          </w:p>
        </w:tc>
        <w:tc>
          <w:tcPr>
            <w:tcW w:w="2864" w:type="dxa"/>
          </w:tcPr>
          <w:p w14:paraId="2422D1C9" w14:textId="77777777" w:rsidR="00B245E8" w:rsidRPr="00522662" w:rsidRDefault="00B245E8" w:rsidP="00D249E0">
            <w:pPr>
              <w:pStyle w:val="TableHeading"/>
            </w:pPr>
            <w:r>
              <w:t xml:space="preserve">Date published </w:t>
            </w:r>
          </w:p>
        </w:tc>
      </w:tr>
      <w:tr w:rsidR="00B245E8" w:rsidRPr="00522662" w14:paraId="12E45133" w14:textId="77777777" w:rsidTr="00D51438">
        <w:trPr>
          <w:cnfStyle w:val="000000100000" w:firstRow="0" w:lastRow="0" w:firstColumn="0" w:lastColumn="0" w:oddVBand="0" w:evenVBand="0" w:oddHBand="1" w:evenHBand="0" w:firstRowFirstColumn="0" w:firstRowLastColumn="0" w:lastRowFirstColumn="0" w:lastRowLastColumn="0"/>
        </w:trPr>
        <w:tc>
          <w:tcPr>
            <w:tcW w:w="1189" w:type="dxa"/>
          </w:tcPr>
          <w:p w14:paraId="59014B59" w14:textId="77777777" w:rsidR="00B245E8" w:rsidRDefault="00B245E8" w:rsidP="00D249E0">
            <w:pPr>
              <w:pStyle w:val="TableBody"/>
            </w:pPr>
            <w:r>
              <w:t>1.0</w:t>
            </w:r>
          </w:p>
        </w:tc>
        <w:tc>
          <w:tcPr>
            <w:tcW w:w="5586" w:type="dxa"/>
          </w:tcPr>
          <w:p w14:paraId="21B481D5" w14:textId="7F1C4119" w:rsidR="00B245E8" w:rsidRDefault="00B245E8" w:rsidP="00D249E0">
            <w:pPr>
              <w:pStyle w:val="TableBody"/>
            </w:pPr>
            <w:r>
              <w:t>First release</w:t>
            </w:r>
            <w:r w:rsidR="00887E0D">
              <w:t>.</w:t>
            </w:r>
          </w:p>
        </w:tc>
        <w:tc>
          <w:tcPr>
            <w:tcW w:w="2864" w:type="dxa"/>
          </w:tcPr>
          <w:p w14:paraId="24E57C75" w14:textId="77777777" w:rsidR="00B245E8" w:rsidRDefault="00B245E8" w:rsidP="00D249E0">
            <w:pPr>
              <w:pStyle w:val="TableBody"/>
            </w:pPr>
            <w:r>
              <w:t>14 June 2019</w:t>
            </w:r>
          </w:p>
        </w:tc>
      </w:tr>
      <w:tr w:rsidR="00B245E8" w:rsidRPr="00522662" w14:paraId="19D08A01" w14:textId="77777777" w:rsidTr="00D51438">
        <w:trPr>
          <w:cnfStyle w:val="000000010000" w:firstRow="0" w:lastRow="0" w:firstColumn="0" w:lastColumn="0" w:oddVBand="0" w:evenVBand="0" w:oddHBand="0" w:evenHBand="1" w:firstRowFirstColumn="0" w:firstRowLastColumn="0" w:lastRowFirstColumn="0" w:lastRowLastColumn="0"/>
        </w:trPr>
        <w:tc>
          <w:tcPr>
            <w:tcW w:w="1189" w:type="dxa"/>
          </w:tcPr>
          <w:p w14:paraId="5C0BC9F2" w14:textId="77777777" w:rsidR="00B245E8" w:rsidRDefault="00B245E8" w:rsidP="00D249E0">
            <w:pPr>
              <w:pStyle w:val="TableBody"/>
            </w:pPr>
            <w:r>
              <w:t>1.1</w:t>
            </w:r>
          </w:p>
        </w:tc>
        <w:tc>
          <w:tcPr>
            <w:tcW w:w="5586" w:type="dxa"/>
          </w:tcPr>
          <w:p w14:paraId="4B4F4080" w14:textId="79F86E02" w:rsidR="00B245E8" w:rsidRDefault="00B245E8" w:rsidP="00D249E0">
            <w:pPr>
              <w:pStyle w:val="TableBody"/>
            </w:pPr>
            <w:r>
              <w:t>Update to process and addition of application form</w:t>
            </w:r>
            <w:r w:rsidR="00887E0D">
              <w:t>.</w:t>
            </w:r>
          </w:p>
        </w:tc>
        <w:tc>
          <w:tcPr>
            <w:tcW w:w="2864" w:type="dxa"/>
          </w:tcPr>
          <w:p w14:paraId="3A6A4472" w14:textId="77777777" w:rsidR="00B245E8" w:rsidRDefault="00B245E8" w:rsidP="00D249E0">
            <w:pPr>
              <w:pStyle w:val="TableBody"/>
            </w:pPr>
            <w:r>
              <w:t>9 December 2020</w:t>
            </w:r>
          </w:p>
        </w:tc>
      </w:tr>
      <w:tr w:rsidR="009C30FE" w:rsidRPr="00522662" w14:paraId="1D85D17B" w14:textId="77777777" w:rsidTr="00D249E0">
        <w:trPr>
          <w:cnfStyle w:val="000000100000" w:firstRow="0" w:lastRow="0" w:firstColumn="0" w:lastColumn="0" w:oddVBand="0" w:evenVBand="0" w:oddHBand="1" w:evenHBand="0" w:firstRowFirstColumn="0" w:firstRowLastColumn="0" w:lastRowFirstColumn="0" w:lastRowLastColumn="0"/>
        </w:trPr>
        <w:tc>
          <w:tcPr>
            <w:tcW w:w="1189" w:type="dxa"/>
          </w:tcPr>
          <w:p w14:paraId="13F52D16" w14:textId="1C89D2EC" w:rsidR="00DB4E48" w:rsidRDefault="00DB4E48" w:rsidP="00D249E0">
            <w:pPr>
              <w:pStyle w:val="TableBody"/>
            </w:pPr>
            <w:r>
              <w:t>1.2</w:t>
            </w:r>
          </w:p>
        </w:tc>
        <w:tc>
          <w:tcPr>
            <w:tcW w:w="5586" w:type="dxa"/>
          </w:tcPr>
          <w:p w14:paraId="3FCF7265" w14:textId="167B01D1" w:rsidR="00DB4E48" w:rsidRDefault="00DB4E48" w:rsidP="00D249E0">
            <w:pPr>
              <w:pStyle w:val="TableBody"/>
            </w:pPr>
            <w:r>
              <w:t>Update to process</w:t>
            </w:r>
            <w:r w:rsidR="00F10732">
              <w:t>, information requirements and licence fees</w:t>
            </w:r>
            <w:r w:rsidR="00887E0D">
              <w:t>.</w:t>
            </w:r>
          </w:p>
        </w:tc>
        <w:tc>
          <w:tcPr>
            <w:tcW w:w="2864" w:type="dxa"/>
          </w:tcPr>
          <w:p w14:paraId="14645886" w14:textId="54DF8DA5" w:rsidR="00DB4E48" w:rsidRDefault="00DA64F9" w:rsidP="00D249E0">
            <w:pPr>
              <w:pStyle w:val="TableBody"/>
            </w:pPr>
            <w:r>
              <w:t>1</w:t>
            </w:r>
            <w:r w:rsidR="00863D6B">
              <w:t>8</w:t>
            </w:r>
            <w:r w:rsidR="00DB4E48">
              <w:t xml:space="preserve"> August 2022</w:t>
            </w:r>
          </w:p>
        </w:tc>
      </w:tr>
      <w:tr w:rsidR="00887E0D" w:rsidRPr="00522662" w14:paraId="2234A295" w14:textId="77777777" w:rsidTr="00D249E0">
        <w:trPr>
          <w:cnfStyle w:val="000000010000" w:firstRow="0" w:lastRow="0" w:firstColumn="0" w:lastColumn="0" w:oddVBand="0" w:evenVBand="0" w:oddHBand="0" w:evenHBand="1" w:firstRowFirstColumn="0" w:firstRowLastColumn="0" w:lastRowFirstColumn="0" w:lastRowLastColumn="0"/>
        </w:trPr>
        <w:tc>
          <w:tcPr>
            <w:tcW w:w="1189" w:type="dxa"/>
          </w:tcPr>
          <w:p w14:paraId="1F0B3D75" w14:textId="075A0EC5" w:rsidR="00887E0D" w:rsidRDefault="00887E0D" w:rsidP="00D249E0">
            <w:pPr>
              <w:pStyle w:val="TableBody"/>
            </w:pPr>
            <w:r>
              <w:t>1.3</w:t>
            </w:r>
          </w:p>
        </w:tc>
        <w:tc>
          <w:tcPr>
            <w:tcW w:w="5586" w:type="dxa"/>
          </w:tcPr>
          <w:p w14:paraId="0D417192" w14:textId="2FC7EF78" w:rsidR="00887E0D" w:rsidRDefault="00887E0D" w:rsidP="00B84159">
            <w:pPr>
              <w:pStyle w:val="TableBody"/>
              <w:spacing w:after="80"/>
            </w:pPr>
            <w:r>
              <w:t>Update to the information requirements regarding technical capacity and financial viability</w:t>
            </w:r>
            <w:r w:rsidR="00AE4A6F">
              <w:t xml:space="preserve"> for electricity and gas retail licence applications</w:t>
            </w:r>
            <w:r>
              <w:t>.</w:t>
            </w:r>
          </w:p>
        </w:tc>
        <w:tc>
          <w:tcPr>
            <w:tcW w:w="2864" w:type="dxa"/>
          </w:tcPr>
          <w:p w14:paraId="22AEAD21" w14:textId="6B78D83D" w:rsidR="00887E0D" w:rsidRDefault="00AE4A6F" w:rsidP="00D249E0">
            <w:pPr>
              <w:pStyle w:val="TableBody"/>
            </w:pPr>
            <w:r>
              <w:t>10</w:t>
            </w:r>
            <w:r w:rsidR="003D5636" w:rsidRPr="001A5443">
              <w:t xml:space="preserve"> </w:t>
            </w:r>
            <w:r w:rsidR="001A5443" w:rsidRPr="001A5443">
              <w:t xml:space="preserve">March </w:t>
            </w:r>
            <w:r w:rsidR="00887E0D" w:rsidRPr="001A5443">
              <w:t>2023</w:t>
            </w:r>
          </w:p>
        </w:tc>
      </w:tr>
      <w:tr w:rsidR="00A066BF" w:rsidRPr="00522662" w14:paraId="33E1C209" w14:textId="77777777" w:rsidTr="00D249E0">
        <w:trPr>
          <w:cnfStyle w:val="000000100000" w:firstRow="0" w:lastRow="0" w:firstColumn="0" w:lastColumn="0" w:oddVBand="0" w:evenVBand="0" w:oddHBand="1" w:evenHBand="0" w:firstRowFirstColumn="0" w:firstRowLastColumn="0" w:lastRowFirstColumn="0" w:lastRowLastColumn="0"/>
        </w:trPr>
        <w:tc>
          <w:tcPr>
            <w:tcW w:w="1189" w:type="dxa"/>
          </w:tcPr>
          <w:p w14:paraId="58505F6B" w14:textId="23E43A21" w:rsidR="00A066BF" w:rsidRDefault="00A066BF" w:rsidP="00D249E0">
            <w:pPr>
              <w:pStyle w:val="TableBody"/>
            </w:pPr>
            <w:r>
              <w:t>1.4</w:t>
            </w:r>
          </w:p>
        </w:tc>
        <w:tc>
          <w:tcPr>
            <w:tcW w:w="5586" w:type="dxa"/>
          </w:tcPr>
          <w:p w14:paraId="1E697EE3" w14:textId="21011A0B" w:rsidR="00A066BF" w:rsidRDefault="00A066BF" w:rsidP="00B84159">
            <w:pPr>
              <w:pStyle w:val="TableBody"/>
              <w:spacing w:after="80"/>
            </w:pPr>
            <w:r>
              <w:t xml:space="preserve">Update to </w:t>
            </w:r>
            <w:r w:rsidR="00073C1B">
              <w:t>technical capacity</w:t>
            </w:r>
            <w:r w:rsidR="002A1D55">
              <w:t xml:space="preserve"> and dispute resolution requirements to include Land Access Code of Practice. </w:t>
            </w:r>
            <w:r>
              <w:t>.</w:t>
            </w:r>
          </w:p>
        </w:tc>
        <w:tc>
          <w:tcPr>
            <w:tcW w:w="2864" w:type="dxa"/>
          </w:tcPr>
          <w:p w14:paraId="50359D56" w14:textId="35E495B8" w:rsidR="00A066BF" w:rsidRPr="00440760" w:rsidRDefault="00440760" w:rsidP="00D249E0">
            <w:pPr>
              <w:pStyle w:val="TableBody"/>
            </w:pPr>
            <w:r w:rsidRPr="00440760">
              <w:t>6 March</w:t>
            </w:r>
            <w:r w:rsidR="00D51438" w:rsidRPr="00440760">
              <w:t xml:space="preserve"> 2024</w:t>
            </w:r>
          </w:p>
        </w:tc>
      </w:tr>
      <w:tr w:rsidR="00D51438" w:rsidRPr="00522662" w14:paraId="350A5910" w14:textId="77777777" w:rsidTr="00D249E0">
        <w:trPr>
          <w:cnfStyle w:val="000000010000" w:firstRow="0" w:lastRow="0" w:firstColumn="0" w:lastColumn="0" w:oddVBand="0" w:evenVBand="0" w:oddHBand="0" w:evenHBand="1" w:firstRowFirstColumn="0" w:firstRowLastColumn="0" w:lastRowFirstColumn="0" w:lastRowLastColumn="0"/>
        </w:trPr>
        <w:tc>
          <w:tcPr>
            <w:tcW w:w="1189" w:type="dxa"/>
          </w:tcPr>
          <w:p w14:paraId="55C526C5" w14:textId="2A255F16" w:rsidR="00D51438" w:rsidRDefault="00D51438" w:rsidP="00D51438">
            <w:pPr>
              <w:pStyle w:val="TableBody"/>
            </w:pPr>
            <w:r>
              <w:t>1.4.1</w:t>
            </w:r>
          </w:p>
        </w:tc>
        <w:tc>
          <w:tcPr>
            <w:tcW w:w="5586" w:type="dxa"/>
          </w:tcPr>
          <w:p w14:paraId="076D2DF0" w14:textId="72C7C736" w:rsidR="00D51438" w:rsidRDefault="00D51438" w:rsidP="00D51438">
            <w:pPr>
              <w:pStyle w:val="TableBody"/>
              <w:spacing w:after="80"/>
            </w:pPr>
            <w:r>
              <w:t>Update to application fee and annual licence fees.</w:t>
            </w:r>
          </w:p>
        </w:tc>
        <w:tc>
          <w:tcPr>
            <w:tcW w:w="2864" w:type="dxa"/>
          </w:tcPr>
          <w:p w14:paraId="0287F68E" w14:textId="0DC469CF" w:rsidR="00D51438" w:rsidRPr="00440760" w:rsidRDefault="00124899" w:rsidP="00D51438">
            <w:pPr>
              <w:pStyle w:val="TableBody"/>
            </w:pPr>
            <w:r w:rsidRPr="00440760">
              <w:t>28</w:t>
            </w:r>
            <w:r w:rsidR="00D51438" w:rsidRPr="00440760">
              <w:t xml:space="preserve"> March 2024</w:t>
            </w:r>
          </w:p>
        </w:tc>
      </w:tr>
    </w:tbl>
    <w:p w14:paraId="55B7684E" w14:textId="77777777" w:rsidR="00B503C2" w:rsidRDefault="00B503C2" w:rsidP="00B503C2">
      <w:pPr>
        <w:sectPr w:rsidR="00B503C2" w:rsidSect="00DB206F">
          <w:footerReference w:type="default" r:id="rId50"/>
          <w:type w:val="continuous"/>
          <w:pgSz w:w="11906" w:h="16838" w:code="9"/>
          <w:pgMar w:top="1134" w:right="1134" w:bottom="1134" w:left="1134" w:header="709" w:footer="692" w:gutter="0"/>
          <w:pgNumType w:start="0"/>
          <w:cols w:space="708"/>
          <w:docGrid w:linePitch="360"/>
        </w:sectPr>
      </w:pPr>
    </w:p>
    <w:p w14:paraId="13FBC5EC" w14:textId="77777777" w:rsidR="00B503C2" w:rsidRDefault="00B503C2" w:rsidP="00724B11"/>
    <w:sectPr w:rsidR="00B503C2" w:rsidSect="00DB206F">
      <w:headerReference w:type="default" r:id="rId51"/>
      <w:type w:val="continuous"/>
      <w:pgSz w:w="11906" w:h="16838" w:code="9"/>
      <w:pgMar w:top="1134" w:right="1134" w:bottom="1134" w:left="1134" w:header="709" w:footer="69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B591" w14:textId="77777777" w:rsidR="00DB206F" w:rsidRDefault="00DB206F" w:rsidP="00AE03FA">
      <w:pPr>
        <w:spacing w:after="0"/>
      </w:pPr>
      <w:r>
        <w:separator/>
      </w:r>
    </w:p>
    <w:p w14:paraId="60563B37" w14:textId="77777777" w:rsidR="00DB206F" w:rsidRDefault="00DB206F"/>
  </w:endnote>
  <w:endnote w:type="continuationSeparator" w:id="0">
    <w:p w14:paraId="65B0F5E4" w14:textId="77777777" w:rsidR="00DB206F" w:rsidRDefault="00DB206F" w:rsidP="00AE03FA">
      <w:pPr>
        <w:spacing w:after="0"/>
      </w:pPr>
      <w:r>
        <w:continuationSeparator/>
      </w:r>
    </w:p>
    <w:p w14:paraId="50D61002" w14:textId="77777777" w:rsidR="00DB206F" w:rsidRDefault="00DB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1A6"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7600932D"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6C4E32"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0F1B1C56" w14:textId="799F0FA8"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6472CE3B765245E391656D2B1663B0A4"/>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71DB" w14:textId="2997097B" w:rsidR="00663D41" w:rsidRPr="00D249E0" w:rsidRDefault="00663D41" w:rsidP="00A236AB">
    <w:pPr>
      <w:pStyle w:val="FooterSpace"/>
      <w:ind w:right="707"/>
      <w:rPr>
        <w:b/>
        <w:bCs/>
      </w:rPr>
    </w:pPr>
    <w:r>
      <w:rPr>
        <w:b/>
        <w:bCs/>
      </w:rPr>
      <w:t>Document version control</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63D41" w14:paraId="33F57448"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A7DB780" w14:textId="77777777" w:rsidR="00663D41" w:rsidRPr="009E15D6" w:rsidRDefault="00663D41"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6A7AAC45" w14:textId="6F03AD71" w:rsidR="00663D41" w:rsidRPr="002C2ADF" w:rsidRDefault="00663D41" w:rsidP="00A236AB">
    <w:pPr>
      <w:pStyle w:val="Footer"/>
      <w:ind w:right="707"/>
      <w:rPr>
        <w:b/>
      </w:rPr>
    </w:pPr>
    <w:r>
      <w:t xml:space="preserve">Essential Services Commission </w:t>
    </w:r>
    <w:sdt>
      <w:sdtPr>
        <w:rPr>
          <w:b/>
        </w:rPr>
        <w:alias w:val="Title"/>
        <w:tag w:val=""/>
        <w:id w:val="-1220897991"/>
        <w:placeholder>
          <w:docPart w:val="42216F41BF854A27AE5734D5EEE089CF"/>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4108"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6272376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97966A"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w:t>
          </w:r>
          <w:r w:rsidRPr="009E15D6">
            <w:rPr>
              <w:rStyle w:val="PageNumber"/>
            </w:rPr>
            <w:fldChar w:fldCharType="end"/>
          </w:r>
        </w:p>
      </w:tc>
    </w:tr>
  </w:tbl>
  <w:p w14:paraId="52C51F0C" w14:textId="69B64C29" w:rsidR="003A30F3" w:rsidRPr="00AF63AC" w:rsidRDefault="003A30F3" w:rsidP="00A236AB">
    <w:pPr>
      <w:pStyle w:val="Footer"/>
      <w:ind w:right="707"/>
      <w:rPr>
        <w:b/>
      </w:rPr>
    </w:pPr>
    <w:r>
      <w:t xml:space="preserve">Essential Services Commission </w:t>
    </w:r>
    <w:sdt>
      <w:sdtPr>
        <w:rPr>
          <w:b/>
        </w:rPr>
        <w:alias w:val="Title"/>
        <w:tag w:val=""/>
        <w:id w:val="-467047247"/>
        <w:placeholder>
          <w:docPart w:val="BADAC53C9DF449409DFC996E7056BE19"/>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313" w14:textId="672F2FCF" w:rsidR="00390482" w:rsidRPr="00F6113D" w:rsidRDefault="00390482" w:rsidP="00A236AB">
    <w:pPr>
      <w:pStyle w:val="FooterSpace"/>
      <w:ind w:right="707"/>
      <w:rPr>
        <w:b/>
        <w:bCs/>
      </w:rPr>
    </w:pPr>
    <w:r>
      <w:rPr>
        <w:b/>
        <w:bCs/>
      </w:rP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90482" w14:paraId="2F1F8BD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228B7CA" w14:textId="77777777" w:rsidR="00390482" w:rsidRPr="009E15D6" w:rsidRDefault="00390482" w:rsidP="005E5FCE">
          <w:pPr>
            <w:pStyle w:val="Footer"/>
            <w:spacing w:before="0"/>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p>
      </w:tc>
    </w:tr>
  </w:tbl>
  <w:p w14:paraId="68446735" w14:textId="13396EAD" w:rsidR="00390482" w:rsidRPr="002C2ADF" w:rsidRDefault="00390482" w:rsidP="00A236AB">
    <w:pPr>
      <w:pStyle w:val="Footer"/>
      <w:ind w:right="707"/>
      <w:rPr>
        <w:b/>
      </w:rPr>
    </w:pPr>
    <w:r>
      <w:t xml:space="preserve">Essential Services Commission </w:t>
    </w:r>
    <w:sdt>
      <w:sdtPr>
        <w:rPr>
          <w:b/>
        </w:rPr>
        <w:alias w:val="Title"/>
        <w:tag w:val=""/>
        <w:id w:val="-1478750863"/>
        <w:placeholder>
          <w:docPart w:val="4E7B1C626838415E9C3AEE934D0FEA96"/>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D60A" w14:textId="77777777" w:rsidR="00544512" w:rsidRPr="00F6113D" w:rsidRDefault="00544512" w:rsidP="00A236AB">
    <w:pPr>
      <w:pStyle w:val="FooterSpace"/>
      <w:ind w:right="707"/>
      <w:rPr>
        <w:b/>
        <w:bCs/>
      </w:rPr>
    </w:pPr>
    <w:r>
      <w:rPr>
        <w:b/>
        <w:bCs/>
      </w:rPr>
      <w:t>Applying for a licence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44512" w14:paraId="6C05391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3C94913" w14:textId="77777777" w:rsidR="00544512" w:rsidRPr="009E15D6" w:rsidRDefault="00544512"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F6C035F" w14:textId="1ACB65F7" w:rsidR="00544512" w:rsidRPr="002C2ADF" w:rsidRDefault="00544512" w:rsidP="00A236AB">
    <w:pPr>
      <w:pStyle w:val="Footer"/>
      <w:ind w:right="707"/>
      <w:rPr>
        <w:b/>
      </w:rPr>
    </w:pPr>
    <w:r>
      <w:t xml:space="preserve">Essential Services Commission </w:t>
    </w:r>
    <w:sdt>
      <w:sdtPr>
        <w:rPr>
          <w:b/>
        </w:rPr>
        <w:alias w:val="Title"/>
        <w:tag w:val=""/>
        <w:id w:val="-1621059975"/>
        <w:placeholder>
          <w:docPart w:val="59ACBDE37062467CAED837748FDAC5DB"/>
        </w:placeholder>
        <w:dataBinding w:prefixMappings="xmlns:ns0='http://purl.org/dc/elements/1.1/' xmlns:ns1='http://schemas.openxmlformats.org/package/2006/metadata/core-properties' " w:xpath="/ns1:coreProperties[1]/ns0:title[1]" w:storeItemID="{6C3C8BC8-F283-45AE-878A-BAB7291924A1}"/>
        <w:text/>
      </w:sdtPr>
      <w:sdtEndPr/>
      <w:sdtContent>
        <w:r>
          <w:rPr>
            <w:b/>
          </w:rPr>
          <w:t>Guideline: Applications for electricity and gas industry licences</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BC1" w14:textId="58B9D50C" w:rsidR="00F6113D" w:rsidRPr="00F6113D" w:rsidRDefault="00F6113D" w:rsidP="00A236AB">
    <w:pPr>
      <w:pStyle w:val="FooterSpace"/>
      <w:ind w:right="707"/>
      <w:rPr>
        <w:b/>
        <w:bCs/>
      </w:rPr>
    </w:pPr>
    <w:r>
      <w:rPr>
        <w:b/>
        <w:bCs/>
      </w:rPr>
      <w:t>The licence assessment process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13D" w14:paraId="1AF9C0A0"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BECEAD6" w14:textId="77777777" w:rsidR="00F6113D" w:rsidRPr="009E15D6" w:rsidRDefault="00F6113D"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7A5F8C65" w14:textId="5870C1BD" w:rsidR="00F6113D" w:rsidRPr="002C2ADF" w:rsidRDefault="00F6113D" w:rsidP="00A236AB">
    <w:pPr>
      <w:pStyle w:val="Footer"/>
      <w:ind w:right="707"/>
      <w:rPr>
        <w:b/>
      </w:rPr>
    </w:pPr>
    <w:r>
      <w:t xml:space="preserve">Essential Services Commission </w:t>
    </w:r>
    <w:sdt>
      <w:sdtPr>
        <w:rPr>
          <w:b/>
        </w:rPr>
        <w:alias w:val="Title"/>
        <w:tag w:val=""/>
        <w:id w:val="1668587356"/>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4B" w14:textId="5A332295" w:rsidR="003C0629" w:rsidRPr="00F6113D" w:rsidRDefault="003C0629" w:rsidP="00A236AB">
    <w:pPr>
      <w:pStyle w:val="FooterSpace"/>
      <w:ind w:right="707"/>
      <w:rPr>
        <w:b/>
        <w:bCs/>
      </w:rPr>
    </w:pPr>
    <w:r>
      <w:rPr>
        <w:b/>
        <w:bCs/>
      </w:rPr>
      <w:t>Information required in an application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0629" w14:paraId="313D184D"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B3FFF98" w14:textId="77777777" w:rsidR="003C0629" w:rsidRPr="009E15D6" w:rsidRDefault="003C0629"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0FDA10A7" w14:textId="75C803B0" w:rsidR="003C0629" w:rsidRPr="002C2ADF" w:rsidRDefault="003C0629" w:rsidP="00A236AB">
    <w:pPr>
      <w:pStyle w:val="Footer"/>
      <w:ind w:right="707"/>
      <w:rPr>
        <w:b/>
      </w:rPr>
    </w:pPr>
    <w:r>
      <w:t xml:space="preserve">Essential Services Commission </w:t>
    </w:r>
    <w:sdt>
      <w:sdtPr>
        <w:rPr>
          <w:b/>
        </w:rPr>
        <w:alias w:val="Title"/>
        <w:tag w:val=""/>
        <w:id w:val="980433613"/>
        <w:placeholder>
          <w:docPart w:val="11CF8E8477FA4184A473D192401A1FFC"/>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AC22" w14:textId="7A4545CA" w:rsidR="003C0629" w:rsidRPr="00F6113D" w:rsidRDefault="006A3EF6" w:rsidP="00A236AB">
    <w:pPr>
      <w:pStyle w:val="FooterSpace"/>
      <w:ind w:right="707"/>
      <w:rPr>
        <w:b/>
        <w:bCs/>
      </w:rPr>
    </w:pPr>
    <w:r>
      <w:rPr>
        <w:b/>
        <w:bCs/>
      </w:rPr>
      <w:t xml:space="preserve">Licence variation, </w:t>
    </w:r>
    <w:r w:rsidR="0045223A">
      <w:rPr>
        <w:b/>
        <w:bCs/>
      </w:rPr>
      <w:t>transfer</w:t>
    </w:r>
    <w:r>
      <w:rPr>
        <w:b/>
        <w:bCs/>
      </w:rPr>
      <w:t xml:space="preserve"> and </w:t>
    </w:r>
    <w:r w:rsidR="0045223A">
      <w:rPr>
        <w:b/>
        <w:bCs/>
      </w:rPr>
      <w:t>revocation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0629" w14:paraId="2924C33A"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086C04" w14:textId="77777777" w:rsidR="003C0629" w:rsidRPr="009E15D6" w:rsidRDefault="003C0629"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02623F85" w14:textId="361C6D66" w:rsidR="003C0629" w:rsidRPr="002C2ADF" w:rsidRDefault="003C0629" w:rsidP="00A236AB">
    <w:pPr>
      <w:pStyle w:val="Footer"/>
      <w:ind w:right="707"/>
      <w:rPr>
        <w:b/>
      </w:rPr>
    </w:pPr>
    <w:r>
      <w:t xml:space="preserve">Essential Services Commission </w:t>
    </w:r>
    <w:sdt>
      <w:sdtPr>
        <w:rPr>
          <w:b/>
        </w:rPr>
        <w:alias w:val="Title"/>
        <w:tag w:val=""/>
        <w:id w:val="-811783886"/>
        <w:placeholder>
          <w:docPart w:val="9C43E1C95C2A45E8B29ADC0AEE473A9B"/>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7B08" w14:textId="69EC544B" w:rsidR="006A3EF6" w:rsidRPr="00F6113D" w:rsidRDefault="006A3EF6" w:rsidP="00A236AB">
    <w:pPr>
      <w:pStyle w:val="FooterSpace"/>
      <w:ind w:right="707"/>
      <w:rPr>
        <w:b/>
        <w:bCs/>
      </w:rPr>
    </w:pPr>
    <w:r>
      <w:rPr>
        <w:b/>
        <w:bCs/>
      </w:rPr>
      <w:t>Exemptions and trial waivers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A3EF6" w14:paraId="573133C7"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AEBE807" w14:textId="77777777" w:rsidR="006A3EF6" w:rsidRPr="009E15D6" w:rsidRDefault="006A3EF6"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59C2DF7" w14:textId="1705C7FF" w:rsidR="006A3EF6" w:rsidRPr="002C2ADF" w:rsidRDefault="006A3EF6" w:rsidP="00A236AB">
    <w:pPr>
      <w:pStyle w:val="Footer"/>
      <w:ind w:right="707"/>
      <w:rPr>
        <w:b/>
      </w:rPr>
    </w:pPr>
    <w:r>
      <w:t xml:space="preserve">Essential Services Commission </w:t>
    </w:r>
    <w:sdt>
      <w:sdtPr>
        <w:rPr>
          <w:b/>
        </w:rPr>
        <w:alias w:val="Title"/>
        <w:tag w:val=""/>
        <w:id w:val="-1397046003"/>
        <w:placeholder>
          <w:docPart w:val="D2FC234D990841F18C0A8E468A5F3864"/>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656E" w14:textId="19F2CAB6" w:rsidR="003C0629" w:rsidRPr="00F6113D" w:rsidRDefault="00663D41" w:rsidP="00A236AB">
    <w:pPr>
      <w:pStyle w:val="FooterSpace"/>
      <w:ind w:right="707"/>
      <w:rPr>
        <w:b/>
        <w:bCs/>
      </w:rPr>
    </w:pPr>
    <w:r>
      <w:rPr>
        <w:b/>
        <w:bCs/>
      </w:rPr>
      <w:t>Obligations once granted a licence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0629" w14:paraId="52D9242D"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53524FF" w14:textId="77777777" w:rsidR="003C0629" w:rsidRPr="009E15D6" w:rsidRDefault="003C0629"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6F4DAE82" w14:textId="1D2A76F0" w:rsidR="003C0629" w:rsidRPr="002C2ADF" w:rsidRDefault="003C0629" w:rsidP="00A236AB">
    <w:pPr>
      <w:pStyle w:val="Footer"/>
      <w:ind w:right="707"/>
      <w:rPr>
        <w:b/>
      </w:rPr>
    </w:pPr>
    <w:r>
      <w:t xml:space="preserve">Essential Services Commission </w:t>
    </w:r>
    <w:sdt>
      <w:sdtPr>
        <w:rPr>
          <w:b/>
        </w:rPr>
        <w:alias w:val="Title"/>
        <w:tag w:val=""/>
        <w:id w:val="-280576522"/>
        <w:placeholder>
          <w:docPart w:val="96AC61076CBA4279B708FB4E2CFB8201"/>
        </w:placeholder>
        <w:dataBinding w:prefixMappings="xmlns:ns0='http://purl.org/dc/elements/1.1/' xmlns:ns1='http://schemas.openxmlformats.org/package/2006/metadata/core-properties' " w:xpath="/ns1:coreProperties[1]/ns0:title[1]" w:storeItemID="{6C3C8BC8-F283-45AE-878A-BAB7291924A1}"/>
        <w:text/>
      </w:sdtPr>
      <w:sdtEndPr/>
      <w:sdtContent>
        <w:r w:rsidR="00140AB7">
          <w:rPr>
            <w:b/>
          </w:rPr>
          <w:t>Guideline: Applications for electricity and gas industry licences</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AC8C" w14:textId="77777777" w:rsidR="00DB206F" w:rsidRPr="00CF33F6" w:rsidRDefault="00DB206F" w:rsidP="00AE03FA">
      <w:pPr>
        <w:spacing w:after="0"/>
        <w:rPr>
          <w:color w:val="75787B" w:themeColor="background2"/>
        </w:rPr>
      </w:pPr>
      <w:bookmarkStart w:id="0" w:name="_Hlk480978878"/>
      <w:bookmarkEnd w:id="0"/>
      <w:r w:rsidRPr="00CF33F6">
        <w:rPr>
          <w:color w:val="75787B" w:themeColor="background2"/>
        </w:rPr>
        <w:separator/>
      </w:r>
    </w:p>
    <w:p w14:paraId="32385F89" w14:textId="77777777" w:rsidR="00DB206F" w:rsidRDefault="00DB206F" w:rsidP="00CF33F6">
      <w:pPr>
        <w:pStyle w:val="NoSpacing"/>
      </w:pPr>
    </w:p>
  </w:footnote>
  <w:footnote w:type="continuationSeparator" w:id="0">
    <w:p w14:paraId="56A5D6A3" w14:textId="77777777" w:rsidR="00DB206F" w:rsidRDefault="00DB206F" w:rsidP="00AE03FA">
      <w:pPr>
        <w:spacing w:after="0"/>
      </w:pPr>
      <w:r>
        <w:continuationSeparator/>
      </w:r>
    </w:p>
    <w:p w14:paraId="33281923" w14:textId="77777777" w:rsidR="00DB206F" w:rsidRDefault="00DB206F"/>
  </w:footnote>
  <w:footnote w:id="1">
    <w:p w14:paraId="0C3D3A6B" w14:textId="667C5B59" w:rsidR="00B245E8" w:rsidRPr="00D468C1" w:rsidRDefault="00B245E8" w:rsidP="00B245E8">
      <w:pPr>
        <w:pStyle w:val="FootnoteText"/>
        <w:rPr>
          <w:lang w:val="en-US"/>
        </w:rPr>
      </w:pPr>
      <w:r>
        <w:rPr>
          <w:rStyle w:val="FootnoteReference"/>
        </w:rPr>
        <w:footnoteRef/>
      </w:r>
      <w:r>
        <w:t xml:space="preserve"> We may</w:t>
      </w:r>
      <w:r w:rsidRPr="00355CED">
        <w:t xml:space="preserve"> not have to be satisfied as to the applicant's financial viability, if the applicant is applying for a licence which includes a condition requiring compliance with the National Electricity Rules </w:t>
      </w:r>
      <w:r w:rsidR="000F19DE">
        <w:t xml:space="preserve">or National Gas Rules </w:t>
      </w:r>
      <w:r w:rsidRPr="00355CED">
        <w:t>and the Rules include prudential requirements</w:t>
      </w:r>
      <w:r w:rsidR="000F19DE">
        <w:t>. However, we have absolute discretion regarding whether to assess an applicant’s financial viability</w:t>
      </w:r>
      <w:r w:rsidR="002F2524">
        <w:t xml:space="preserve"> and </w:t>
      </w:r>
      <w:r w:rsidR="00473CC1">
        <w:t>retail applicants will be subject to a financial viability assessment in all cases</w:t>
      </w:r>
      <w:r w:rsidR="000F19DE">
        <w:t>.</w:t>
      </w:r>
    </w:p>
  </w:footnote>
  <w:footnote w:id="2">
    <w:p w14:paraId="437C3B29" w14:textId="3E32D0FE" w:rsidR="00121EB7" w:rsidRDefault="00121EB7">
      <w:pPr>
        <w:pStyle w:val="FootnoteText"/>
      </w:pPr>
      <w:r>
        <w:rPr>
          <w:rStyle w:val="FootnoteReference"/>
        </w:rPr>
        <w:footnoteRef/>
      </w:r>
      <w:r>
        <w:t xml:space="preserve"> The $5,000 RALF will apply until 30 June 2026 when</w:t>
      </w:r>
      <w:r w:rsidR="000C019F">
        <w:t xml:space="preserve"> reviewed by the commission in association with</w:t>
      </w:r>
      <w:r>
        <w:t xml:space="preserve"> </w:t>
      </w:r>
      <w:r w:rsidRPr="00315F24">
        <w:rPr>
          <w:rFonts w:ascii="Arial" w:hAnsi="Arial" w:cs="Arial"/>
          <w:bCs/>
        </w:rPr>
        <w:t>annual licence fees and charges</w:t>
      </w:r>
      <w:r>
        <w:rPr>
          <w:rFonts w:ascii="Arial" w:hAnsi="Arial" w:cs="Arial"/>
          <w:bCs/>
          <w:i/>
          <w:iCs/>
        </w:rPr>
        <w:t>.</w:t>
      </w:r>
    </w:p>
  </w:footnote>
  <w:footnote w:id="3">
    <w:p w14:paraId="2E2DB2A7" w14:textId="79C8F0E1" w:rsidR="000D7012" w:rsidRDefault="000D7012">
      <w:pPr>
        <w:pStyle w:val="FootnoteText"/>
      </w:pPr>
      <w:bookmarkStart w:id="40" w:name="_Hlk160516057"/>
      <w:r>
        <w:rPr>
          <w:rStyle w:val="FootnoteReference"/>
        </w:rPr>
        <w:footnoteRef/>
      </w:r>
      <w:r>
        <w:t xml:space="preserve"> </w:t>
      </w:r>
      <w:r>
        <w:rPr>
          <w:rFonts w:ascii="Arial" w:hAnsi="Arial" w:cs="Arial"/>
        </w:rPr>
        <w:t>If the energy retail applicant is dual fuel, a total Retail Application Licence Fee of $10,000 applies.</w:t>
      </w:r>
      <w:bookmarkEnd w:id="40"/>
    </w:p>
  </w:footnote>
  <w:footnote w:id="4">
    <w:p w14:paraId="23F6C0B6" w14:textId="77777777" w:rsidR="00B245E8" w:rsidRDefault="00B245E8" w:rsidP="00B245E8">
      <w:pPr>
        <w:pStyle w:val="FootnoteText"/>
      </w:pPr>
      <w:r>
        <w:rPr>
          <w:rStyle w:val="FootnoteReference"/>
        </w:rPr>
        <w:footnoteRef/>
      </w:r>
      <w:r>
        <w:t xml:space="preserve"> Section 19(6) of the </w:t>
      </w:r>
      <w:r w:rsidRPr="001D60D2">
        <w:rPr>
          <w:i/>
          <w:iCs/>
        </w:rPr>
        <w:t>Electricity Industry Act 2000</w:t>
      </w:r>
      <w:r>
        <w:t xml:space="preserve"> and section 26(2) of the </w:t>
      </w:r>
      <w:r w:rsidRPr="001D60D2">
        <w:rPr>
          <w:i/>
          <w:iCs/>
        </w:rPr>
        <w:t>Gas Industry Act 2001</w:t>
      </w:r>
      <w:r>
        <w:t>.</w:t>
      </w:r>
    </w:p>
  </w:footnote>
  <w:footnote w:id="5">
    <w:p w14:paraId="4C4BD58A" w14:textId="77777777" w:rsidR="00B245E8" w:rsidRDefault="00B245E8" w:rsidP="00B245E8">
      <w:pPr>
        <w:pStyle w:val="FootnoteText"/>
      </w:pPr>
      <w:r>
        <w:rPr>
          <w:rStyle w:val="FootnoteReference"/>
        </w:rPr>
        <w:footnoteRef/>
      </w:r>
      <w:r>
        <w:t xml:space="preserve"> Section 30(a) of the </w:t>
      </w:r>
      <w:r w:rsidRPr="001D60D2">
        <w:rPr>
          <w:i/>
          <w:iCs/>
        </w:rPr>
        <w:t>Electricity Industry Act 2000</w:t>
      </w:r>
      <w:r>
        <w:t xml:space="preserve"> and section 39(a) of the </w:t>
      </w:r>
      <w:r w:rsidRPr="001D60D2">
        <w:rPr>
          <w:i/>
          <w:iCs/>
        </w:rPr>
        <w:t>Gas Industry Act 2001</w:t>
      </w:r>
      <w:r>
        <w:t>.</w:t>
      </w:r>
    </w:p>
  </w:footnote>
  <w:footnote w:id="6">
    <w:p w14:paraId="144BFDA8" w14:textId="77777777" w:rsidR="00B245E8" w:rsidRDefault="00B245E8" w:rsidP="00B245E8">
      <w:pPr>
        <w:pStyle w:val="FootnoteText"/>
      </w:pPr>
      <w:r>
        <w:rPr>
          <w:rStyle w:val="FootnoteReference"/>
        </w:rPr>
        <w:footnoteRef/>
      </w:r>
      <w:r>
        <w:t xml:space="preserve"> Section 19(8) of the </w:t>
      </w:r>
      <w:r w:rsidRPr="001D60D2">
        <w:rPr>
          <w:i/>
          <w:iCs/>
        </w:rPr>
        <w:t>Electricity Industry Act 2000</w:t>
      </w:r>
      <w:r>
        <w:t xml:space="preserve"> and section 26(4) of the </w:t>
      </w:r>
      <w:r w:rsidRPr="001D60D2">
        <w:rPr>
          <w:i/>
          <w:iCs/>
        </w:rPr>
        <w:t>Gas Industry Act 2001</w:t>
      </w:r>
      <w:r>
        <w:t>.</w:t>
      </w:r>
    </w:p>
  </w:footnote>
  <w:footnote w:id="7">
    <w:p w14:paraId="424EC66F" w14:textId="77777777" w:rsidR="00B245E8" w:rsidRDefault="00B245E8" w:rsidP="00B245E8">
      <w:pPr>
        <w:pStyle w:val="FootnoteText"/>
      </w:pPr>
      <w:r>
        <w:rPr>
          <w:rStyle w:val="FootnoteReference"/>
        </w:rPr>
        <w:footnoteRef/>
      </w:r>
      <w:r>
        <w:t xml:space="preserve"> See section 20(2) of the </w:t>
      </w:r>
      <w:r w:rsidRPr="001D60D2">
        <w:rPr>
          <w:i/>
          <w:iCs/>
        </w:rPr>
        <w:t>Electricity Industry Act 2000</w:t>
      </w:r>
      <w:r>
        <w:t xml:space="preserve"> and section 28(2) of the </w:t>
      </w:r>
      <w:r w:rsidRPr="001D60D2">
        <w:rPr>
          <w:i/>
          <w:iCs/>
        </w:rPr>
        <w:t>Gas Industry Act 2001</w:t>
      </w:r>
      <w:r>
        <w:t>.</w:t>
      </w:r>
    </w:p>
  </w:footnote>
  <w:footnote w:id="8">
    <w:p w14:paraId="631F7733" w14:textId="77777777" w:rsidR="00B245E8" w:rsidRDefault="00B245E8" w:rsidP="00B245E8">
      <w:pPr>
        <w:pStyle w:val="FootnoteText"/>
      </w:pPr>
      <w:r>
        <w:rPr>
          <w:rStyle w:val="FootnoteReference"/>
        </w:rPr>
        <w:footnoteRef/>
      </w:r>
      <w:r>
        <w:t xml:space="preserve"> Section 19(1) of the </w:t>
      </w:r>
      <w:r w:rsidRPr="001D60D2">
        <w:rPr>
          <w:i/>
          <w:iCs/>
        </w:rPr>
        <w:t>Electricity Industry Act 2000</w:t>
      </w:r>
      <w:r>
        <w:t xml:space="preserve"> and section 26 of the </w:t>
      </w:r>
      <w:r w:rsidRPr="001D60D2">
        <w:rPr>
          <w:i/>
          <w:iCs/>
        </w:rPr>
        <w:t>Gas Industry Act 2001</w:t>
      </w:r>
      <w:r>
        <w:t>.</w:t>
      </w:r>
    </w:p>
  </w:footnote>
  <w:footnote w:id="9">
    <w:p w14:paraId="0FD8415A" w14:textId="4AFCD34C" w:rsidR="00C864B6" w:rsidRDefault="00C864B6">
      <w:pPr>
        <w:pStyle w:val="FootnoteText"/>
      </w:pPr>
      <w:r>
        <w:rPr>
          <w:rStyle w:val="FootnoteReference"/>
        </w:rPr>
        <w:footnoteRef/>
      </w:r>
      <w:r>
        <w:t xml:space="preserve"> </w:t>
      </w:r>
      <w:r w:rsidR="004E4093">
        <w:t>Becoming a member of the Energy and Water Ombudsman (Victoria):</w:t>
      </w:r>
      <w:r>
        <w:t xml:space="preserve"> </w:t>
      </w:r>
      <w:hyperlink r:id="rId1" w:history="1">
        <w:r w:rsidRPr="00C864B6">
          <w:rPr>
            <w:rStyle w:val="Hyperlink"/>
            <w:rFonts w:ascii="Arial" w:hAnsi="Arial" w:cs="Arial"/>
          </w:rPr>
          <w:t>https://www.ewov.com.au/members/joining-ewov</w:t>
        </w:r>
      </w:hyperlink>
    </w:p>
  </w:footnote>
  <w:footnote w:id="10">
    <w:p w14:paraId="492CC86D" w14:textId="50549631" w:rsidR="00B245E8" w:rsidRPr="003A6908" w:rsidRDefault="00B245E8" w:rsidP="00B245E8">
      <w:pPr>
        <w:pStyle w:val="FootnoteText"/>
        <w:rPr>
          <w:lang w:val="en-US"/>
        </w:rPr>
      </w:pPr>
      <w:r>
        <w:rPr>
          <w:rStyle w:val="FootnoteReference"/>
        </w:rPr>
        <w:footnoteRef/>
      </w:r>
      <w:r>
        <w:t xml:space="preserve"> </w:t>
      </w:r>
      <w:r>
        <w:rPr>
          <w:lang w:val="en-US"/>
        </w:rPr>
        <w:t>Section 19(2)</w:t>
      </w:r>
      <w:r w:rsidR="00790F39">
        <w:rPr>
          <w:lang w:val="en-US"/>
        </w:rPr>
        <w:t xml:space="preserve"> of the </w:t>
      </w:r>
      <w:r w:rsidR="00790F39" w:rsidRPr="001D60D2">
        <w:rPr>
          <w:i/>
          <w:iCs/>
          <w:lang w:val="en-US"/>
        </w:rPr>
        <w:t>Electricity Industry Act</w:t>
      </w:r>
      <w:r w:rsidR="00B5050D">
        <w:rPr>
          <w:i/>
          <w:iCs/>
          <w:lang w:val="en-US"/>
        </w:rPr>
        <w:t xml:space="preserve"> 2000</w:t>
      </w:r>
      <w:r>
        <w:rPr>
          <w:lang w:val="en-US"/>
        </w:rPr>
        <w:t>.</w:t>
      </w:r>
    </w:p>
  </w:footnote>
  <w:footnote w:id="11">
    <w:p w14:paraId="5611E2D3" w14:textId="0E9B931D" w:rsidR="00B245E8" w:rsidRPr="00250567" w:rsidRDefault="00B245E8" w:rsidP="00B245E8">
      <w:pPr>
        <w:pStyle w:val="FootnoteText"/>
        <w:rPr>
          <w:lang w:val="en-GB"/>
        </w:rPr>
      </w:pPr>
      <w:r>
        <w:rPr>
          <w:rStyle w:val="FootnoteReference"/>
        </w:rPr>
        <w:footnoteRef/>
      </w:r>
      <w:r>
        <w:t xml:space="preserve"> </w:t>
      </w:r>
      <w:r>
        <w:rPr>
          <w:lang w:val="en-GB"/>
        </w:rPr>
        <w:t>The objectives of the commission include, to the extent that it is efficient and practicable to do so, to promote a consistent regulatory approach between the electricity industry and the gas industry (s</w:t>
      </w:r>
      <w:r w:rsidR="00170CDE">
        <w:rPr>
          <w:lang w:val="en-GB"/>
        </w:rPr>
        <w:t>ection</w:t>
      </w:r>
      <w:r>
        <w:rPr>
          <w:lang w:val="en-GB"/>
        </w:rPr>
        <w:t xml:space="preserve"> 10(a), </w:t>
      </w:r>
      <w:r w:rsidRPr="001D60D2">
        <w:rPr>
          <w:i/>
          <w:iCs/>
          <w:lang w:val="en-GB"/>
        </w:rPr>
        <w:t>Electricity Industry Act</w:t>
      </w:r>
      <w:r w:rsidR="00B5050D" w:rsidRPr="001D60D2">
        <w:rPr>
          <w:i/>
          <w:iCs/>
          <w:lang w:val="en-GB"/>
        </w:rPr>
        <w:t xml:space="preserve"> 2000</w:t>
      </w:r>
      <w:r>
        <w:rPr>
          <w:lang w:val="en-GB"/>
        </w:rPr>
        <w:t>; s</w:t>
      </w:r>
      <w:r w:rsidR="00170CDE">
        <w:rPr>
          <w:lang w:val="en-GB"/>
        </w:rPr>
        <w:t xml:space="preserve">ection </w:t>
      </w:r>
      <w:r>
        <w:rPr>
          <w:lang w:val="en-GB"/>
        </w:rPr>
        <w:t xml:space="preserve">18(a) </w:t>
      </w:r>
      <w:r w:rsidRPr="001D60D2">
        <w:rPr>
          <w:i/>
          <w:iCs/>
          <w:lang w:val="en-GB"/>
        </w:rPr>
        <w:t>Gas Industry Act</w:t>
      </w:r>
      <w:r w:rsidR="00B5050D" w:rsidRPr="001D60D2">
        <w:rPr>
          <w:i/>
          <w:iCs/>
          <w:lang w:val="en-GB"/>
        </w:rPr>
        <w:t xml:space="preserve"> 2001</w:t>
      </w:r>
      <w:r>
        <w:rPr>
          <w:lang w:val="en-GB"/>
        </w:rPr>
        <w:t>)</w:t>
      </w:r>
      <w:r w:rsidR="00AE4A6F">
        <w:rPr>
          <w:lang w:val="en-GB"/>
        </w:rPr>
        <w:t>.</w:t>
      </w:r>
    </w:p>
  </w:footnote>
  <w:footnote w:id="12">
    <w:p w14:paraId="0737A1B5" w14:textId="75BE4A11" w:rsidR="00B245E8" w:rsidRDefault="00B245E8" w:rsidP="00B245E8">
      <w:pPr>
        <w:pStyle w:val="FootnoteText"/>
      </w:pPr>
      <w:r>
        <w:rPr>
          <w:rStyle w:val="FootnoteReference"/>
        </w:rPr>
        <w:footnoteRef/>
      </w:r>
      <w:r>
        <w:t xml:space="preserve"> See sections 29(1) and (2) and 29A of the </w:t>
      </w:r>
      <w:r w:rsidRPr="003B7C67">
        <w:rPr>
          <w:i/>
          <w:iCs/>
        </w:rPr>
        <w:t xml:space="preserve">Electricity Industry Act </w:t>
      </w:r>
      <w:r w:rsidR="00790F39" w:rsidRPr="003B7C67">
        <w:rPr>
          <w:i/>
          <w:iCs/>
        </w:rPr>
        <w:t>2000</w:t>
      </w:r>
      <w:r w:rsidR="00790F39">
        <w:t xml:space="preserve"> </w:t>
      </w:r>
      <w:r>
        <w:t xml:space="preserve">and sections 38(1) and (2) and 38A of the </w:t>
      </w:r>
      <w:r w:rsidRPr="003B7C67">
        <w:rPr>
          <w:i/>
          <w:iCs/>
        </w:rPr>
        <w:t>Gas Industry Act</w:t>
      </w:r>
      <w:r w:rsidR="00790F39" w:rsidRPr="003B7C67">
        <w:rPr>
          <w:i/>
          <w:iCs/>
        </w:rPr>
        <w:t xml:space="preserve"> 2001</w:t>
      </w:r>
      <w:r>
        <w:t>.</w:t>
      </w:r>
    </w:p>
  </w:footnote>
  <w:footnote w:id="13">
    <w:p w14:paraId="7C434330" w14:textId="00241389" w:rsidR="00B245E8" w:rsidRDefault="00B245E8" w:rsidP="00B245E8">
      <w:pPr>
        <w:pStyle w:val="FootnoteText"/>
      </w:pPr>
      <w:r>
        <w:rPr>
          <w:rStyle w:val="FootnoteReference"/>
        </w:rPr>
        <w:footnoteRef/>
      </w:r>
      <w:r>
        <w:t xml:space="preserve"> See section 31 of the </w:t>
      </w:r>
      <w:r w:rsidRPr="003B7C67">
        <w:rPr>
          <w:i/>
          <w:iCs/>
        </w:rPr>
        <w:t xml:space="preserve">Electricity Industry Act </w:t>
      </w:r>
      <w:r w:rsidR="00790F39" w:rsidRPr="003B7C67">
        <w:rPr>
          <w:i/>
          <w:iCs/>
        </w:rPr>
        <w:t>2000</w:t>
      </w:r>
      <w:r w:rsidR="00790F39">
        <w:t xml:space="preserve"> </w:t>
      </w:r>
      <w:r>
        <w:t xml:space="preserve">and section 40 of the </w:t>
      </w:r>
      <w:r w:rsidRPr="003B7C67">
        <w:rPr>
          <w:i/>
          <w:iCs/>
        </w:rPr>
        <w:t>Gas Industry Act</w:t>
      </w:r>
      <w:r w:rsidR="00790F39" w:rsidRPr="003B7C67">
        <w:rPr>
          <w:i/>
          <w:iCs/>
        </w:rPr>
        <w:t xml:space="preserve"> 2001</w:t>
      </w:r>
      <w:r>
        <w:t>.</w:t>
      </w:r>
    </w:p>
  </w:footnote>
  <w:footnote w:id="14">
    <w:p w14:paraId="28132139" w14:textId="20F8B625" w:rsidR="00B245E8" w:rsidRDefault="00B245E8" w:rsidP="00B245E8">
      <w:pPr>
        <w:pStyle w:val="FootnoteText"/>
      </w:pPr>
      <w:r>
        <w:rPr>
          <w:rStyle w:val="FootnoteReference"/>
        </w:rPr>
        <w:footnoteRef/>
      </w:r>
      <w:r>
        <w:t xml:space="preserve"> Unless the exemption is deemed, in which case it automatically applies and does not need to be registered with </w:t>
      </w:r>
      <w:r w:rsidR="00BC47BC">
        <w:t>the commission</w:t>
      </w:r>
      <w:r>
        <w:t>.</w:t>
      </w:r>
    </w:p>
  </w:footnote>
  <w:footnote w:id="15">
    <w:p w14:paraId="1545E8D0" w14:textId="77777777" w:rsidR="0082342B" w:rsidRDefault="0082342B" w:rsidP="0082342B">
      <w:pPr>
        <w:pStyle w:val="FootnoteText"/>
      </w:pPr>
      <w:r>
        <w:rPr>
          <w:rStyle w:val="FootnoteReference"/>
        </w:rPr>
        <w:footnoteRef/>
      </w:r>
      <w:r>
        <w:t xml:space="preserve"> See section 22 of the </w:t>
      </w:r>
      <w:r w:rsidRPr="001D60D2">
        <w:rPr>
          <w:i/>
          <w:iCs/>
        </w:rPr>
        <w:t>Electricity Industry Act 2000</w:t>
      </w:r>
      <w:r>
        <w:t xml:space="preserve"> and section 30 of the </w:t>
      </w:r>
      <w:r w:rsidRPr="001D60D2">
        <w:rPr>
          <w:i/>
          <w:iCs/>
        </w:rPr>
        <w:t>Gas Industry Act 2001</w:t>
      </w:r>
      <w:r>
        <w:t>.</w:t>
      </w:r>
    </w:p>
  </w:footnote>
  <w:footnote w:id="16">
    <w:p w14:paraId="7F26AD80" w14:textId="089BE613" w:rsidR="000943CE" w:rsidRPr="00F9140E" w:rsidRDefault="000943CE" w:rsidP="000943CE">
      <w:pPr>
        <w:pStyle w:val="FootnoteText"/>
        <w:rPr>
          <w:lang w:val="en-GB"/>
        </w:rPr>
      </w:pPr>
      <w:r>
        <w:rPr>
          <w:rStyle w:val="FootnoteReference"/>
        </w:rPr>
        <w:footnoteRef/>
      </w:r>
      <w:r>
        <w:t xml:space="preserve"> </w:t>
      </w:r>
      <w:r>
        <w:rPr>
          <w:lang w:val="en-GB"/>
        </w:rPr>
        <w:t xml:space="preserve">See Notice of Determination under </w:t>
      </w:r>
      <w:r w:rsidR="0082342B">
        <w:rPr>
          <w:lang w:val="en-GB"/>
        </w:rPr>
        <w:t>s</w:t>
      </w:r>
      <w:r>
        <w:rPr>
          <w:lang w:val="en-GB"/>
        </w:rPr>
        <w:t xml:space="preserve">ection 22 of the </w:t>
      </w:r>
      <w:r w:rsidRPr="001D60D2">
        <w:rPr>
          <w:i/>
          <w:iCs/>
          <w:lang w:val="en-GB"/>
        </w:rPr>
        <w:t>Electricity Industry Act 2000</w:t>
      </w:r>
      <w:r w:rsidR="0082342B">
        <w:rPr>
          <w:lang w:val="en-GB"/>
        </w:rPr>
        <w:t xml:space="preserve"> and section 30 of </w:t>
      </w:r>
      <w:r w:rsidR="0082342B" w:rsidRPr="00B5050D">
        <w:rPr>
          <w:lang w:val="en-GB"/>
        </w:rPr>
        <w:t>the</w:t>
      </w:r>
      <w:r w:rsidR="0082342B" w:rsidRPr="001D60D2">
        <w:rPr>
          <w:i/>
          <w:iCs/>
          <w:lang w:val="en-GB"/>
        </w:rPr>
        <w:t xml:space="preserve"> Gas </w:t>
      </w:r>
      <w:r w:rsidR="00337511" w:rsidRPr="001D60D2">
        <w:rPr>
          <w:i/>
          <w:iCs/>
          <w:lang w:val="en-GB"/>
        </w:rPr>
        <w:t>Industry</w:t>
      </w:r>
      <w:r w:rsidR="0082342B" w:rsidRPr="001D60D2">
        <w:rPr>
          <w:i/>
          <w:iCs/>
          <w:lang w:val="en-GB"/>
        </w:rPr>
        <w:t xml:space="preserve"> Act 2001</w:t>
      </w:r>
      <w:r>
        <w:rPr>
          <w:lang w:val="en-GB"/>
        </w:rPr>
        <w:t>, GG S2</w:t>
      </w:r>
      <w:r w:rsidR="0082342B">
        <w:rPr>
          <w:lang w:val="en-GB"/>
        </w:rPr>
        <w:t>54</w:t>
      </w:r>
      <w:r>
        <w:rPr>
          <w:lang w:val="en-GB"/>
        </w:rPr>
        <w:t>, 24 May 2022</w:t>
      </w:r>
      <w:r w:rsidR="0082342B">
        <w:rPr>
          <w:lang w:val="en-GB"/>
        </w:rPr>
        <w:t xml:space="preserve">, available at: </w:t>
      </w:r>
      <w:hyperlink r:id="rId2" w:history="1">
        <w:r w:rsidR="00D249E0" w:rsidRPr="00F13C37">
          <w:rPr>
            <w:rStyle w:val="Hyperlink"/>
            <w:lang w:val="en-GB"/>
          </w:rPr>
          <w:t>http://www.gazette.vic.gov.au/gazette/Gazettes2022/GG2022S254.pdf</w:t>
        </w:r>
      </w:hyperlink>
      <w:r w:rsidR="00E74807">
        <w:rPr>
          <w:rStyle w:val="Hyperlink"/>
          <w:lang w:val="en-GB"/>
        </w:rPr>
        <w:t xml:space="preserve">, </w:t>
      </w:r>
      <w:r w:rsidR="00E74807" w:rsidRPr="00E71620">
        <w:t>for further information including how licensees are required to assess customer numbers</w:t>
      </w:r>
      <w:r w:rsidR="00E74807">
        <w:rPr>
          <w:rStyle w:val="Hyperlink"/>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0751" w14:textId="70EBF2FC"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5680" behindDoc="0" locked="1" layoutInCell="1" allowOverlap="1" wp14:anchorId="0EC6ACF6" wp14:editId="76E6181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4B8D2E" id="Group 13" o:spid="_x0000_s1026" style="position:absolute;margin-left:522.25pt;margin-top:0;width:573.45pt;height:488.15pt;z-index:251655680;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4656" behindDoc="1" locked="1" layoutInCell="1" allowOverlap="1" wp14:anchorId="7436B8BD" wp14:editId="725A2610">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E1C5"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60288" behindDoc="0" locked="1" layoutInCell="1" allowOverlap="1" wp14:anchorId="07733A50" wp14:editId="6A90C456">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ADC406" id="Group 29" o:spid="_x0000_s1026" style="position:absolute;margin-left:522.25pt;margin-top:0;width:573.45pt;height:488.15pt;z-index:251660288;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9264" behindDoc="1" locked="1" layoutInCell="1" allowOverlap="1" wp14:anchorId="4EC8F6B3" wp14:editId="0EAD1A9B">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6D5F" w14:textId="2BCB072A" w:rsidR="003A30F3" w:rsidRPr="00633068" w:rsidRDefault="003A30F3" w:rsidP="00633068">
    <w:pPr>
      <w:pStyle w:val="Header"/>
      <w:tabs>
        <w:tab w:val="clear" w:pos="4680"/>
        <w:tab w:val="clear" w:pos="9360"/>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A14" w14:textId="26D59912"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F7A03"/>
    <w:multiLevelType w:val="multilevel"/>
    <w:tmpl w:val="D10C6658"/>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Arial" w:eastAsia="Times New Roman" w:hAnsi="Arial" w:cs="Arial" w:hint="default"/>
      </w:rPr>
    </w:lvl>
    <w:lvl w:ilvl="3">
      <w:start w:val="1"/>
      <w:numFmt w:val="bullet"/>
      <w:lvlText w:val="-"/>
      <w:lvlJc w:val="left"/>
      <w:pPr>
        <w:ind w:left="2804" w:hanging="360"/>
      </w:pPr>
      <w:rPr>
        <w:rFonts w:ascii="Arial" w:eastAsia="Times New Roman" w:hAnsi="Arial" w:cs="Aria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0BD066FA"/>
    <w:multiLevelType w:val="hybridMultilevel"/>
    <w:tmpl w:val="8EAC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5A56E4"/>
    <w:multiLevelType w:val="hybridMultilevel"/>
    <w:tmpl w:val="3FF87B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510C0B"/>
    <w:multiLevelType w:val="multilevel"/>
    <w:tmpl w:val="3D66CBA2"/>
    <w:numStyleLink w:val="CustomNumberlist"/>
  </w:abstractNum>
  <w:abstractNum w:abstractNumId="17" w15:restartNumberingAfterBreak="0">
    <w:nsid w:val="18A76627"/>
    <w:multiLevelType w:val="hybridMultilevel"/>
    <w:tmpl w:val="47F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C64820"/>
    <w:multiLevelType w:val="hybridMultilevel"/>
    <w:tmpl w:val="68AA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3C049B"/>
    <w:multiLevelType w:val="multilevel"/>
    <w:tmpl w:val="6D9A2BC2"/>
    <w:numStyleLink w:val="NumberedHeadings"/>
  </w:abstractNum>
  <w:abstractNum w:abstractNumId="20" w15:restartNumberingAfterBreak="0">
    <w:nsid w:val="1CF35DD9"/>
    <w:multiLevelType w:val="hybridMultilevel"/>
    <w:tmpl w:val="5B2AD10E"/>
    <w:lvl w:ilvl="0" w:tplc="09DC86B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E8052EF"/>
    <w:multiLevelType w:val="multilevel"/>
    <w:tmpl w:val="DF4A9966"/>
    <w:numStyleLink w:val="TableBullets"/>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25EF0C34"/>
    <w:multiLevelType w:val="hybridMultilevel"/>
    <w:tmpl w:val="FFFFFFFF"/>
    <w:lvl w:ilvl="0" w:tplc="BD50520C">
      <w:start w:val="1"/>
      <w:numFmt w:val="bullet"/>
      <w:lvlText w:val=""/>
      <w:lvlJc w:val="left"/>
      <w:pPr>
        <w:ind w:left="720" w:hanging="360"/>
      </w:pPr>
      <w:rPr>
        <w:rFonts w:ascii="Symbol" w:hAnsi="Symbol" w:hint="default"/>
      </w:rPr>
    </w:lvl>
    <w:lvl w:ilvl="1" w:tplc="FFD05464">
      <w:start w:val="1"/>
      <w:numFmt w:val="bullet"/>
      <w:lvlText w:val="o"/>
      <w:lvlJc w:val="left"/>
      <w:pPr>
        <w:ind w:left="1440" w:hanging="360"/>
      </w:pPr>
      <w:rPr>
        <w:rFonts w:ascii="Courier New" w:hAnsi="Courier New" w:hint="default"/>
      </w:rPr>
    </w:lvl>
    <w:lvl w:ilvl="2" w:tplc="0AFA8C92">
      <w:start w:val="1"/>
      <w:numFmt w:val="bullet"/>
      <w:lvlText w:val=""/>
      <w:lvlJc w:val="left"/>
      <w:pPr>
        <w:ind w:left="2160" w:hanging="360"/>
      </w:pPr>
      <w:rPr>
        <w:rFonts w:ascii="Wingdings" w:hAnsi="Wingdings" w:hint="default"/>
      </w:rPr>
    </w:lvl>
    <w:lvl w:ilvl="3" w:tplc="66926370">
      <w:start w:val="1"/>
      <w:numFmt w:val="bullet"/>
      <w:lvlText w:val=""/>
      <w:lvlJc w:val="left"/>
      <w:pPr>
        <w:ind w:left="2880" w:hanging="360"/>
      </w:pPr>
      <w:rPr>
        <w:rFonts w:ascii="Symbol" w:hAnsi="Symbol" w:hint="default"/>
      </w:rPr>
    </w:lvl>
    <w:lvl w:ilvl="4" w:tplc="5FB4DA46">
      <w:start w:val="1"/>
      <w:numFmt w:val="bullet"/>
      <w:lvlText w:val="o"/>
      <w:lvlJc w:val="left"/>
      <w:pPr>
        <w:ind w:left="3600" w:hanging="360"/>
      </w:pPr>
      <w:rPr>
        <w:rFonts w:ascii="Courier New" w:hAnsi="Courier New" w:hint="default"/>
      </w:rPr>
    </w:lvl>
    <w:lvl w:ilvl="5" w:tplc="2A88F988">
      <w:start w:val="1"/>
      <w:numFmt w:val="bullet"/>
      <w:lvlText w:val=""/>
      <w:lvlJc w:val="left"/>
      <w:pPr>
        <w:ind w:left="4320" w:hanging="360"/>
      </w:pPr>
      <w:rPr>
        <w:rFonts w:ascii="Wingdings" w:hAnsi="Wingdings" w:hint="default"/>
      </w:rPr>
    </w:lvl>
    <w:lvl w:ilvl="6" w:tplc="64E4DCCE">
      <w:start w:val="1"/>
      <w:numFmt w:val="bullet"/>
      <w:lvlText w:val=""/>
      <w:lvlJc w:val="left"/>
      <w:pPr>
        <w:ind w:left="5040" w:hanging="360"/>
      </w:pPr>
      <w:rPr>
        <w:rFonts w:ascii="Symbol" w:hAnsi="Symbol" w:hint="default"/>
      </w:rPr>
    </w:lvl>
    <w:lvl w:ilvl="7" w:tplc="466C2564">
      <w:start w:val="1"/>
      <w:numFmt w:val="bullet"/>
      <w:lvlText w:val="o"/>
      <w:lvlJc w:val="left"/>
      <w:pPr>
        <w:ind w:left="5760" w:hanging="360"/>
      </w:pPr>
      <w:rPr>
        <w:rFonts w:ascii="Courier New" w:hAnsi="Courier New" w:hint="default"/>
      </w:rPr>
    </w:lvl>
    <w:lvl w:ilvl="8" w:tplc="E7B8FCA6">
      <w:start w:val="1"/>
      <w:numFmt w:val="bullet"/>
      <w:lvlText w:val=""/>
      <w:lvlJc w:val="left"/>
      <w:pPr>
        <w:ind w:left="6480" w:hanging="360"/>
      </w:pPr>
      <w:rPr>
        <w:rFonts w:ascii="Wingdings" w:hAnsi="Wingdings" w:hint="default"/>
      </w:rPr>
    </w:lvl>
  </w:abstractNum>
  <w:abstractNum w:abstractNumId="25" w15:restartNumberingAfterBreak="0">
    <w:nsid w:val="2954282D"/>
    <w:multiLevelType w:val="hybridMultilevel"/>
    <w:tmpl w:val="FA9E4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EE38BB"/>
    <w:multiLevelType w:val="hybridMultilevel"/>
    <w:tmpl w:val="5DDE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B67F11"/>
    <w:multiLevelType w:val="hybridMultilevel"/>
    <w:tmpl w:val="EFA882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1EF64F0"/>
    <w:multiLevelType w:val="hybridMultilevel"/>
    <w:tmpl w:val="193A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9E348D"/>
    <w:multiLevelType w:val="multilevel"/>
    <w:tmpl w:val="3D66CBA2"/>
    <w:numStyleLink w:val="CustomNumberlist"/>
  </w:abstractNum>
  <w:abstractNum w:abstractNumId="30" w15:restartNumberingAfterBreak="0">
    <w:nsid w:val="35FB0C81"/>
    <w:multiLevelType w:val="hybridMultilevel"/>
    <w:tmpl w:val="D10C6658"/>
    <w:lvl w:ilvl="0" w:tplc="C180E1FC">
      <w:start w:val="1"/>
      <w:numFmt w:val="bullet"/>
      <w:lvlText w:val=""/>
      <w:lvlJc w:val="left"/>
      <w:pPr>
        <w:ind w:left="644" w:hanging="360"/>
      </w:pPr>
      <w:rPr>
        <w:rFonts w:ascii="Symbol" w:hAnsi="Symbol" w:hint="default"/>
      </w:rPr>
    </w:lvl>
    <w:lvl w:ilvl="1" w:tplc="33B62EF8" w:tentative="1">
      <w:start w:val="1"/>
      <w:numFmt w:val="bullet"/>
      <w:lvlText w:val="o"/>
      <w:lvlJc w:val="left"/>
      <w:pPr>
        <w:ind w:left="1364" w:hanging="360"/>
      </w:pPr>
      <w:rPr>
        <w:rFonts w:ascii="Courier New" w:hAnsi="Courier New" w:cs="Courier New" w:hint="default"/>
      </w:rPr>
    </w:lvl>
    <w:lvl w:ilvl="2" w:tplc="3492166E">
      <w:start w:val="1"/>
      <w:numFmt w:val="bullet"/>
      <w:lvlText w:val="-"/>
      <w:lvlJc w:val="left"/>
      <w:pPr>
        <w:ind w:left="2084" w:hanging="360"/>
      </w:pPr>
      <w:rPr>
        <w:rFonts w:ascii="Arial" w:eastAsia="Times New Roman" w:hAnsi="Arial" w:cs="Arial" w:hint="default"/>
      </w:rPr>
    </w:lvl>
    <w:lvl w:ilvl="3" w:tplc="F940CD90">
      <w:start w:val="1"/>
      <w:numFmt w:val="bullet"/>
      <w:lvlText w:val="-"/>
      <w:lvlJc w:val="left"/>
      <w:pPr>
        <w:ind w:left="2804" w:hanging="360"/>
      </w:pPr>
      <w:rPr>
        <w:rFonts w:ascii="Arial" w:eastAsia="Times New Roman" w:hAnsi="Arial" w:cs="Arial" w:hint="default"/>
      </w:rPr>
    </w:lvl>
    <w:lvl w:ilvl="4" w:tplc="C848240C" w:tentative="1">
      <w:start w:val="1"/>
      <w:numFmt w:val="bullet"/>
      <w:lvlText w:val="o"/>
      <w:lvlJc w:val="left"/>
      <w:pPr>
        <w:ind w:left="3524" w:hanging="360"/>
      </w:pPr>
      <w:rPr>
        <w:rFonts w:ascii="Courier New" w:hAnsi="Courier New" w:cs="Courier New" w:hint="default"/>
      </w:rPr>
    </w:lvl>
    <w:lvl w:ilvl="5" w:tplc="55D062A6" w:tentative="1">
      <w:start w:val="1"/>
      <w:numFmt w:val="bullet"/>
      <w:lvlText w:val=""/>
      <w:lvlJc w:val="left"/>
      <w:pPr>
        <w:ind w:left="4244" w:hanging="360"/>
      </w:pPr>
      <w:rPr>
        <w:rFonts w:ascii="Wingdings" w:hAnsi="Wingdings" w:hint="default"/>
      </w:rPr>
    </w:lvl>
    <w:lvl w:ilvl="6" w:tplc="DA62A338" w:tentative="1">
      <w:start w:val="1"/>
      <w:numFmt w:val="bullet"/>
      <w:lvlText w:val=""/>
      <w:lvlJc w:val="left"/>
      <w:pPr>
        <w:ind w:left="4964" w:hanging="360"/>
      </w:pPr>
      <w:rPr>
        <w:rFonts w:ascii="Symbol" w:hAnsi="Symbol" w:hint="default"/>
      </w:rPr>
    </w:lvl>
    <w:lvl w:ilvl="7" w:tplc="2D9E7CFC" w:tentative="1">
      <w:start w:val="1"/>
      <w:numFmt w:val="bullet"/>
      <w:lvlText w:val="o"/>
      <w:lvlJc w:val="left"/>
      <w:pPr>
        <w:ind w:left="5684" w:hanging="360"/>
      </w:pPr>
      <w:rPr>
        <w:rFonts w:ascii="Courier New" w:hAnsi="Courier New" w:cs="Courier New" w:hint="default"/>
      </w:rPr>
    </w:lvl>
    <w:lvl w:ilvl="8" w:tplc="485AF754" w:tentative="1">
      <w:start w:val="1"/>
      <w:numFmt w:val="bullet"/>
      <w:lvlText w:val=""/>
      <w:lvlJc w:val="left"/>
      <w:pPr>
        <w:ind w:left="6404" w:hanging="360"/>
      </w:pPr>
      <w:rPr>
        <w:rFonts w:ascii="Wingdings" w:hAnsi="Wingdings" w:hint="default"/>
      </w:rPr>
    </w:lvl>
  </w:abstractNum>
  <w:abstractNum w:abstractNumId="31" w15:restartNumberingAfterBreak="0">
    <w:nsid w:val="38666BC2"/>
    <w:multiLevelType w:val="hybridMultilevel"/>
    <w:tmpl w:val="9F8A1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C20E77"/>
    <w:multiLevelType w:val="multilevel"/>
    <w:tmpl w:val="6D9A2BC2"/>
    <w:numStyleLink w:val="NumberedHeadings"/>
  </w:abstractNum>
  <w:abstractNum w:abstractNumId="33" w15:restartNumberingAfterBreak="0">
    <w:nsid w:val="3AA454D7"/>
    <w:multiLevelType w:val="multilevel"/>
    <w:tmpl w:val="6D9A2BC2"/>
    <w:numStyleLink w:val="NumberedHeadings"/>
  </w:abstractNum>
  <w:abstractNum w:abstractNumId="34" w15:restartNumberingAfterBreak="0">
    <w:nsid w:val="3B3A5EAE"/>
    <w:multiLevelType w:val="hybridMultilevel"/>
    <w:tmpl w:val="022E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8B0109"/>
    <w:multiLevelType w:val="multilevel"/>
    <w:tmpl w:val="3D66CBA2"/>
    <w:numStyleLink w:val="CustomNumberlist"/>
  </w:abstractNum>
  <w:abstractNum w:abstractNumId="3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CED2B5D"/>
    <w:multiLevelType w:val="multilevel"/>
    <w:tmpl w:val="4992B4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F4C330F"/>
    <w:multiLevelType w:val="hybridMultilevel"/>
    <w:tmpl w:val="1312F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05317"/>
    <w:multiLevelType w:val="multilevel"/>
    <w:tmpl w:val="3D66CBA2"/>
    <w:numStyleLink w:val="CustomNumberlist"/>
  </w:abstractNum>
  <w:abstractNum w:abstractNumId="4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C247E78"/>
    <w:multiLevelType w:val="hybridMultilevel"/>
    <w:tmpl w:val="446E7B7E"/>
    <w:lvl w:ilvl="0" w:tplc="45D42B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683C01"/>
    <w:multiLevelType w:val="multilevel"/>
    <w:tmpl w:val="5D46A8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A334D"/>
    <w:multiLevelType w:val="hybridMultilevel"/>
    <w:tmpl w:val="8136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742590">
    <w:abstractNumId w:val="9"/>
  </w:num>
  <w:num w:numId="2" w16cid:durableId="1797673250">
    <w:abstractNumId w:val="7"/>
  </w:num>
  <w:num w:numId="3" w16cid:durableId="602148410">
    <w:abstractNumId w:val="6"/>
  </w:num>
  <w:num w:numId="4" w16cid:durableId="1943226601">
    <w:abstractNumId w:val="5"/>
  </w:num>
  <w:num w:numId="5" w16cid:durableId="742799104">
    <w:abstractNumId w:val="4"/>
  </w:num>
  <w:num w:numId="6" w16cid:durableId="1522670525">
    <w:abstractNumId w:val="8"/>
  </w:num>
  <w:num w:numId="7" w16cid:durableId="998077212">
    <w:abstractNumId w:val="3"/>
  </w:num>
  <w:num w:numId="8" w16cid:durableId="691108372">
    <w:abstractNumId w:val="2"/>
  </w:num>
  <w:num w:numId="9" w16cid:durableId="425350605">
    <w:abstractNumId w:val="1"/>
  </w:num>
  <w:num w:numId="10" w16cid:durableId="1455949396">
    <w:abstractNumId w:val="35"/>
  </w:num>
  <w:num w:numId="11" w16cid:durableId="1877280450">
    <w:abstractNumId w:val="22"/>
  </w:num>
  <w:num w:numId="12" w16cid:durableId="20345756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8409693">
    <w:abstractNumId w:val="0"/>
  </w:num>
  <w:num w:numId="14" w16cid:durableId="166141838">
    <w:abstractNumId w:val="22"/>
  </w:num>
  <w:num w:numId="15" w16cid:durableId="1689329776">
    <w:abstractNumId w:val="23"/>
  </w:num>
  <w:num w:numId="16" w16cid:durableId="1972203524">
    <w:abstractNumId w:val="14"/>
  </w:num>
  <w:num w:numId="17" w16cid:durableId="2118283155">
    <w:abstractNumId w:val="36"/>
  </w:num>
  <w:num w:numId="18" w16cid:durableId="1340885084">
    <w:abstractNumId w:val="36"/>
  </w:num>
  <w:num w:numId="19" w16cid:durableId="1012951188">
    <w:abstractNumId w:val="29"/>
  </w:num>
  <w:num w:numId="20" w16cid:durableId="1590774468">
    <w:abstractNumId w:val="16"/>
  </w:num>
  <w:num w:numId="21" w16cid:durableId="1521898120">
    <w:abstractNumId w:val="38"/>
  </w:num>
  <w:num w:numId="22" w16cid:durableId="1697345508">
    <w:abstractNumId w:val="42"/>
  </w:num>
  <w:num w:numId="23" w16cid:durableId="1921594903">
    <w:abstractNumId w:val="15"/>
  </w:num>
  <w:num w:numId="24" w16cid:durableId="1022437407">
    <w:abstractNumId w:val="46"/>
  </w:num>
  <w:num w:numId="25" w16cid:durableId="273830628">
    <w:abstractNumId w:val="41"/>
  </w:num>
  <w:num w:numId="26" w16cid:durableId="1492409719">
    <w:abstractNumId w:val="43"/>
  </w:num>
  <w:num w:numId="27" w16cid:durableId="776021806">
    <w:abstractNumId w:val="21"/>
  </w:num>
  <w:num w:numId="28" w16cid:durableId="1611813946">
    <w:abstractNumId w:val="33"/>
  </w:num>
  <w:num w:numId="29" w16cid:durableId="1368944518">
    <w:abstractNumId w:val="32"/>
  </w:num>
  <w:num w:numId="30" w16cid:durableId="401679962">
    <w:abstractNumId w:val="19"/>
  </w:num>
  <w:num w:numId="31" w16cid:durableId="1848908240">
    <w:abstractNumId w:val="37"/>
  </w:num>
  <w:num w:numId="32" w16cid:durableId="1892576194">
    <w:abstractNumId w:val="12"/>
  </w:num>
  <w:num w:numId="33" w16cid:durableId="2081560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4821768">
    <w:abstractNumId w:val="45"/>
  </w:num>
  <w:num w:numId="35" w16cid:durableId="1558471845">
    <w:abstractNumId w:val="10"/>
  </w:num>
  <w:num w:numId="36" w16cid:durableId="1227910762">
    <w:abstractNumId w:val="30"/>
  </w:num>
  <w:num w:numId="37" w16cid:durableId="697389134">
    <w:abstractNumId w:val="39"/>
  </w:num>
  <w:num w:numId="38" w16cid:durableId="371001228">
    <w:abstractNumId w:val="40"/>
  </w:num>
  <w:num w:numId="39" w16cid:durableId="961570995">
    <w:abstractNumId w:val="34"/>
  </w:num>
  <w:num w:numId="40" w16cid:durableId="1842893016">
    <w:abstractNumId w:val="44"/>
  </w:num>
  <w:num w:numId="41" w16cid:durableId="1205212835">
    <w:abstractNumId w:val="47"/>
  </w:num>
  <w:num w:numId="42" w16cid:durableId="859272053">
    <w:abstractNumId w:val="11"/>
  </w:num>
  <w:num w:numId="43" w16cid:durableId="419370031">
    <w:abstractNumId w:val="28"/>
  </w:num>
  <w:num w:numId="44" w16cid:durableId="297496032">
    <w:abstractNumId w:val="48"/>
  </w:num>
  <w:num w:numId="45" w16cid:durableId="102649528">
    <w:abstractNumId w:val="31"/>
  </w:num>
  <w:num w:numId="46" w16cid:durableId="853887478">
    <w:abstractNumId w:val="26"/>
  </w:num>
  <w:num w:numId="47" w16cid:durableId="429860594">
    <w:abstractNumId w:val="25"/>
  </w:num>
  <w:num w:numId="48" w16cid:durableId="1218322698">
    <w:abstractNumId w:val="24"/>
  </w:num>
  <w:num w:numId="49" w16cid:durableId="937176372">
    <w:abstractNumId w:val="17"/>
  </w:num>
  <w:num w:numId="50" w16cid:durableId="1324891748">
    <w:abstractNumId w:val="19"/>
  </w:num>
  <w:num w:numId="51" w16cid:durableId="1038899866">
    <w:abstractNumId w:val="19"/>
  </w:num>
  <w:num w:numId="52" w16cid:durableId="1379892959">
    <w:abstractNumId w:val="19"/>
  </w:num>
  <w:num w:numId="53" w16cid:durableId="244000669">
    <w:abstractNumId w:val="19"/>
  </w:num>
  <w:num w:numId="54" w16cid:durableId="1119302784">
    <w:abstractNumId w:val="19"/>
  </w:num>
  <w:num w:numId="55" w16cid:durableId="2138912632">
    <w:abstractNumId w:val="19"/>
  </w:num>
  <w:num w:numId="56" w16cid:durableId="1195000285">
    <w:abstractNumId w:val="19"/>
  </w:num>
  <w:num w:numId="57" w16cid:durableId="1016495878">
    <w:abstractNumId w:val="19"/>
  </w:num>
  <w:num w:numId="58" w16cid:durableId="1477844543">
    <w:abstractNumId w:val="19"/>
  </w:num>
  <w:num w:numId="59" w16cid:durableId="858742478">
    <w:abstractNumId w:val="19"/>
  </w:num>
  <w:num w:numId="60" w16cid:durableId="1095321554">
    <w:abstractNumId w:val="13"/>
  </w:num>
  <w:num w:numId="61" w16cid:durableId="1499076477">
    <w:abstractNumId w:val="20"/>
  </w:num>
  <w:num w:numId="62" w16cid:durableId="73746968">
    <w:abstractNumId w:val="19"/>
  </w:num>
  <w:num w:numId="63" w16cid:durableId="1041512233">
    <w:abstractNumId w:val="35"/>
  </w:num>
  <w:num w:numId="64" w16cid:durableId="1433547600">
    <w:abstractNumId w:val="27"/>
  </w:num>
  <w:num w:numId="65" w16cid:durableId="2140804811">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FD"/>
    <w:rsid w:val="000046BD"/>
    <w:rsid w:val="000046FF"/>
    <w:rsid w:val="00007EBA"/>
    <w:rsid w:val="00010D56"/>
    <w:rsid w:val="00012434"/>
    <w:rsid w:val="00015588"/>
    <w:rsid w:val="00015894"/>
    <w:rsid w:val="0001631A"/>
    <w:rsid w:val="00026FEF"/>
    <w:rsid w:val="000278C4"/>
    <w:rsid w:val="00032C2B"/>
    <w:rsid w:val="00032D05"/>
    <w:rsid w:val="000337A0"/>
    <w:rsid w:val="00046372"/>
    <w:rsid w:val="00050E98"/>
    <w:rsid w:val="000518F3"/>
    <w:rsid w:val="00051FA8"/>
    <w:rsid w:val="00055667"/>
    <w:rsid w:val="000566E0"/>
    <w:rsid w:val="00057AFB"/>
    <w:rsid w:val="00062AE4"/>
    <w:rsid w:val="000632BA"/>
    <w:rsid w:val="00066CE4"/>
    <w:rsid w:val="00067DD9"/>
    <w:rsid w:val="00071B03"/>
    <w:rsid w:val="00071C83"/>
    <w:rsid w:val="00073C1B"/>
    <w:rsid w:val="000770D5"/>
    <w:rsid w:val="00080A3C"/>
    <w:rsid w:val="00093B4A"/>
    <w:rsid w:val="000943CE"/>
    <w:rsid w:val="00095157"/>
    <w:rsid w:val="000A1292"/>
    <w:rsid w:val="000A57FA"/>
    <w:rsid w:val="000A5ED6"/>
    <w:rsid w:val="000A6326"/>
    <w:rsid w:val="000A759D"/>
    <w:rsid w:val="000A7FD9"/>
    <w:rsid w:val="000B40D8"/>
    <w:rsid w:val="000B7C97"/>
    <w:rsid w:val="000C019F"/>
    <w:rsid w:val="000C0DBD"/>
    <w:rsid w:val="000C65C2"/>
    <w:rsid w:val="000D4547"/>
    <w:rsid w:val="000D7012"/>
    <w:rsid w:val="000D7280"/>
    <w:rsid w:val="000E190A"/>
    <w:rsid w:val="000E311F"/>
    <w:rsid w:val="000E4563"/>
    <w:rsid w:val="000F19DE"/>
    <w:rsid w:val="000F2E28"/>
    <w:rsid w:val="000F35C4"/>
    <w:rsid w:val="000F4A82"/>
    <w:rsid w:val="00101D6D"/>
    <w:rsid w:val="00104470"/>
    <w:rsid w:val="00106608"/>
    <w:rsid w:val="00107430"/>
    <w:rsid w:val="00112B7C"/>
    <w:rsid w:val="0011623D"/>
    <w:rsid w:val="00121EB7"/>
    <w:rsid w:val="00124899"/>
    <w:rsid w:val="001254A2"/>
    <w:rsid w:val="001350D5"/>
    <w:rsid w:val="00136ED3"/>
    <w:rsid w:val="00140AB7"/>
    <w:rsid w:val="00141994"/>
    <w:rsid w:val="001448AB"/>
    <w:rsid w:val="00147CFB"/>
    <w:rsid w:val="00151CFC"/>
    <w:rsid w:val="00153081"/>
    <w:rsid w:val="001535A2"/>
    <w:rsid w:val="00156C01"/>
    <w:rsid w:val="00160F48"/>
    <w:rsid w:val="00162263"/>
    <w:rsid w:val="00162EFF"/>
    <w:rsid w:val="00170CDE"/>
    <w:rsid w:val="00176594"/>
    <w:rsid w:val="001769DF"/>
    <w:rsid w:val="00181C64"/>
    <w:rsid w:val="00182652"/>
    <w:rsid w:val="00182DA9"/>
    <w:rsid w:val="00183F40"/>
    <w:rsid w:val="0018482E"/>
    <w:rsid w:val="00184CEF"/>
    <w:rsid w:val="001869B0"/>
    <w:rsid w:val="00187ACF"/>
    <w:rsid w:val="00190FED"/>
    <w:rsid w:val="00194839"/>
    <w:rsid w:val="001A1608"/>
    <w:rsid w:val="001A39D8"/>
    <w:rsid w:val="001A3E55"/>
    <w:rsid w:val="001A4ACF"/>
    <w:rsid w:val="001A5443"/>
    <w:rsid w:val="001B1257"/>
    <w:rsid w:val="001B4D35"/>
    <w:rsid w:val="001B77A6"/>
    <w:rsid w:val="001C09EF"/>
    <w:rsid w:val="001C750A"/>
    <w:rsid w:val="001D07CD"/>
    <w:rsid w:val="001D2A78"/>
    <w:rsid w:val="001D60D2"/>
    <w:rsid w:val="001D76DF"/>
    <w:rsid w:val="001D7EB6"/>
    <w:rsid w:val="001E3B17"/>
    <w:rsid w:val="001E3CE3"/>
    <w:rsid w:val="001E6357"/>
    <w:rsid w:val="001F1431"/>
    <w:rsid w:val="001F1987"/>
    <w:rsid w:val="001F3997"/>
    <w:rsid w:val="001F64A3"/>
    <w:rsid w:val="0020144F"/>
    <w:rsid w:val="00204C48"/>
    <w:rsid w:val="00204C88"/>
    <w:rsid w:val="002056BA"/>
    <w:rsid w:val="00210812"/>
    <w:rsid w:val="00211F7B"/>
    <w:rsid w:val="00213C27"/>
    <w:rsid w:val="00225A2D"/>
    <w:rsid w:val="0022631C"/>
    <w:rsid w:val="0022708E"/>
    <w:rsid w:val="00230B6B"/>
    <w:rsid w:val="00231091"/>
    <w:rsid w:val="00232581"/>
    <w:rsid w:val="00232F57"/>
    <w:rsid w:val="00235BE2"/>
    <w:rsid w:val="00236655"/>
    <w:rsid w:val="00245158"/>
    <w:rsid w:val="00246FF9"/>
    <w:rsid w:val="002474A7"/>
    <w:rsid w:val="00247BEC"/>
    <w:rsid w:val="00251145"/>
    <w:rsid w:val="002512F2"/>
    <w:rsid w:val="00254EF4"/>
    <w:rsid w:val="002601AF"/>
    <w:rsid w:val="00260743"/>
    <w:rsid w:val="002634F5"/>
    <w:rsid w:val="0026353E"/>
    <w:rsid w:val="0026635B"/>
    <w:rsid w:val="00266D19"/>
    <w:rsid w:val="0027269E"/>
    <w:rsid w:val="00273AD9"/>
    <w:rsid w:val="002750C4"/>
    <w:rsid w:val="00276A10"/>
    <w:rsid w:val="002810FA"/>
    <w:rsid w:val="00284A9C"/>
    <w:rsid w:val="002930E1"/>
    <w:rsid w:val="002966CE"/>
    <w:rsid w:val="00297375"/>
    <w:rsid w:val="002A059D"/>
    <w:rsid w:val="002A0746"/>
    <w:rsid w:val="002A1508"/>
    <w:rsid w:val="002A1680"/>
    <w:rsid w:val="002A1D55"/>
    <w:rsid w:val="002A21D9"/>
    <w:rsid w:val="002A6D99"/>
    <w:rsid w:val="002B1C48"/>
    <w:rsid w:val="002B1D1F"/>
    <w:rsid w:val="002B462E"/>
    <w:rsid w:val="002B5FBA"/>
    <w:rsid w:val="002C030E"/>
    <w:rsid w:val="002C2ADF"/>
    <w:rsid w:val="002C2ECB"/>
    <w:rsid w:val="002C3E5F"/>
    <w:rsid w:val="002D3B02"/>
    <w:rsid w:val="002D682B"/>
    <w:rsid w:val="002E142A"/>
    <w:rsid w:val="002E2A7B"/>
    <w:rsid w:val="002E2BE4"/>
    <w:rsid w:val="002E48AC"/>
    <w:rsid w:val="002E4BA6"/>
    <w:rsid w:val="002E7385"/>
    <w:rsid w:val="002F06B1"/>
    <w:rsid w:val="002F2524"/>
    <w:rsid w:val="002F624F"/>
    <w:rsid w:val="00301D34"/>
    <w:rsid w:val="0030443E"/>
    <w:rsid w:val="003047AF"/>
    <w:rsid w:val="00304DCB"/>
    <w:rsid w:val="00305EB1"/>
    <w:rsid w:val="00317C67"/>
    <w:rsid w:val="00321489"/>
    <w:rsid w:val="00323333"/>
    <w:rsid w:val="00323DF7"/>
    <w:rsid w:val="003241A8"/>
    <w:rsid w:val="003266B3"/>
    <w:rsid w:val="0033107F"/>
    <w:rsid w:val="00337511"/>
    <w:rsid w:val="00344D56"/>
    <w:rsid w:val="003454E5"/>
    <w:rsid w:val="00345E4D"/>
    <w:rsid w:val="003529C6"/>
    <w:rsid w:val="00353663"/>
    <w:rsid w:val="00353E8D"/>
    <w:rsid w:val="00357263"/>
    <w:rsid w:val="003573D9"/>
    <w:rsid w:val="00357459"/>
    <w:rsid w:val="00360763"/>
    <w:rsid w:val="00360A06"/>
    <w:rsid w:val="00362367"/>
    <w:rsid w:val="003631BB"/>
    <w:rsid w:val="00371934"/>
    <w:rsid w:val="00374A31"/>
    <w:rsid w:val="00375CBF"/>
    <w:rsid w:val="00375EFC"/>
    <w:rsid w:val="00380172"/>
    <w:rsid w:val="00381353"/>
    <w:rsid w:val="003832F1"/>
    <w:rsid w:val="003836DB"/>
    <w:rsid w:val="003837CC"/>
    <w:rsid w:val="00386FA6"/>
    <w:rsid w:val="00390482"/>
    <w:rsid w:val="003904B9"/>
    <w:rsid w:val="00394187"/>
    <w:rsid w:val="00395CFE"/>
    <w:rsid w:val="003A0E63"/>
    <w:rsid w:val="003A16E1"/>
    <w:rsid w:val="003A2748"/>
    <w:rsid w:val="003A30F3"/>
    <w:rsid w:val="003A37AF"/>
    <w:rsid w:val="003A47F4"/>
    <w:rsid w:val="003A4A7D"/>
    <w:rsid w:val="003B0CD9"/>
    <w:rsid w:val="003B5AB1"/>
    <w:rsid w:val="003B7C67"/>
    <w:rsid w:val="003C0629"/>
    <w:rsid w:val="003C22C7"/>
    <w:rsid w:val="003C39F4"/>
    <w:rsid w:val="003C3AF7"/>
    <w:rsid w:val="003C4C91"/>
    <w:rsid w:val="003C592F"/>
    <w:rsid w:val="003D5636"/>
    <w:rsid w:val="003D7AC2"/>
    <w:rsid w:val="003E4F60"/>
    <w:rsid w:val="003E50FE"/>
    <w:rsid w:val="003E5307"/>
    <w:rsid w:val="003E75FB"/>
    <w:rsid w:val="003F1961"/>
    <w:rsid w:val="003F7B13"/>
    <w:rsid w:val="0040276D"/>
    <w:rsid w:val="00405B3A"/>
    <w:rsid w:val="004064CD"/>
    <w:rsid w:val="0040701E"/>
    <w:rsid w:val="00413B94"/>
    <w:rsid w:val="004147ED"/>
    <w:rsid w:val="00414AB9"/>
    <w:rsid w:val="004178F9"/>
    <w:rsid w:val="0042260E"/>
    <w:rsid w:val="00426515"/>
    <w:rsid w:val="0043066B"/>
    <w:rsid w:val="004309BF"/>
    <w:rsid w:val="00432F93"/>
    <w:rsid w:val="00435080"/>
    <w:rsid w:val="00437D1D"/>
    <w:rsid w:val="00440512"/>
    <w:rsid w:val="00440760"/>
    <w:rsid w:val="0044150C"/>
    <w:rsid w:val="00445104"/>
    <w:rsid w:val="0044603E"/>
    <w:rsid w:val="00450464"/>
    <w:rsid w:val="0045223A"/>
    <w:rsid w:val="004532EC"/>
    <w:rsid w:val="004558CC"/>
    <w:rsid w:val="004573CE"/>
    <w:rsid w:val="0046312A"/>
    <w:rsid w:val="0047303E"/>
    <w:rsid w:val="00473CC1"/>
    <w:rsid w:val="00474670"/>
    <w:rsid w:val="00483E1A"/>
    <w:rsid w:val="00484F2D"/>
    <w:rsid w:val="004855CE"/>
    <w:rsid w:val="0048649B"/>
    <w:rsid w:val="00487614"/>
    <w:rsid w:val="004909CD"/>
    <w:rsid w:val="004918DF"/>
    <w:rsid w:val="00492C04"/>
    <w:rsid w:val="00495E2E"/>
    <w:rsid w:val="00496CF9"/>
    <w:rsid w:val="004A105A"/>
    <w:rsid w:val="004A2320"/>
    <w:rsid w:val="004A3CCB"/>
    <w:rsid w:val="004A4E22"/>
    <w:rsid w:val="004A4EE3"/>
    <w:rsid w:val="004B0AAF"/>
    <w:rsid w:val="004B2380"/>
    <w:rsid w:val="004C6B93"/>
    <w:rsid w:val="004D7238"/>
    <w:rsid w:val="004E0FF2"/>
    <w:rsid w:val="004E3E35"/>
    <w:rsid w:val="004E4093"/>
    <w:rsid w:val="004E4484"/>
    <w:rsid w:val="004F1CF1"/>
    <w:rsid w:val="004F4061"/>
    <w:rsid w:val="004F65D3"/>
    <w:rsid w:val="004F6DB9"/>
    <w:rsid w:val="0050064B"/>
    <w:rsid w:val="005014C6"/>
    <w:rsid w:val="005056B7"/>
    <w:rsid w:val="00510182"/>
    <w:rsid w:val="005107EE"/>
    <w:rsid w:val="00520CB9"/>
    <w:rsid w:val="00521339"/>
    <w:rsid w:val="005218FC"/>
    <w:rsid w:val="00522905"/>
    <w:rsid w:val="00522A10"/>
    <w:rsid w:val="00532250"/>
    <w:rsid w:val="0053687A"/>
    <w:rsid w:val="00540CC5"/>
    <w:rsid w:val="00541F9A"/>
    <w:rsid w:val="00543A70"/>
    <w:rsid w:val="00544512"/>
    <w:rsid w:val="00545E3C"/>
    <w:rsid w:val="00551B80"/>
    <w:rsid w:val="005556E9"/>
    <w:rsid w:val="0055682E"/>
    <w:rsid w:val="00562D48"/>
    <w:rsid w:val="005639EF"/>
    <w:rsid w:val="00563AD8"/>
    <w:rsid w:val="00564BE8"/>
    <w:rsid w:val="00567B1C"/>
    <w:rsid w:val="00570B2C"/>
    <w:rsid w:val="00570E5B"/>
    <w:rsid w:val="0057181D"/>
    <w:rsid w:val="005735C8"/>
    <w:rsid w:val="005752E2"/>
    <w:rsid w:val="00582555"/>
    <w:rsid w:val="00582D64"/>
    <w:rsid w:val="00584FCD"/>
    <w:rsid w:val="00585A4A"/>
    <w:rsid w:val="00587ACF"/>
    <w:rsid w:val="00590CF2"/>
    <w:rsid w:val="00593560"/>
    <w:rsid w:val="00595C12"/>
    <w:rsid w:val="005A1443"/>
    <w:rsid w:val="005B0E7F"/>
    <w:rsid w:val="005C082C"/>
    <w:rsid w:val="005C1EF0"/>
    <w:rsid w:val="005C20C9"/>
    <w:rsid w:val="005C2164"/>
    <w:rsid w:val="005C3603"/>
    <w:rsid w:val="005C57AF"/>
    <w:rsid w:val="005C6E04"/>
    <w:rsid w:val="005D0086"/>
    <w:rsid w:val="005D3258"/>
    <w:rsid w:val="005D377E"/>
    <w:rsid w:val="005E064F"/>
    <w:rsid w:val="005E1DD1"/>
    <w:rsid w:val="005E2A78"/>
    <w:rsid w:val="005E2E03"/>
    <w:rsid w:val="005E4541"/>
    <w:rsid w:val="005E59F5"/>
    <w:rsid w:val="005E5FCE"/>
    <w:rsid w:val="005E6BB5"/>
    <w:rsid w:val="005F3D90"/>
    <w:rsid w:val="005F4C7F"/>
    <w:rsid w:val="005F5578"/>
    <w:rsid w:val="005F72E5"/>
    <w:rsid w:val="005F7822"/>
    <w:rsid w:val="00601A87"/>
    <w:rsid w:val="006040EE"/>
    <w:rsid w:val="00611944"/>
    <w:rsid w:val="006123E9"/>
    <w:rsid w:val="00615C49"/>
    <w:rsid w:val="006221E9"/>
    <w:rsid w:val="00625718"/>
    <w:rsid w:val="006264B3"/>
    <w:rsid w:val="006316ED"/>
    <w:rsid w:val="00633068"/>
    <w:rsid w:val="00633E30"/>
    <w:rsid w:val="0063494B"/>
    <w:rsid w:val="00634A62"/>
    <w:rsid w:val="00634D3B"/>
    <w:rsid w:val="00644B9B"/>
    <w:rsid w:val="00644BC0"/>
    <w:rsid w:val="006461C7"/>
    <w:rsid w:val="0065177C"/>
    <w:rsid w:val="00653552"/>
    <w:rsid w:val="00653826"/>
    <w:rsid w:val="0065609A"/>
    <w:rsid w:val="00663D41"/>
    <w:rsid w:val="00666006"/>
    <w:rsid w:val="006660AA"/>
    <w:rsid w:val="00666190"/>
    <w:rsid w:val="00671D7B"/>
    <w:rsid w:val="006731FA"/>
    <w:rsid w:val="00680274"/>
    <w:rsid w:val="00680CDF"/>
    <w:rsid w:val="006817B0"/>
    <w:rsid w:val="0068672A"/>
    <w:rsid w:val="00686F3A"/>
    <w:rsid w:val="0069245A"/>
    <w:rsid w:val="00692DB2"/>
    <w:rsid w:val="00693D75"/>
    <w:rsid w:val="006A0547"/>
    <w:rsid w:val="006A0DDF"/>
    <w:rsid w:val="006A3DD9"/>
    <w:rsid w:val="006A3EF6"/>
    <w:rsid w:val="006B68A0"/>
    <w:rsid w:val="006B739F"/>
    <w:rsid w:val="006C1684"/>
    <w:rsid w:val="006C4904"/>
    <w:rsid w:val="006C781E"/>
    <w:rsid w:val="006D0A5E"/>
    <w:rsid w:val="006D27EA"/>
    <w:rsid w:val="006D3105"/>
    <w:rsid w:val="006D3725"/>
    <w:rsid w:val="006D4CD9"/>
    <w:rsid w:val="006E0605"/>
    <w:rsid w:val="006E519D"/>
    <w:rsid w:val="006E54E3"/>
    <w:rsid w:val="006E6549"/>
    <w:rsid w:val="006E6B2B"/>
    <w:rsid w:val="006F29EA"/>
    <w:rsid w:val="00702DAD"/>
    <w:rsid w:val="00703C67"/>
    <w:rsid w:val="007063A4"/>
    <w:rsid w:val="007065A4"/>
    <w:rsid w:val="00707B2F"/>
    <w:rsid w:val="00710792"/>
    <w:rsid w:val="00710A39"/>
    <w:rsid w:val="007111B1"/>
    <w:rsid w:val="00711BA5"/>
    <w:rsid w:val="00713F60"/>
    <w:rsid w:val="0071799F"/>
    <w:rsid w:val="00717CCA"/>
    <w:rsid w:val="007202C6"/>
    <w:rsid w:val="00724B11"/>
    <w:rsid w:val="00734E1A"/>
    <w:rsid w:val="00736A35"/>
    <w:rsid w:val="00740720"/>
    <w:rsid w:val="007419E9"/>
    <w:rsid w:val="0074684D"/>
    <w:rsid w:val="00747563"/>
    <w:rsid w:val="0075142F"/>
    <w:rsid w:val="00753142"/>
    <w:rsid w:val="007535EF"/>
    <w:rsid w:val="0075418D"/>
    <w:rsid w:val="00757301"/>
    <w:rsid w:val="00764333"/>
    <w:rsid w:val="00772EB1"/>
    <w:rsid w:val="007769D7"/>
    <w:rsid w:val="00780506"/>
    <w:rsid w:val="00781227"/>
    <w:rsid w:val="00782E55"/>
    <w:rsid w:val="00783140"/>
    <w:rsid w:val="00784BB1"/>
    <w:rsid w:val="00784DEB"/>
    <w:rsid w:val="007861CE"/>
    <w:rsid w:val="00787EB4"/>
    <w:rsid w:val="00790F39"/>
    <w:rsid w:val="00791427"/>
    <w:rsid w:val="00792481"/>
    <w:rsid w:val="00792B10"/>
    <w:rsid w:val="00793BA7"/>
    <w:rsid w:val="00793CBD"/>
    <w:rsid w:val="00794F75"/>
    <w:rsid w:val="0079666A"/>
    <w:rsid w:val="007966A1"/>
    <w:rsid w:val="007966F7"/>
    <w:rsid w:val="00796928"/>
    <w:rsid w:val="007A0A44"/>
    <w:rsid w:val="007A5734"/>
    <w:rsid w:val="007B565F"/>
    <w:rsid w:val="007B6C8C"/>
    <w:rsid w:val="007C6A7E"/>
    <w:rsid w:val="007C7C23"/>
    <w:rsid w:val="007C7E2D"/>
    <w:rsid w:val="007D19F3"/>
    <w:rsid w:val="007D495A"/>
    <w:rsid w:val="007D72B7"/>
    <w:rsid w:val="007E08AD"/>
    <w:rsid w:val="007E0A7A"/>
    <w:rsid w:val="007E3F1A"/>
    <w:rsid w:val="007E604F"/>
    <w:rsid w:val="007F1E41"/>
    <w:rsid w:val="007F6469"/>
    <w:rsid w:val="007F7609"/>
    <w:rsid w:val="00802AC2"/>
    <w:rsid w:val="00803FF9"/>
    <w:rsid w:val="00804F2F"/>
    <w:rsid w:val="00806F1F"/>
    <w:rsid w:val="0081146F"/>
    <w:rsid w:val="00812056"/>
    <w:rsid w:val="0081405A"/>
    <w:rsid w:val="00816141"/>
    <w:rsid w:val="00816ECC"/>
    <w:rsid w:val="0082282A"/>
    <w:rsid w:val="0082342B"/>
    <w:rsid w:val="008238FD"/>
    <w:rsid w:val="00823D2C"/>
    <w:rsid w:val="00823D7A"/>
    <w:rsid w:val="00824961"/>
    <w:rsid w:val="008302F3"/>
    <w:rsid w:val="00835443"/>
    <w:rsid w:val="00835745"/>
    <w:rsid w:val="00841241"/>
    <w:rsid w:val="00844B1A"/>
    <w:rsid w:val="008533F9"/>
    <w:rsid w:val="0085379A"/>
    <w:rsid w:val="00857B5E"/>
    <w:rsid w:val="00857ED0"/>
    <w:rsid w:val="00860739"/>
    <w:rsid w:val="00863D6B"/>
    <w:rsid w:val="00865ECE"/>
    <w:rsid w:val="00867A6D"/>
    <w:rsid w:val="00877C39"/>
    <w:rsid w:val="00881E07"/>
    <w:rsid w:val="00882783"/>
    <w:rsid w:val="00887793"/>
    <w:rsid w:val="00887E0D"/>
    <w:rsid w:val="00890A61"/>
    <w:rsid w:val="00890D48"/>
    <w:rsid w:val="008919AE"/>
    <w:rsid w:val="00891EBF"/>
    <w:rsid w:val="008A0A54"/>
    <w:rsid w:val="008A317E"/>
    <w:rsid w:val="008A7A8E"/>
    <w:rsid w:val="008B12EA"/>
    <w:rsid w:val="008B6874"/>
    <w:rsid w:val="008C1818"/>
    <w:rsid w:val="008C5C4B"/>
    <w:rsid w:val="008C6965"/>
    <w:rsid w:val="008D14D3"/>
    <w:rsid w:val="008D2C44"/>
    <w:rsid w:val="008D5417"/>
    <w:rsid w:val="008D55D5"/>
    <w:rsid w:val="008D5E13"/>
    <w:rsid w:val="008E4251"/>
    <w:rsid w:val="008E64D9"/>
    <w:rsid w:val="008F4F54"/>
    <w:rsid w:val="008F681B"/>
    <w:rsid w:val="008F6A98"/>
    <w:rsid w:val="008F7087"/>
    <w:rsid w:val="00900A8D"/>
    <w:rsid w:val="00904B53"/>
    <w:rsid w:val="009058B1"/>
    <w:rsid w:val="00905C73"/>
    <w:rsid w:val="00907DA4"/>
    <w:rsid w:val="00910380"/>
    <w:rsid w:val="0091095C"/>
    <w:rsid w:val="00910E12"/>
    <w:rsid w:val="00912FB0"/>
    <w:rsid w:val="00914D0E"/>
    <w:rsid w:val="00916721"/>
    <w:rsid w:val="009230CE"/>
    <w:rsid w:val="00926022"/>
    <w:rsid w:val="00935EDD"/>
    <w:rsid w:val="00936B74"/>
    <w:rsid w:val="00940219"/>
    <w:rsid w:val="00941EE2"/>
    <w:rsid w:val="00942B3F"/>
    <w:rsid w:val="00943BDE"/>
    <w:rsid w:val="0095186E"/>
    <w:rsid w:val="00960CF0"/>
    <w:rsid w:val="00961919"/>
    <w:rsid w:val="00963673"/>
    <w:rsid w:val="009707AF"/>
    <w:rsid w:val="00971D20"/>
    <w:rsid w:val="00972C8A"/>
    <w:rsid w:val="00972CF1"/>
    <w:rsid w:val="00975CA8"/>
    <w:rsid w:val="009767F1"/>
    <w:rsid w:val="00984211"/>
    <w:rsid w:val="00986CF3"/>
    <w:rsid w:val="00992C6E"/>
    <w:rsid w:val="00993E34"/>
    <w:rsid w:val="00994285"/>
    <w:rsid w:val="009964C2"/>
    <w:rsid w:val="00997FC4"/>
    <w:rsid w:val="009A4DB9"/>
    <w:rsid w:val="009A527A"/>
    <w:rsid w:val="009B1E07"/>
    <w:rsid w:val="009B33EB"/>
    <w:rsid w:val="009B3ECA"/>
    <w:rsid w:val="009B583F"/>
    <w:rsid w:val="009C29FF"/>
    <w:rsid w:val="009C30FE"/>
    <w:rsid w:val="009C3565"/>
    <w:rsid w:val="009C3607"/>
    <w:rsid w:val="009C4F4A"/>
    <w:rsid w:val="009C5AB3"/>
    <w:rsid w:val="009D33AA"/>
    <w:rsid w:val="009D3C9B"/>
    <w:rsid w:val="009D46D0"/>
    <w:rsid w:val="009E15D6"/>
    <w:rsid w:val="009E1A48"/>
    <w:rsid w:val="009E2C7E"/>
    <w:rsid w:val="009F01AE"/>
    <w:rsid w:val="009F0F93"/>
    <w:rsid w:val="009F1311"/>
    <w:rsid w:val="009F22A7"/>
    <w:rsid w:val="00A025DF"/>
    <w:rsid w:val="00A0409A"/>
    <w:rsid w:val="00A0615F"/>
    <w:rsid w:val="00A066BF"/>
    <w:rsid w:val="00A07B0C"/>
    <w:rsid w:val="00A164A5"/>
    <w:rsid w:val="00A211EB"/>
    <w:rsid w:val="00A236AB"/>
    <w:rsid w:val="00A2373E"/>
    <w:rsid w:val="00A24365"/>
    <w:rsid w:val="00A27C06"/>
    <w:rsid w:val="00A27D94"/>
    <w:rsid w:val="00A36E4A"/>
    <w:rsid w:val="00A37FFD"/>
    <w:rsid w:val="00A40270"/>
    <w:rsid w:val="00A41305"/>
    <w:rsid w:val="00A422D8"/>
    <w:rsid w:val="00A43E62"/>
    <w:rsid w:val="00A52908"/>
    <w:rsid w:val="00A64F89"/>
    <w:rsid w:val="00A672AE"/>
    <w:rsid w:val="00A67A25"/>
    <w:rsid w:val="00A70C56"/>
    <w:rsid w:val="00A75100"/>
    <w:rsid w:val="00A7728E"/>
    <w:rsid w:val="00A8105D"/>
    <w:rsid w:val="00A82CA0"/>
    <w:rsid w:val="00A93CAF"/>
    <w:rsid w:val="00A95552"/>
    <w:rsid w:val="00AA5609"/>
    <w:rsid w:val="00AB1917"/>
    <w:rsid w:val="00AB20B3"/>
    <w:rsid w:val="00AB53B2"/>
    <w:rsid w:val="00AC0153"/>
    <w:rsid w:val="00AC259F"/>
    <w:rsid w:val="00AC365B"/>
    <w:rsid w:val="00AC455A"/>
    <w:rsid w:val="00AC4846"/>
    <w:rsid w:val="00AD13D8"/>
    <w:rsid w:val="00AD23A8"/>
    <w:rsid w:val="00AD29CB"/>
    <w:rsid w:val="00AD2E14"/>
    <w:rsid w:val="00AD6050"/>
    <w:rsid w:val="00AE03CB"/>
    <w:rsid w:val="00AE03FA"/>
    <w:rsid w:val="00AE0C8F"/>
    <w:rsid w:val="00AE1D3A"/>
    <w:rsid w:val="00AE2C4D"/>
    <w:rsid w:val="00AE4A6F"/>
    <w:rsid w:val="00AE5D97"/>
    <w:rsid w:val="00AF2FBE"/>
    <w:rsid w:val="00AF41B1"/>
    <w:rsid w:val="00AF4AF0"/>
    <w:rsid w:val="00AF63AC"/>
    <w:rsid w:val="00AF74A6"/>
    <w:rsid w:val="00B027ED"/>
    <w:rsid w:val="00B04857"/>
    <w:rsid w:val="00B06941"/>
    <w:rsid w:val="00B069FD"/>
    <w:rsid w:val="00B0791B"/>
    <w:rsid w:val="00B20A18"/>
    <w:rsid w:val="00B245E8"/>
    <w:rsid w:val="00B346E3"/>
    <w:rsid w:val="00B367B7"/>
    <w:rsid w:val="00B379AE"/>
    <w:rsid w:val="00B37A15"/>
    <w:rsid w:val="00B37C23"/>
    <w:rsid w:val="00B43ACA"/>
    <w:rsid w:val="00B44C3A"/>
    <w:rsid w:val="00B45D19"/>
    <w:rsid w:val="00B460AC"/>
    <w:rsid w:val="00B503C2"/>
    <w:rsid w:val="00B5050D"/>
    <w:rsid w:val="00B52E6C"/>
    <w:rsid w:val="00B54814"/>
    <w:rsid w:val="00B5672B"/>
    <w:rsid w:val="00B6173A"/>
    <w:rsid w:val="00B64369"/>
    <w:rsid w:val="00B655D9"/>
    <w:rsid w:val="00B66FAA"/>
    <w:rsid w:val="00B67944"/>
    <w:rsid w:val="00B72AB0"/>
    <w:rsid w:val="00B84159"/>
    <w:rsid w:val="00B904DA"/>
    <w:rsid w:val="00B97677"/>
    <w:rsid w:val="00BA3FC7"/>
    <w:rsid w:val="00BB0101"/>
    <w:rsid w:val="00BB1485"/>
    <w:rsid w:val="00BB28A6"/>
    <w:rsid w:val="00BB699C"/>
    <w:rsid w:val="00BB6E61"/>
    <w:rsid w:val="00BC0E1F"/>
    <w:rsid w:val="00BC1B76"/>
    <w:rsid w:val="00BC3FA4"/>
    <w:rsid w:val="00BC47BC"/>
    <w:rsid w:val="00BD19DB"/>
    <w:rsid w:val="00BD24AA"/>
    <w:rsid w:val="00BD4D1E"/>
    <w:rsid w:val="00BD6DDE"/>
    <w:rsid w:val="00BE0ABF"/>
    <w:rsid w:val="00BE2873"/>
    <w:rsid w:val="00BE3873"/>
    <w:rsid w:val="00BE462A"/>
    <w:rsid w:val="00BE48CB"/>
    <w:rsid w:val="00BF0730"/>
    <w:rsid w:val="00BF4159"/>
    <w:rsid w:val="00BF5DFD"/>
    <w:rsid w:val="00C03B3C"/>
    <w:rsid w:val="00C136CB"/>
    <w:rsid w:val="00C14981"/>
    <w:rsid w:val="00C211FD"/>
    <w:rsid w:val="00C21B9A"/>
    <w:rsid w:val="00C24997"/>
    <w:rsid w:val="00C26E4E"/>
    <w:rsid w:val="00C313B7"/>
    <w:rsid w:val="00C3269E"/>
    <w:rsid w:val="00C34EF4"/>
    <w:rsid w:val="00C35D56"/>
    <w:rsid w:val="00C36028"/>
    <w:rsid w:val="00C36E8A"/>
    <w:rsid w:val="00C41F42"/>
    <w:rsid w:val="00C446E3"/>
    <w:rsid w:val="00C45BF3"/>
    <w:rsid w:val="00C4622E"/>
    <w:rsid w:val="00C4693C"/>
    <w:rsid w:val="00C47364"/>
    <w:rsid w:val="00C63850"/>
    <w:rsid w:val="00C63FAB"/>
    <w:rsid w:val="00C66676"/>
    <w:rsid w:val="00C712ED"/>
    <w:rsid w:val="00C71E7F"/>
    <w:rsid w:val="00C753B8"/>
    <w:rsid w:val="00C75FCD"/>
    <w:rsid w:val="00C76244"/>
    <w:rsid w:val="00C80606"/>
    <w:rsid w:val="00C80CDA"/>
    <w:rsid w:val="00C830BB"/>
    <w:rsid w:val="00C83CCE"/>
    <w:rsid w:val="00C848F1"/>
    <w:rsid w:val="00C8588B"/>
    <w:rsid w:val="00C85F18"/>
    <w:rsid w:val="00C864B6"/>
    <w:rsid w:val="00C928ED"/>
    <w:rsid w:val="00CA079B"/>
    <w:rsid w:val="00CA15C4"/>
    <w:rsid w:val="00CA6037"/>
    <w:rsid w:val="00CB361A"/>
    <w:rsid w:val="00CB7FB8"/>
    <w:rsid w:val="00CC1068"/>
    <w:rsid w:val="00CC48E8"/>
    <w:rsid w:val="00CC6B42"/>
    <w:rsid w:val="00CD1D71"/>
    <w:rsid w:val="00CD570E"/>
    <w:rsid w:val="00CE1D80"/>
    <w:rsid w:val="00CE324D"/>
    <w:rsid w:val="00CF1AEF"/>
    <w:rsid w:val="00CF1BA1"/>
    <w:rsid w:val="00CF2B15"/>
    <w:rsid w:val="00CF33F6"/>
    <w:rsid w:val="00CF34D6"/>
    <w:rsid w:val="00CF46B6"/>
    <w:rsid w:val="00CF66FF"/>
    <w:rsid w:val="00D02383"/>
    <w:rsid w:val="00D0377E"/>
    <w:rsid w:val="00D037C7"/>
    <w:rsid w:val="00D04B66"/>
    <w:rsid w:val="00D05081"/>
    <w:rsid w:val="00D076FC"/>
    <w:rsid w:val="00D1002D"/>
    <w:rsid w:val="00D14EE3"/>
    <w:rsid w:val="00D14EE9"/>
    <w:rsid w:val="00D22D73"/>
    <w:rsid w:val="00D232D1"/>
    <w:rsid w:val="00D23A3D"/>
    <w:rsid w:val="00D241A0"/>
    <w:rsid w:val="00D249E0"/>
    <w:rsid w:val="00D25D52"/>
    <w:rsid w:val="00D264EA"/>
    <w:rsid w:val="00D27CD6"/>
    <w:rsid w:val="00D30FA8"/>
    <w:rsid w:val="00D3670C"/>
    <w:rsid w:val="00D36DED"/>
    <w:rsid w:val="00D40D0B"/>
    <w:rsid w:val="00D4113D"/>
    <w:rsid w:val="00D43536"/>
    <w:rsid w:val="00D441EB"/>
    <w:rsid w:val="00D457BC"/>
    <w:rsid w:val="00D51438"/>
    <w:rsid w:val="00D53B74"/>
    <w:rsid w:val="00D54FB6"/>
    <w:rsid w:val="00D60336"/>
    <w:rsid w:val="00D64A7F"/>
    <w:rsid w:val="00D67D4F"/>
    <w:rsid w:val="00D70B76"/>
    <w:rsid w:val="00D742CD"/>
    <w:rsid w:val="00D75C0F"/>
    <w:rsid w:val="00D81A32"/>
    <w:rsid w:val="00D85979"/>
    <w:rsid w:val="00D95314"/>
    <w:rsid w:val="00D9655D"/>
    <w:rsid w:val="00DA005C"/>
    <w:rsid w:val="00DA64F9"/>
    <w:rsid w:val="00DB182F"/>
    <w:rsid w:val="00DB206F"/>
    <w:rsid w:val="00DB4E48"/>
    <w:rsid w:val="00DB79C6"/>
    <w:rsid w:val="00DB7E49"/>
    <w:rsid w:val="00DC2B59"/>
    <w:rsid w:val="00DC2F92"/>
    <w:rsid w:val="00DC3BE7"/>
    <w:rsid w:val="00DC7E46"/>
    <w:rsid w:val="00DD0301"/>
    <w:rsid w:val="00DD2887"/>
    <w:rsid w:val="00DD3F13"/>
    <w:rsid w:val="00DE05F6"/>
    <w:rsid w:val="00DE1B3D"/>
    <w:rsid w:val="00DE2B33"/>
    <w:rsid w:val="00DE35D8"/>
    <w:rsid w:val="00DE791B"/>
    <w:rsid w:val="00DF3178"/>
    <w:rsid w:val="00DF33E5"/>
    <w:rsid w:val="00DF609C"/>
    <w:rsid w:val="00E02D57"/>
    <w:rsid w:val="00E03B00"/>
    <w:rsid w:val="00E056F7"/>
    <w:rsid w:val="00E07D0B"/>
    <w:rsid w:val="00E11553"/>
    <w:rsid w:val="00E16C63"/>
    <w:rsid w:val="00E17574"/>
    <w:rsid w:val="00E20E5D"/>
    <w:rsid w:val="00E224DB"/>
    <w:rsid w:val="00E273C9"/>
    <w:rsid w:val="00E33CFE"/>
    <w:rsid w:val="00E46F42"/>
    <w:rsid w:val="00E5005E"/>
    <w:rsid w:val="00E5390E"/>
    <w:rsid w:val="00E55E57"/>
    <w:rsid w:val="00E57189"/>
    <w:rsid w:val="00E60443"/>
    <w:rsid w:val="00E61272"/>
    <w:rsid w:val="00E61E1A"/>
    <w:rsid w:val="00E640D1"/>
    <w:rsid w:val="00E66CE8"/>
    <w:rsid w:val="00E66E9A"/>
    <w:rsid w:val="00E71620"/>
    <w:rsid w:val="00E723C0"/>
    <w:rsid w:val="00E736EA"/>
    <w:rsid w:val="00E74807"/>
    <w:rsid w:val="00E77EED"/>
    <w:rsid w:val="00E77F00"/>
    <w:rsid w:val="00E83055"/>
    <w:rsid w:val="00E832BD"/>
    <w:rsid w:val="00E83947"/>
    <w:rsid w:val="00E925AC"/>
    <w:rsid w:val="00E9285B"/>
    <w:rsid w:val="00E92CCB"/>
    <w:rsid w:val="00E93409"/>
    <w:rsid w:val="00E9393A"/>
    <w:rsid w:val="00E93AEB"/>
    <w:rsid w:val="00E942AC"/>
    <w:rsid w:val="00E9697C"/>
    <w:rsid w:val="00E96A82"/>
    <w:rsid w:val="00E97DE6"/>
    <w:rsid w:val="00EA23C9"/>
    <w:rsid w:val="00EA3B5D"/>
    <w:rsid w:val="00EA47A3"/>
    <w:rsid w:val="00EA7BF0"/>
    <w:rsid w:val="00EB3121"/>
    <w:rsid w:val="00EB31E4"/>
    <w:rsid w:val="00EB6E73"/>
    <w:rsid w:val="00EC166D"/>
    <w:rsid w:val="00EC1FF1"/>
    <w:rsid w:val="00EC78B1"/>
    <w:rsid w:val="00EC7E68"/>
    <w:rsid w:val="00ED0A62"/>
    <w:rsid w:val="00ED0E48"/>
    <w:rsid w:val="00ED4543"/>
    <w:rsid w:val="00ED629D"/>
    <w:rsid w:val="00ED6F67"/>
    <w:rsid w:val="00EE291E"/>
    <w:rsid w:val="00EE3779"/>
    <w:rsid w:val="00EE5935"/>
    <w:rsid w:val="00EE6EBB"/>
    <w:rsid w:val="00EE7C46"/>
    <w:rsid w:val="00EF6522"/>
    <w:rsid w:val="00EF7456"/>
    <w:rsid w:val="00F10732"/>
    <w:rsid w:val="00F1324B"/>
    <w:rsid w:val="00F22050"/>
    <w:rsid w:val="00F22E28"/>
    <w:rsid w:val="00F255E5"/>
    <w:rsid w:val="00F260CA"/>
    <w:rsid w:val="00F274F6"/>
    <w:rsid w:val="00F27D9E"/>
    <w:rsid w:val="00F31D8C"/>
    <w:rsid w:val="00F3210C"/>
    <w:rsid w:val="00F350C5"/>
    <w:rsid w:val="00F407D7"/>
    <w:rsid w:val="00F40927"/>
    <w:rsid w:val="00F44B82"/>
    <w:rsid w:val="00F4784D"/>
    <w:rsid w:val="00F524B0"/>
    <w:rsid w:val="00F525FE"/>
    <w:rsid w:val="00F552B1"/>
    <w:rsid w:val="00F60434"/>
    <w:rsid w:val="00F6113D"/>
    <w:rsid w:val="00F611FC"/>
    <w:rsid w:val="00F666F0"/>
    <w:rsid w:val="00F67957"/>
    <w:rsid w:val="00F67B46"/>
    <w:rsid w:val="00F74D59"/>
    <w:rsid w:val="00F76536"/>
    <w:rsid w:val="00F81408"/>
    <w:rsid w:val="00F814B4"/>
    <w:rsid w:val="00F83935"/>
    <w:rsid w:val="00F83A96"/>
    <w:rsid w:val="00F900B3"/>
    <w:rsid w:val="00F9140E"/>
    <w:rsid w:val="00F91C0C"/>
    <w:rsid w:val="00F92551"/>
    <w:rsid w:val="00F929BE"/>
    <w:rsid w:val="00F93206"/>
    <w:rsid w:val="00F9458C"/>
    <w:rsid w:val="00F94FF9"/>
    <w:rsid w:val="00F9617F"/>
    <w:rsid w:val="00F963FF"/>
    <w:rsid w:val="00F96EAA"/>
    <w:rsid w:val="00FA270E"/>
    <w:rsid w:val="00FA4178"/>
    <w:rsid w:val="00FA54FE"/>
    <w:rsid w:val="00FA70AA"/>
    <w:rsid w:val="00FB2CF8"/>
    <w:rsid w:val="00FB5873"/>
    <w:rsid w:val="00FB591F"/>
    <w:rsid w:val="00FB6C09"/>
    <w:rsid w:val="00FC2726"/>
    <w:rsid w:val="00FC5279"/>
    <w:rsid w:val="00FC6E2C"/>
    <w:rsid w:val="00FC70DA"/>
    <w:rsid w:val="00FD139E"/>
    <w:rsid w:val="00FD55B1"/>
    <w:rsid w:val="00FE077A"/>
    <w:rsid w:val="00FE2A10"/>
    <w:rsid w:val="00FE65A2"/>
    <w:rsid w:val="00FF13C0"/>
    <w:rsid w:val="00FF2CAC"/>
    <w:rsid w:val="00FF54B1"/>
    <w:rsid w:val="00FF6261"/>
    <w:rsid w:val="00FF62A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A493"/>
  <w15:docId w15:val="{A7568208-9748-4FA0-B855-4DD6941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B245E8"/>
    <w:pPr>
      <w:keepNext/>
      <w:keepLines/>
      <w:spacing w:before="200" w:after="0"/>
      <w:ind w:left="1152" w:hanging="1152"/>
      <w:outlineLvl w:val="5"/>
    </w:pPr>
    <w:rPr>
      <w:rFonts w:asciiTheme="majorHAnsi" w:eastAsiaTheme="majorEastAsia" w:hAnsiTheme="majorHAnsi" w:cstheme="majorBidi"/>
      <w:i/>
      <w:iCs/>
      <w:color w:val="113048" w:themeColor="accent1" w:themeShade="7F"/>
    </w:rPr>
  </w:style>
  <w:style w:type="paragraph" w:styleId="Heading7">
    <w:name w:val="heading 7"/>
    <w:basedOn w:val="Normal"/>
    <w:next w:val="Normal"/>
    <w:link w:val="Heading7Char"/>
    <w:uiPriority w:val="9"/>
    <w:semiHidden/>
    <w:unhideWhenUsed/>
    <w:qFormat/>
    <w:rsid w:val="00B245E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45E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45E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487614"/>
    <w:pPr>
      <w:tabs>
        <w:tab w:val="left" w:pos="851"/>
      </w:tabs>
      <w:ind w:left="568" w:hanging="284"/>
    </w:pPr>
    <w:rPr>
      <w:b w:val="0"/>
      <w:noProof/>
    </w:rPr>
  </w:style>
  <w:style w:type="paragraph" w:styleId="TOC1">
    <w:name w:val="toc 1"/>
    <w:basedOn w:val="Normal"/>
    <w:next w:val="Normal"/>
    <w:autoRedefine/>
    <w:uiPriority w:val="39"/>
    <w:rsid w:val="00993E34"/>
    <w:pPr>
      <w:tabs>
        <w:tab w:val="right" w:pos="9582"/>
      </w:tabs>
      <w:spacing w:before="40" w:after="40" w:line="288" w:lineRule="auto"/>
      <w:ind w:left="284" w:right="567"/>
      <w:contextualSpacing/>
    </w:pPr>
    <w:rPr>
      <w:b/>
    </w:rPr>
  </w:style>
  <w:style w:type="character" w:styleId="Hyperlink">
    <w:name w:val="Hyperlink"/>
    <w:basedOn w:val="DefaultParagraphFont"/>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D51438"/>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Footnote"/>
    <w:basedOn w:val="Normal"/>
    <w:link w:val="FootnoteTextChar"/>
    <w:uiPriority w:val="99"/>
    <w:semiHidden/>
    <w:unhideWhenUsed/>
    <w:qFormat/>
    <w:rsid w:val="00CF33F6"/>
    <w:pPr>
      <w:spacing w:after="0" w:line="240" w:lineRule="auto"/>
    </w:pPr>
    <w:rPr>
      <w:sz w:val="18"/>
      <w:szCs w:val="20"/>
    </w:rPr>
  </w:style>
  <w:style w:type="character" w:customStyle="1" w:styleId="FootnoteTextChar">
    <w:name w:val="Footnote Text Char"/>
    <w:aliases w:val="Footnote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rsid w:val="00793CBD"/>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BD4D1E"/>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semiHidden/>
    <w:unhideWhenUsed/>
    <w:rsid w:val="00936B74"/>
    <w:pPr>
      <w:spacing w:before="40" w:after="40" w:line="288" w:lineRule="auto"/>
      <w:ind w:left="1321"/>
    </w:pPr>
  </w:style>
  <w:style w:type="paragraph" w:styleId="TOC8">
    <w:name w:val="toc 8"/>
    <w:basedOn w:val="Normal"/>
    <w:next w:val="Normal"/>
    <w:autoRedefine/>
    <w:uiPriority w:val="39"/>
    <w:semiHidden/>
    <w:unhideWhenUsed/>
    <w:rsid w:val="00936B74"/>
    <w:pPr>
      <w:spacing w:before="40" w:after="40" w:line="288" w:lineRule="auto"/>
      <w:ind w:left="1542"/>
    </w:pPr>
  </w:style>
  <w:style w:type="paragraph" w:styleId="TOC9">
    <w:name w:val="toc 9"/>
    <w:basedOn w:val="Normal"/>
    <w:next w:val="Normal"/>
    <w:autoRedefine/>
    <w:uiPriority w:val="39"/>
    <w:semiHidden/>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B245E8"/>
    <w:rPr>
      <w:rFonts w:asciiTheme="majorHAnsi" w:eastAsiaTheme="majorEastAsia" w:hAnsiTheme="majorHAnsi" w:cstheme="majorBidi"/>
      <w:i/>
      <w:iCs/>
      <w:color w:val="113048" w:themeColor="accent1" w:themeShade="7F"/>
      <w:lang w:val="en-AU"/>
    </w:rPr>
  </w:style>
  <w:style w:type="character" w:customStyle="1" w:styleId="Heading7Char">
    <w:name w:val="Heading 7 Char"/>
    <w:basedOn w:val="DefaultParagraphFont"/>
    <w:link w:val="Heading7"/>
    <w:uiPriority w:val="9"/>
    <w:semiHidden/>
    <w:rsid w:val="00B245E8"/>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B245E8"/>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B245E8"/>
    <w:rPr>
      <w:rFonts w:asciiTheme="majorHAnsi" w:eastAsiaTheme="majorEastAsia" w:hAnsiTheme="majorHAnsi" w:cstheme="majorBidi"/>
      <w:i/>
      <w:iCs/>
      <w:color w:val="404040" w:themeColor="text1" w:themeTint="BF"/>
      <w:sz w:val="20"/>
      <w:szCs w:val="20"/>
      <w:lang w:val="en-AU"/>
    </w:rPr>
  </w:style>
  <w:style w:type="character" w:styleId="CommentReference">
    <w:name w:val="annotation reference"/>
    <w:basedOn w:val="DefaultParagraphFont"/>
    <w:uiPriority w:val="99"/>
    <w:semiHidden/>
    <w:unhideWhenUsed/>
    <w:rsid w:val="00B245E8"/>
    <w:rPr>
      <w:sz w:val="16"/>
      <w:szCs w:val="16"/>
    </w:rPr>
  </w:style>
  <w:style w:type="paragraph" w:customStyle="1" w:styleId="BodyText">
    <w:name w:val="BodyText"/>
    <w:link w:val="BodyTextChar"/>
    <w:qFormat/>
    <w:rsid w:val="00B245E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245E8"/>
    <w:rPr>
      <w:rFonts w:ascii="Arial" w:eastAsia="Times New Roman" w:hAnsi="Arial" w:cs="Arial"/>
      <w:sz w:val="20"/>
      <w:szCs w:val="20"/>
      <w:lang w:val="en-AU" w:eastAsia="en-AU"/>
    </w:rPr>
  </w:style>
  <w:style w:type="paragraph" w:customStyle="1" w:styleId="BodyText1">
    <w:name w:val="Body Text1"/>
    <w:rsid w:val="00B245E8"/>
    <w:pPr>
      <w:spacing w:after="170" w:line="240" w:lineRule="exact"/>
    </w:pPr>
    <w:rPr>
      <w:rFonts w:ascii="Arial" w:eastAsia="Times New Roman" w:hAnsi="Arial" w:cs="Times New Roman"/>
      <w:sz w:val="20"/>
      <w:szCs w:val="24"/>
      <w:lang w:val="en-AU"/>
    </w:rPr>
  </w:style>
  <w:style w:type="paragraph" w:styleId="Revision">
    <w:name w:val="Revision"/>
    <w:hidden/>
    <w:uiPriority w:val="99"/>
    <w:semiHidden/>
    <w:rsid w:val="00C8588B"/>
    <w:pPr>
      <w:spacing w:after="0" w:line="240" w:lineRule="auto"/>
    </w:pPr>
    <w:rPr>
      <w:lang w:val="en-AU"/>
    </w:rPr>
  </w:style>
  <w:style w:type="character" w:styleId="FollowedHyperlink">
    <w:name w:val="FollowedHyperlink"/>
    <w:basedOn w:val="DefaultParagraphFont"/>
    <w:uiPriority w:val="99"/>
    <w:semiHidden/>
    <w:unhideWhenUsed/>
    <w:rsid w:val="00C8588B"/>
    <w:rPr>
      <w:color w:val="000000" w:themeColor="followedHyperlink"/>
      <w:u w:val="single"/>
    </w:rPr>
  </w:style>
  <w:style w:type="character" w:styleId="UnresolvedMention">
    <w:name w:val="Unresolved Mention"/>
    <w:basedOn w:val="DefaultParagraphFont"/>
    <w:uiPriority w:val="99"/>
    <w:unhideWhenUsed/>
    <w:rsid w:val="00093B4A"/>
    <w:rPr>
      <w:color w:val="605E5C"/>
      <w:shd w:val="clear" w:color="auto" w:fill="E1DFDD"/>
    </w:rPr>
  </w:style>
  <w:style w:type="paragraph" w:styleId="CommentText">
    <w:name w:val="annotation text"/>
    <w:basedOn w:val="Normal"/>
    <w:link w:val="CommentTextChar"/>
    <w:uiPriority w:val="99"/>
    <w:unhideWhenUsed/>
    <w:rsid w:val="00DE35D8"/>
    <w:pPr>
      <w:spacing w:line="240" w:lineRule="auto"/>
    </w:pPr>
    <w:rPr>
      <w:sz w:val="20"/>
      <w:szCs w:val="20"/>
    </w:rPr>
  </w:style>
  <w:style w:type="character" w:customStyle="1" w:styleId="CommentTextChar">
    <w:name w:val="Comment Text Char"/>
    <w:basedOn w:val="DefaultParagraphFont"/>
    <w:link w:val="CommentText"/>
    <w:uiPriority w:val="99"/>
    <w:rsid w:val="00DE35D8"/>
    <w:rPr>
      <w:sz w:val="20"/>
      <w:szCs w:val="20"/>
      <w:lang w:val="en-AU"/>
    </w:rPr>
  </w:style>
  <w:style w:type="paragraph" w:styleId="CommentSubject">
    <w:name w:val="annotation subject"/>
    <w:basedOn w:val="CommentText"/>
    <w:next w:val="CommentText"/>
    <w:link w:val="CommentSubjectChar"/>
    <w:uiPriority w:val="99"/>
    <w:semiHidden/>
    <w:unhideWhenUsed/>
    <w:rsid w:val="00DE35D8"/>
    <w:rPr>
      <w:b/>
      <w:bCs/>
    </w:rPr>
  </w:style>
  <w:style w:type="character" w:customStyle="1" w:styleId="CommentSubjectChar">
    <w:name w:val="Comment Subject Char"/>
    <w:basedOn w:val="CommentTextChar"/>
    <w:link w:val="CommentSubject"/>
    <w:uiPriority w:val="99"/>
    <w:semiHidden/>
    <w:rsid w:val="00DE35D8"/>
    <w:rPr>
      <w:b/>
      <w:bCs/>
      <w:sz w:val="20"/>
      <w:szCs w:val="20"/>
      <w:lang w:val="en-AU"/>
    </w:rPr>
  </w:style>
  <w:style w:type="paragraph" w:styleId="NormalWeb">
    <w:name w:val="Normal (Web)"/>
    <w:basedOn w:val="Normal"/>
    <w:uiPriority w:val="99"/>
    <w:semiHidden/>
    <w:unhideWhenUsed/>
    <w:rsid w:val="00E934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73A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922304421">
      <w:bodyDiv w:val="1"/>
      <w:marLeft w:val="0"/>
      <w:marRight w:val="0"/>
      <w:marTop w:val="0"/>
      <w:marBottom w:val="0"/>
      <w:divBdr>
        <w:top w:val="none" w:sz="0" w:space="0" w:color="auto"/>
        <w:left w:val="none" w:sz="0" w:space="0" w:color="auto"/>
        <w:bottom w:val="none" w:sz="0" w:space="0" w:color="auto"/>
        <w:right w:val="none" w:sz="0" w:space="0" w:color="auto"/>
      </w:divBdr>
    </w:div>
    <w:div w:id="1196231106">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02421614">
      <w:bodyDiv w:val="1"/>
      <w:marLeft w:val="0"/>
      <w:marRight w:val="0"/>
      <w:marTop w:val="0"/>
      <w:marBottom w:val="0"/>
      <w:divBdr>
        <w:top w:val="none" w:sz="0" w:space="0" w:color="auto"/>
        <w:left w:val="none" w:sz="0" w:space="0" w:color="auto"/>
        <w:bottom w:val="none" w:sz="0" w:space="0" w:color="auto"/>
        <w:right w:val="none" w:sz="0" w:space="0" w:color="auto"/>
      </w:divBdr>
    </w:div>
    <w:div w:id="1372195217">
      <w:bodyDiv w:val="1"/>
      <w:marLeft w:val="0"/>
      <w:marRight w:val="0"/>
      <w:marTop w:val="0"/>
      <w:marBottom w:val="0"/>
      <w:divBdr>
        <w:top w:val="none" w:sz="0" w:space="0" w:color="auto"/>
        <w:left w:val="none" w:sz="0" w:space="0" w:color="auto"/>
        <w:bottom w:val="none" w:sz="0" w:space="0" w:color="auto"/>
        <w:right w:val="none" w:sz="0" w:space="0" w:color="auto"/>
      </w:divBdr>
    </w:div>
    <w:div w:id="15296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vic.gov.au/domino/web_notes/LDMS/LTObject_Store/ltobjst10.nsf/DDE300B846EED9C7CA257616000A3571/4EC95648475EA19ACA2583CA00826E32/$FILE/00-68aa082%20authorised.pdf" TargetMode="External"/><Relationship Id="rId26" Type="http://schemas.openxmlformats.org/officeDocument/2006/relationships/hyperlink" Target="http://www.legislation.vic.gov.au/domino/web_notes/LDMS/LTObject_Store/ltobjst10.nsf/DDE300B846EED9C7CA257616000A3571/D22E648ECAD14669CA2583CA00830B90/$FILE/01-31aa062%20authorised.pdf" TargetMode="External"/><Relationship Id="rId39" Type="http://schemas.openxmlformats.org/officeDocument/2006/relationships/hyperlink" Target="https://www.ewov.com.au/members/joining-ewov" TargetMode="External"/><Relationship Id="rId21" Type="http://schemas.openxmlformats.org/officeDocument/2006/relationships/hyperlink" Target="http://www.legislation.vic.gov.au/domino/web_notes/LDMS/LTObject_Store/ltobjst10.nsf/DDE300B846EED9C7CA257616000A3571/4EC95648475EA19ACA2583CA00826E32/$FILE/00-68aa082%20authorised.pdf" TargetMode="External"/><Relationship Id="rId34" Type="http://schemas.openxmlformats.org/officeDocument/2006/relationships/hyperlink" Target="https://engage.vic.gov.au/" TargetMode="External"/><Relationship Id="rId42" Type="http://schemas.openxmlformats.org/officeDocument/2006/relationships/hyperlink" Target="https://engage.vic.gov.au/embedded-networks-review" TargetMode="External"/><Relationship Id="rId47" Type="http://schemas.openxmlformats.org/officeDocument/2006/relationships/hyperlink" Target="https://www.esc.vic.gov.au" TargetMode="External"/><Relationship Id="rId50"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vic.gov.au/domino/web_notes/LDMS/LTObject_Store/ltobjst10.nsf/DDE300B846EED9C7CA257616000A3571/D22E648ECAD14669CA2583CA00830B90/$FILE/01-31aa062%20authorised.pdf" TargetMode="External"/><Relationship Id="rId29" Type="http://schemas.openxmlformats.org/officeDocument/2006/relationships/footer" Target="footer3.xml"/><Relationship Id="rId11" Type="http://schemas.openxmlformats.org/officeDocument/2006/relationships/image" Target="media/image2.png"/><Relationship Id="rId24" Type="http://schemas.openxmlformats.org/officeDocument/2006/relationships/hyperlink" Target="http://www.legislation.vic.gov.au/domino/web_notes/LDMS/LTObject_Store/ltobjst10.nsf/DDE300B846EED9C7CA257616000A3571/BC91CAB0C4D553B6CA2583CA00829ADD/$FILE/01-62aa053%20authorised.pdf" TargetMode="External"/><Relationship Id="rId32" Type="http://schemas.openxmlformats.org/officeDocument/2006/relationships/hyperlink" Target="mailto:licences@esc.vic.gov.au"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yperlink" Target="https://www.esc.vic.gov.au/electricity-and-gas/licences-and-exemptions/regulatory-sandboxing"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creativecommons.org/licenses/by/4.0/" TargetMode="External"/><Relationship Id="rId19" Type="http://schemas.openxmlformats.org/officeDocument/2006/relationships/hyperlink" Target="http://www.legislation.vic.gov.au/domino/web_notes/LDMS/LTObject_Store/ltobjst10.nsf/DDE300B846EED9C7CA257616000A3571/D22E648ECAD14669CA2583CA00830B90/$FILE/01-31aa062%20authorised.pdf" TargetMode="External"/><Relationship Id="rId31" Type="http://schemas.openxmlformats.org/officeDocument/2006/relationships/hyperlink" Target="mailto:licences@esc.vic.gov.au" TargetMode="External"/><Relationship Id="rId44" Type="http://schemas.openxmlformats.org/officeDocument/2006/relationships/hyperlink" Target="https://www.esc.vic.gov.au/electricity-and-gas/electricity-and-gas-licences-and-exemptions/electricity-licensing-exemp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legislation.vic.gov.au/domino/web_notes/LDMS/LTObject_Store/ltobjst10.nsf/DDE300B846EED9C7CA257616000A3571/D22E648ECAD14669CA2583CA00830B90/$FILE/01-31aa062%20authorised.pdf" TargetMode="External"/><Relationship Id="rId27" Type="http://schemas.openxmlformats.org/officeDocument/2006/relationships/hyperlink" Target="https://www.esc.vic.gov.au/electricity-and-gas/codes-guidelines-policies-and-manuals/energy-retail-code" TargetMode="External"/><Relationship Id="rId30" Type="http://schemas.openxmlformats.org/officeDocument/2006/relationships/hyperlink" Target="mailto:licences@esc.vic.gov.au" TargetMode="External"/><Relationship Id="rId35" Type="http://schemas.openxmlformats.org/officeDocument/2006/relationships/hyperlink" Target="https://www.esc.vic.gov.au/about-us/our-policies/our-submission-policy" TargetMode="External"/><Relationship Id="rId43" Type="http://schemas.openxmlformats.org/officeDocument/2006/relationships/hyperlink" Target="https://www.ewov.com.au/members/joining-ewov" TargetMode="External"/><Relationship Id="rId48" Type="http://schemas.openxmlformats.org/officeDocument/2006/relationships/hyperlink" Target="https://www.esc.vic.gov.au/electricity-and-gas/electricity-and-gas-codes-guidelines-and-policies" TargetMode="Externa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vic.gov.au/domino/web_notes/LDMS/LTObject_Store/ltobjst10.nsf/DDE300B846EED9C7CA257616000A3571/BC91CAB0C4D553B6CA2583CA00829ADD/$FILE/01-62aa053%20authorised.pdf" TargetMode="External"/><Relationship Id="rId25" Type="http://schemas.openxmlformats.org/officeDocument/2006/relationships/hyperlink" Target="http://www.legislation.vic.gov.au/domino/web_notes/LDMS/LTObject_Store/ltobjst10.nsf/DDE300B846EED9C7CA257616000A3571/4EC95648475EA19ACA2583CA00826E32/$FILE/00-68aa082%20authorised.pdf" TargetMode="External"/><Relationship Id="rId33" Type="http://schemas.openxmlformats.org/officeDocument/2006/relationships/footer" Target="footer4.xml"/><Relationship Id="rId38" Type="http://schemas.openxmlformats.org/officeDocument/2006/relationships/hyperlink" Target="https://www.esc.vic.gov.au/electricity-and-gas/licences-and-exemptions/electricity-and-gas-licences/apply-electricity-or-gas-licence" TargetMode="External"/><Relationship Id="rId46" Type="http://schemas.openxmlformats.org/officeDocument/2006/relationships/footer" Target="footer8.xml"/><Relationship Id="rId20" Type="http://schemas.openxmlformats.org/officeDocument/2006/relationships/hyperlink" Target="http://www.legislation.vic.gov.au/domino/web_notes/LDMS/LTObject_Store/ltobjst10.nsf/DDE300B846EED9C7CA257616000A3571/BC91CAB0C4D553B6CA2583CA00829ADD/$FILE/01-62aa053%20authorised.pdf" TargetMode="External"/><Relationship Id="rId41" Type="http://schemas.openxmlformats.org/officeDocument/2006/relationships/footer" Target="foot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vic.gov.au/domino/web_notes/LDMS/LTObject_Store/ltobjst10.nsf/DDE300B846EED9C7CA257616000A3571/4EC95648475EA19ACA2583CA00826E32/$FILE/00-68aa082%20authorised.pdf" TargetMode="External"/><Relationship Id="rId23" Type="http://schemas.openxmlformats.org/officeDocument/2006/relationships/hyperlink" Target="https://www.esc.vic.gov.au/electricity-and-gas/licences-and-exemptions/electricity-and-gas-licences/apply-electricity-or-gas-licence" TargetMode="External"/><Relationship Id="rId28" Type="http://schemas.openxmlformats.org/officeDocument/2006/relationships/hyperlink" Target="https://www.esc.vic.gov.au/electricity-and-gas/codes-guidelines-policies-and-manuals/electricity-distribution-code" TargetMode="External"/><Relationship Id="rId36" Type="http://schemas.openxmlformats.org/officeDocument/2006/relationships/hyperlink" Target="https://www.esc.vic.gov.au/electricity-and-gas/electricity-and-gas-licences-and-exemptions/electricity-and-gas-licences" TargetMode="External"/><Relationship Id="rId49"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gazette.vic.gov.au/gazette/Gazettes2022/GG2022S254.pdf" TargetMode="External"/><Relationship Id="rId1" Type="http://schemas.openxmlformats.org/officeDocument/2006/relationships/hyperlink" Target="https://www.ewov.com.au/members/joining-ew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9C997CB2B4FB981FBDBCB49555A44"/>
        <w:category>
          <w:name w:val="General"/>
          <w:gallery w:val="placeholder"/>
        </w:category>
        <w:types>
          <w:type w:val="bbPlcHdr"/>
        </w:types>
        <w:behaviors>
          <w:behavior w:val="content"/>
        </w:behaviors>
        <w:guid w:val="{29A768C6-CBD9-4E30-8D2B-F541B02EC414}"/>
      </w:docPartPr>
      <w:docPartBody>
        <w:p w:rsidR="00AD54D8" w:rsidRDefault="00AD54D8">
          <w:pPr>
            <w:pStyle w:val="4679C997CB2B4FB981FBDBCB49555A44"/>
          </w:pPr>
          <w:r>
            <w:t xml:space="preserve">  </w:t>
          </w:r>
        </w:p>
      </w:docPartBody>
    </w:docPart>
    <w:docPart>
      <w:docPartPr>
        <w:name w:val="12601B8F64434A30BB9E8ED0305DC625"/>
        <w:category>
          <w:name w:val="General"/>
          <w:gallery w:val="placeholder"/>
        </w:category>
        <w:types>
          <w:type w:val="bbPlcHdr"/>
        </w:types>
        <w:behaviors>
          <w:behavior w:val="content"/>
        </w:behaviors>
        <w:guid w:val="{E2C7248F-CBF0-4BAE-AE93-23C1E40975DD}"/>
      </w:docPartPr>
      <w:docPartBody>
        <w:p w:rsidR="00AD54D8" w:rsidRDefault="00AD54D8">
          <w:pPr>
            <w:pStyle w:val="12601B8F64434A30BB9E8ED0305DC625"/>
          </w:pPr>
          <w:r w:rsidRPr="00DA005C">
            <w:t>[Title, use ‘Title’ type style. Content will automatically link to internal footer]</w:t>
          </w:r>
        </w:p>
      </w:docPartBody>
    </w:docPart>
    <w:docPart>
      <w:docPartPr>
        <w:name w:val="8D03D22B335146539CE25A508410F13C"/>
        <w:category>
          <w:name w:val="General"/>
          <w:gallery w:val="placeholder"/>
        </w:category>
        <w:types>
          <w:type w:val="bbPlcHdr"/>
        </w:types>
        <w:behaviors>
          <w:behavior w:val="content"/>
        </w:behaviors>
        <w:guid w:val="{F51ADACB-E7E1-4947-9B6D-F9D394381164}"/>
      </w:docPartPr>
      <w:docPartBody>
        <w:p w:rsidR="00AD54D8" w:rsidRDefault="00AD54D8">
          <w:pPr>
            <w:pStyle w:val="8D03D22B335146539CE25A508410F13C"/>
          </w:pPr>
          <w:r w:rsidRPr="008249C5">
            <w:rPr>
              <w:rStyle w:val="PlaceholderText"/>
            </w:rPr>
            <w:t>[</w:t>
          </w:r>
          <w:r>
            <w:rPr>
              <w:rStyle w:val="PlaceholderText"/>
            </w:rPr>
            <w:t>Subtitle</w:t>
          </w:r>
          <w:r w:rsidRPr="008249C5">
            <w:rPr>
              <w:rStyle w:val="PlaceholderText"/>
            </w:rPr>
            <w:t>]</w:t>
          </w:r>
        </w:p>
      </w:docPartBody>
    </w:docPart>
    <w:docPart>
      <w:docPartPr>
        <w:name w:val="CEC2DAE80427491D8CE02B38AC7E9B94"/>
        <w:category>
          <w:name w:val="General"/>
          <w:gallery w:val="placeholder"/>
        </w:category>
        <w:types>
          <w:type w:val="bbPlcHdr"/>
        </w:types>
        <w:behaviors>
          <w:behavior w:val="content"/>
        </w:behaviors>
        <w:guid w:val="{709B3944-DC1A-439B-B936-870BF44DC52F}"/>
      </w:docPartPr>
      <w:docPartBody>
        <w:p w:rsidR="00AD54D8" w:rsidRDefault="00AD54D8">
          <w:pPr>
            <w:pStyle w:val="CEC2DAE80427491D8CE02B38AC7E9B94"/>
          </w:pPr>
          <w:r>
            <w:t>[</w:t>
          </w:r>
          <w:r w:rsidRPr="00615C49">
            <w:t>Click or tap to enter a date</w:t>
          </w:r>
          <w:r>
            <w:t>, or click to manually type custom date]</w:t>
          </w:r>
        </w:p>
      </w:docPartBody>
    </w:docPart>
    <w:docPart>
      <w:docPartPr>
        <w:name w:val="AF358E34DBB84D12B869252DDB6E872C"/>
        <w:category>
          <w:name w:val="General"/>
          <w:gallery w:val="placeholder"/>
        </w:category>
        <w:types>
          <w:type w:val="bbPlcHdr"/>
        </w:types>
        <w:behaviors>
          <w:behavior w:val="content"/>
        </w:behaviors>
        <w:guid w:val="{F493140A-BF57-4ED3-81FF-CB4F6A9069BF}"/>
      </w:docPartPr>
      <w:docPartBody>
        <w:p w:rsidR="00AD54D8" w:rsidRDefault="00AD54D8">
          <w:pPr>
            <w:pStyle w:val="AF358E34DBB84D12B869252DDB6E872C"/>
          </w:pPr>
          <w:r w:rsidRPr="00360763">
            <w:rPr>
              <w:highlight w:val="lightGray"/>
            </w:rPr>
            <w:t>[Click to select a year]</w:t>
          </w:r>
        </w:p>
      </w:docPartBody>
    </w:docPart>
    <w:docPart>
      <w:docPartPr>
        <w:name w:val="62C017D03560418B8EE379209E006D69"/>
        <w:category>
          <w:name w:val="General"/>
          <w:gallery w:val="placeholder"/>
        </w:category>
        <w:types>
          <w:type w:val="bbPlcHdr"/>
        </w:types>
        <w:behaviors>
          <w:behavior w:val="content"/>
        </w:behaviors>
        <w:guid w:val="{8746B184-45B9-49E1-B200-8C5A8698AC68}"/>
      </w:docPartPr>
      <w:docPartBody>
        <w:p w:rsidR="00AD54D8" w:rsidRDefault="00AD54D8">
          <w:pPr>
            <w:pStyle w:val="62C017D03560418B8EE379209E006D69"/>
          </w:pPr>
          <w:r w:rsidRPr="005F3D90">
            <w:rPr>
              <w:highlight w:val="lightGray"/>
            </w:rPr>
            <w:t>[Title]</w:t>
          </w:r>
        </w:p>
      </w:docPartBody>
    </w:docPart>
    <w:docPart>
      <w:docPartPr>
        <w:name w:val="60909126DAC043E9A60C2A8F121EDEE0"/>
        <w:category>
          <w:name w:val="General"/>
          <w:gallery w:val="placeholder"/>
        </w:category>
        <w:types>
          <w:type w:val="bbPlcHdr"/>
        </w:types>
        <w:behaviors>
          <w:behavior w:val="content"/>
        </w:behaviors>
        <w:guid w:val="{0F977FD7-6232-4859-9B3B-3619500ED84E}"/>
      </w:docPartPr>
      <w:docPartBody>
        <w:p w:rsidR="00AD54D8" w:rsidRDefault="00AD54D8">
          <w:pPr>
            <w:pStyle w:val="60909126DAC043E9A60C2A8F121EDEE0"/>
          </w:pPr>
          <w:r w:rsidRPr="00563AD8">
            <w:rPr>
              <w:highlight w:val="lightGray"/>
            </w:rPr>
            <w:t>[Subtitle]</w:t>
          </w:r>
        </w:p>
      </w:docPartBody>
    </w:docPart>
    <w:docPart>
      <w:docPartPr>
        <w:name w:val="618DC9DC933A4544A6A4E42986B20F7B"/>
        <w:category>
          <w:name w:val="General"/>
          <w:gallery w:val="placeholder"/>
        </w:category>
        <w:types>
          <w:type w:val="bbPlcHdr"/>
        </w:types>
        <w:behaviors>
          <w:behavior w:val="content"/>
        </w:behaviors>
        <w:guid w:val="{EBB39C7A-ED4A-4CBF-9801-FBEAD1855C52}"/>
      </w:docPartPr>
      <w:docPartBody>
        <w:p w:rsidR="00AD54D8" w:rsidRDefault="00AD54D8">
          <w:pPr>
            <w:pStyle w:val="618DC9DC933A4544A6A4E42986B20F7B"/>
          </w:pPr>
          <w:r w:rsidRPr="005F3D90">
            <w:rPr>
              <w:highlight w:val="lightGray"/>
            </w:rPr>
            <w:t xml:space="preserve">[Click to select </w:t>
          </w:r>
          <w:r>
            <w:rPr>
              <w:highlight w:val="lightGray"/>
            </w:rPr>
            <w:t>a date</w:t>
          </w:r>
          <w:r w:rsidRPr="005F3D90">
            <w:rPr>
              <w:highlight w:val="lightGray"/>
            </w:rPr>
            <w:t>]</w:t>
          </w:r>
        </w:p>
      </w:docPartBody>
    </w:docPart>
    <w:docPart>
      <w:docPartPr>
        <w:name w:val="8D6C0890214C4102AD3BD9A4D0D0869A"/>
        <w:category>
          <w:name w:val="General"/>
          <w:gallery w:val="placeholder"/>
        </w:category>
        <w:types>
          <w:type w:val="bbPlcHdr"/>
        </w:types>
        <w:behaviors>
          <w:behavior w:val="content"/>
        </w:behaviors>
        <w:guid w:val="{E4A44C09-87AF-46C9-B2E5-27982AD397B1}"/>
      </w:docPartPr>
      <w:docPartBody>
        <w:p w:rsidR="00AD54D8" w:rsidRDefault="00AD54D8">
          <w:pPr>
            <w:pStyle w:val="8D6C0890214C4102AD3BD9A4D0D0869A"/>
          </w:pPr>
          <w:r w:rsidRPr="00360763">
            <w:rPr>
              <w:highlight w:val="lightGray"/>
            </w:rPr>
            <w:t>[Click to select a year]</w:t>
          </w:r>
        </w:p>
      </w:docPartBody>
    </w:docPart>
    <w:docPart>
      <w:docPartPr>
        <w:name w:val="5455C73884A44ED1B21AFC77D1D461D1"/>
        <w:category>
          <w:name w:val="General"/>
          <w:gallery w:val="placeholder"/>
        </w:category>
        <w:types>
          <w:type w:val="bbPlcHdr"/>
        </w:types>
        <w:behaviors>
          <w:behavior w:val="content"/>
        </w:behaviors>
        <w:guid w:val="{3E4A21FA-40C9-42DE-BFF3-3F9252CAD382}"/>
      </w:docPartPr>
      <w:docPartBody>
        <w:p w:rsidR="00AD54D8" w:rsidRDefault="00AD54D8">
          <w:pPr>
            <w:pStyle w:val="5455C73884A44ED1B21AFC77D1D461D1"/>
          </w:pPr>
          <w:r w:rsidRPr="005F3D90">
            <w:rPr>
              <w:highlight w:val="lightGray"/>
            </w:rPr>
            <w:t>[Title]</w:t>
          </w:r>
        </w:p>
      </w:docPartBody>
    </w:docPart>
    <w:docPart>
      <w:docPartPr>
        <w:name w:val="385365EC413044F9B569C4FCCBFA2C2A"/>
        <w:category>
          <w:name w:val="General"/>
          <w:gallery w:val="placeholder"/>
        </w:category>
        <w:types>
          <w:type w:val="bbPlcHdr"/>
        </w:types>
        <w:behaviors>
          <w:behavior w:val="content"/>
        </w:behaviors>
        <w:guid w:val="{93CD7D88-EF10-40AD-AF33-0FBB08BC235F}"/>
      </w:docPartPr>
      <w:docPartBody>
        <w:p w:rsidR="00AD54D8" w:rsidRDefault="00AD54D8">
          <w:pPr>
            <w:pStyle w:val="385365EC413044F9B569C4FCCBFA2C2A"/>
          </w:pPr>
          <w:r>
            <w:t xml:space="preserve">  </w:t>
          </w:r>
        </w:p>
      </w:docPartBody>
    </w:docPart>
    <w:docPart>
      <w:docPartPr>
        <w:name w:val="6472CE3B765245E391656D2B1663B0A4"/>
        <w:category>
          <w:name w:val="General"/>
          <w:gallery w:val="placeholder"/>
        </w:category>
        <w:types>
          <w:type w:val="bbPlcHdr"/>
        </w:types>
        <w:behaviors>
          <w:behavior w:val="content"/>
        </w:behaviors>
        <w:guid w:val="{B6566DC6-35B0-4FB0-85E1-6E72DE1CA829}"/>
      </w:docPartPr>
      <w:docPartBody>
        <w:p w:rsidR="00AD54D8" w:rsidRDefault="00AD54D8">
          <w:pPr>
            <w:pStyle w:val="6472CE3B765245E391656D2B1663B0A4"/>
          </w:pPr>
          <w:r w:rsidRPr="00AD2E14">
            <w:rPr>
              <w:b/>
              <w:highlight w:val="lightGray"/>
            </w:rPr>
            <w:t>[Title]</w:t>
          </w:r>
        </w:p>
      </w:docPartBody>
    </w:docPart>
    <w:docPart>
      <w:docPartPr>
        <w:name w:val="BADAC53C9DF449409DFC996E7056BE19"/>
        <w:category>
          <w:name w:val="General"/>
          <w:gallery w:val="placeholder"/>
        </w:category>
        <w:types>
          <w:type w:val="bbPlcHdr"/>
        </w:types>
        <w:behaviors>
          <w:behavior w:val="content"/>
        </w:behaviors>
        <w:guid w:val="{59A34621-FBA3-4344-BEDC-FDD6B318D91F}"/>
      </w:docPartPr>
      <w:docPartBody>
        <w:p w:rsidR="00AD54D8" w:rsidRDefault="00AD54D8">
          <w:pPr>
            <w:pStyle w:val="BADAC53C9DF449409DFC996E7056BE19"/>
          </w:pPr>
          <w:r w:rsidRPr="00AD2E14">
            <w:rPr>
              <w:b/>
              <w:highlight w:val="lightGray"/>
            </w:rPr>
            <w:t>[Title]</w:t>
          </w:r>
        </w:p>
      </w:docPartBody>
    </w:docPart>
    <w:docPart>
      <w:docPartPr>
        <w:name w:val="59ACBDE37062467CAED837748FDAC5DB"/>
        <w:category>
          <w:name w:val="General"/>
          <w:gallery w:val="placeholder"/>
        </w:category>
        <w:types>
          <w:type w:val="bbPlcHdr"/>
        </w:types>
        <w:behaviors>
          <w:behavior w:val="content"/>
        </w:behaviors>
        <w:guid w:val="{6E522B8B-A1A7-4840-8C32-A0768DC5CB9D}"/>
      </w:docPartPr>
      <w:docPartBody>
        <w:p w:rsidR="00AF69BE" w:rsidRDefault="001867FE" w:rsidP="001867FE">
          <w:pPr>
            <w:pStyle w:val="59ACBDE37062467CAED837748FDAC5DB"/>
          </w:pPr>
          <w:r w:rsidRPr="00AD2E14">
            <w:rPr>
              <w:b/>
              <w:highlight w:val="lightGray"/>
            </w:rPr>
            <w:t>[Title]</w:t>
          </w:r>
        </w:p>
      </w:docPartBody>
    </w:docPart>
    <w:docPart>
      <w:docPartPr>
        <w:name w:val="11CF8E8477FA4184A473D192401A1FFC"/>
        <w:category>
          <w:name w:val="General"/>
          <w:gallery w:val="placeholder"/>
        </w:category>
        <w:types>
          <w:type w:val="bbPlcHdr"/>
        </w:types>
        <w:behaviors>
          <w:behavior w:val="content"/>
        </w:behaviors>
        <w:guid w:val="{859DE2CB-C5FF-4A8E-8A3D-7B1847F76663}"/>
      </w:docPartPr>
      <w:docPartBody>
        <w:p w:rsidR="00AF69BE" w:rsidRDefault="001867FE" w:rsidP="001867FE">
          <w:pPr>
            <w:pStyle w:val="11CF8E8477FA4184A473D192401A1FFC"/>
          </w:pPr>
          <w:r w:rsidRPr="00AD2E14">
            <w:rPr>
              <w:b/>
              <w:highlight w:val="lightGray"/>
            </w:rPr>
            <w:t>[Title]</w:t>
          </w:r>
        </w:p>
      </w:docPartBody>
    </w:docPart>
    <w:docPart>
      <w:docPartPr>
        <w:name w:val="9C43E1C95C2A45E8B29ADC0AEE473A9B"/>
        <w:category>
          <w:name w:val="General"/>
          <w:gallery w:val="placeholder"/>
        </w:category>
        <w:types>
          <w:type w:val="bbPlcHdr"/>
        </w:types>
        <w:behaviors>
          <w:behavior w:val="content"/>
        </w:behaviors>
        <w:guid w:val="{E53D0340-638A-4A18-85DF-AFF88D905815}"/>
      </w:docPartPr>
      <w:docPartBody>
        <w:p w:rsidR="00AF69BE" w:rsidRDefault="001867FE" w:rsidP="001867FE">
          <w:pPr>
            <w:pStyle w:val="9C43E1C95C2A45E8B29ADC0AEE473A9B"/>
          </w:pPr>
          <w:r w:rsidRPr="00AD2E14">
            <w:rPr>
              <w:b/>
              <w:highlight w:val="lightGray"/>
            </w:rPr>
            <w:t>[Title]</w:t>
          </w:r>
        </w:p>
      </w:docPartBody>
    </w:docPart>
    <w:docPart>
      <w:docPartPr>
        <w:name w:val="96AC61076CBA4279B708FB4E2CFB8201"/>
        <w:category>
          <w:name w:val="General"/>
          <w:gallery w:val="placeholder"/>
        </w:category>
        <w:types>
          <w:type w:val="bbPlcHdr"/>
        </w:types>
        <w:behaviors>
          <w:behavior w:val="content"/>
        </w:behaviors>
        <w:guid w:val="{0426E940-B682-4226-8105-6EB34118A601}"/>
      </w:docPartPr>
      <w:docPartBody>
        <w:p w:rsidR="00AF69BE" w:rsidRDefault="001867FE" w:rsidP="001867FE">
          <w:pPr>
            <w:pStyle w:val="96AC61076CBA4279B708FB4E2CFB8201"/>
          </w:pPr>
          <w:r w:rsidRPr="00AD2E14">
            <w:rPr>
              <w:b/>
              <w:highlight w:val="lightGray"/>
            </w:rPr>
            <w:t>[Title]</w:t>
          </w:r>
        </w:p>
      </w:docPartBody>
    </w:docPart>
    <w:docPart>
      <w:docPartPr>
        <w:name w:val="42216F41BF854A27AE5734D5EEE089CF"/>
        <w:category>
          <w:name w:val="General"/>
          <w:gallery w:val="placeholder"/>
        </w:category>
        <w:types>
          <w:type w:val="bbPlcHdr"/>
        </w:types>
        <w:behaviors>
          <w:behavior w:val="content"/>
        </w:behaviors>
        <w:guid w:val="{9877562E-7DAD-41A4-9877-154C0739894C}"/>
      </w:docPartPr>
      <w:docPartBody>
        <w:p w:rsidR="00AF69BE" w:rsidRDefault="001867FE" w:rsidP="001867FE">
          <w:pPr>
            <w:pStyle w:val="42216F41BF854A27AE5734D5EEE089CF"/>
          </w:pPr>
          <w:r w:rsidRPr="00AD2E14">
            <w:rPr>
              <w:b/>
              <w:highlight w:val="lightGray"/>
            </w:rPr>
            <w:t>[Title]</w:t>
          </w:r>
        </w:p>
      </w:docPartBody>
    </w:docPart>
    <w:docPart>
      <w:docPartPr>
        <w:name w:val="D2FC234D990841F18C0A8E468A5F3864"/>
        <w:category>
          <w:name w:val="General"/>
          <w:gallery w:val="placeholder"/>
        </w:category>
        <w:types>
          <w:type w:val="bbPlcHdr"/>
        </w:types>
        <w:behaviors>
          <w:behavior w:val="content"/>
        </w:behaviors>
        <w:guid w:val="{FC6BE5A8-E28B-46C3-8774-59FF74D92A41}"/>
      </w:docPartPr>
      <w:docPartBody>
        <w:p w:rsidR="00BE1631" w:rsidRDefault="0020441C" w:rsidP="0020441C">
          <w:pPr>
            <w:pStyle w:val="D2FC234D990841F18C0A8E468A5F3864"/>
          </w:pPr>
          <w:r w:rsidRPr="00AD2E14">
            <w:rPr>
              <w:b/>
              <w:highlight w:val="lightGray"/>
            </w:rPr>
            <w:t>[Title]</w:t>
          </w:r>
        </w:p>
      </w:docPartBody>
    </w:docPart>
    <w:docPart>
      <w:docPartPr>
        <w:name w:val="4E7B1C626838415E9C3AEE934D0FEA96"/>
        <w:category>
          <w:name w:val="General"/>
          <w:gallery w:val="placeholder"/>
        </w:category>
        <w:types>
          <w:type w:val="bbPlcHdr"/>
        </w:types>
        <w:behaviors>
          <w:behavior w:val="content"/>
        </w:behaviors>
        <w:guid w:val="{66CE184B-69D5-4398-9B48-039027DB6CA3}"/>
      </w:docPartPr>
      <w:docPartBody>
        <w:p w:rsidR="00562D86" w:rsidRDefault="008E75D5" w:rsidP="008E75D5">
          <w:pPr>
            <w:pStyle w:val="4E7B1C626838415E9C3AEE934D0FEA96"/>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D8"/>
    <w:rsid w:val="00051DFF"/>
    <w:rsid w:val="0011403F"/>
    <w:rsid w:val="001250CB"/>
    <w:rsid w:val="00151585"/>
    <w:rsid w:val="001867FE"/>
    <w:rsid w:val="0018720F"/>
    <w:rsid w:val="001E6DE5"/>
    <w:rsid w:val="0020441C"/>
    <w:rsid w:val="002075F9"/>
    <w:rsid w:val="002A1D10"/>
    <w:rsid w:val="002B2507"/>
    <w:rsid w:val="0033715B"/>
    <w:rsid w:val="0034396A"/>
    <w:rsid w:val="0036101A"/>
    <w:rsid w:val="003C560B"/>
    <w:rsid w:val="003E0F86"/>
    <w:rsid w:val="003E2804"/>
    <w:rsid w:val="0040279C"/>
    <w:rsid w:val="004223DF"/>
    <w:rsid w:val="00455605"/>
    <w:rsid w:val="0047393E"/>
    <w:rsid w:val="00494F55"/>
    <w:rsid w:val="004B328B"/>
    <w:rsid w:val="00547DAA"/>
    <w:rsid w:val="00562D86"/>
    <w:rsid w:val="00580E6E"/>
    <w:rsid w:val="00593927"/>
    <w:rsid w:val="00630D4A"/>
    <w:rsid w:val="00654B84"/>
    <w:rsid w:val="00671D56"/>
    <w:rsid w:val="006803A0"/>
    <w:rsid w:val="00687872"/>
    <w:rsid w:val="006C039C"/>
    <w:rsid w:val="006D26F8"/>
    <w:rsid w:val="006E7833"/>
    <w:rsid w:val="007138D9"/>
    <w:rsid w:val="00717B2F"/>
    <w:rsid w:val="00756FD8"/>
    <w:rsid w:val="007D42DD"/>
    <w:rsid w:val="008304E2"/>
    <w:rsid w:val="0083563B"/>
    <w:rsid w:val="00846919"/>
    <w:rsid w:val="00894316"/>
    <w:rsid w:val="008E75D5"/>
    <w:rsid w:val="00932ACB"/>
    <w:rsid w:val="0093652F"/>
    <w:rsid w:val="009A27B1"/>
    <w:rsid w:val="009B41C1"/>
    <w:rsid w:val="009B4CE4"/>
    <w:rsid w:val="00A026EE"/>
    <w:rsid w:val="00A04232"/>
    <w:rsid w:val="00A14A74"/>
    <w:rsid w:val="00A1653B"/>
    <w:rsid w:val="00AD4908"/>
    <w:rsid w:val="00AD54D8"/>
    <w:rsid w:val="00AF69BE"/>
    <w:rsid w:val="00B21F73"/>
    <w:rsid w:val="00B652B6"/>
    <w:rsid w:val="00BE1631"/>
    <w:rsid w:val="00C00791"/>
    <w:rsid w:val="00C85BF7"/>
    <w:rsid w:val="00CA0F5F"/>
    <w:rsid w:val="00CD0D7A"/>
    <w:rsid w:val="00CE101A"/>
    <w:rsid w:val="00CF59D2"/>
    <w:rsid w:val="00CF6F06"/>
    <w:rsid w:val="00D11906"/>
    <w:rsid w:val="00D17BCB"/>
    <w:rsid w:val="00D71CFB"/>
    <w:rsid w:val="00DA1A39"/>
    <w:rsid w:val="00DA28BD"/>
    <w:rsid w:val="00DD60EA"/>
    <w:rsid w:val="00DF5513"/>
    <w:rsid w:val="00E27DFA"/>
    <w:rsid w:val="00E579BE"/>
    <w:rsid w:val="00E8600E"/>
    <w:rsid w:val="00EC6FCF"/>
    <w:rsid w:val="00F11483"/>
    <w:rsid w:val="00FA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9C997CB2B4FB981FBDBCB49555A44">
    <w:name w:val="4679C997CB2B4FB981FBDBCB49555A44"/>
  </w:style>
  <w:style w:type="paragraph" w:customStyle="1" w:styleId="12601B8F64434A30BB9E8ED0305DC625">
    <w:name w:val="12601B8F64434A30BB9E8ED0305DC625"/>
  </w:style>
  <w:style w:type="character" w:styleId="PlaceholderText">
    <w:name w:val="Placeholder Text"/>
    <w:basedOn w:val="DefaultParagraphFont"/>
    <w:uiPriority w:val="99"/>
    <w:semiHidden/>
    <w:rPr>
      <w:color w:val="808080"/>
    </w:rPr>
  </w:style>
  <w:style w:type="paragraph" w:customStyle="1" w:styleId="8D03D22B335146539CE25A508410F13C">
    <w:name w:val="8D03D22B335146539CE25A508410F13C"/>
  </w:style>
  <w:style w:type="paragraph" w:customStyle="1" w:styleId="CEC2DAE80427491D8CE02B38AC7E9B94">
    <w:name w:val="CEC2DAE80427491D8CE02B38AC7E9B94"/>
  </w:style>
  <w:style w:type="paragraph" w:customStyle="1" w:styleId="AF358E34DBB84D12B869252DDB6E872C">
    <w:name w:val="AF358E34DBB84D12B869252DDB6E872C"/>
  </w:style>
  <w:style w:type="paragraph" w:customStyle="1" w:styleId="62C017D03560418B8EE379209E006D69">
    <w:name w:val="62C017D03560418B8EE379209E006D69"/>
  </w:style>
  <w:style w:type="paragraph" w:customStyle="1" w:styleId="60909126DAC043E9A60C2A8F121EDEE0">
    <w:name w:val="60909126DAC043E9A60C2A8F121EDEE0"/>
  </w:style>
  <w:style w:type="paragraph" w:customStyle="1" w:styleId="618DC9DC933A4544A6A4E42986B20F7B">
    <w:name w:val="618DC9DC933A4544A6A4E42986B20F7B"/>
  </w:style>
  <w:style w:type="paragraph" w:customStyle="1" w:styleId="8D6C0890214C4102AD3BD9A4D0D0869A">
    <w:name w:val="8D6C0890214C4102AD3BD9A4D0D0869A"/>
  </w:style>
  <w:style w:type="paragraph" w:customStyle="1" w:styleId="5455C73884A44ED1B21AFC77D1D461D1">
    <w:name w:val="5455C73884A44ED1B21AFC77D1D461D1"/>
  </w:style>
  <w:style w:type="paragraph" w:customStyle="1" w:styleId="385365EC413044F9B569C4FCCBFA2C2A">
    <w:name w:val="385365EC413044F9B569C4FCCBFA2C2A"/>
  </w:style>
  <w:style w:type="paragraph" w:customStyle="1" w:styleId="6472CE3B765245E391656D2B1663B0A4">
    <w:name w:val="6472CE3B765245E391656D2B1663B0A4"/>
  </w:style>
  <w:style w:type="paragraph" w:customStyle="1" w:styleId="BADAC53C9DF449409DFC996E7056BE19">
    <w:name w:val="BADAC53C9DF449409DFC996E7056BE19"/>
  </w:style>
  <w:style w:type="paragraph" w:customStyle="1" w:styleId="59ACBDE37062467CAED837748FDAC5DB">
    <w:name w:val="59ACBDE37062467CAED837748FDAC5DB"/>
    <w:rsid w:val="001867FE"/>
    <w:rPr>
      <w:lang w:val="en-AU" w:eastAsia="en-AU"/>
    </w:rPr>
  </w:style>
  <w:style w:type="paragraph" w:customStyle="1" w:styleId="11CF8E8477FA4184A473D192401A1FFC">
    <w:name w:val="11CF8E8477FA4184A473D192401A1FFC"/>
    <w:rsid w:val="001867FE"/>
    <w:rPr>
      <w:lang w:val="en-AU" w:eastAsia="en-AU"/>
    </w:rPr>
  </w:style>
  <w:style w:type="paragraph" w:customStyle="1" w:styleId="9C43E1C95C2A45E8B29ADC0AEE473A9B">
    <w:name w:val="9C43E1C95C2A45E8B29ADC0AEE473A9B"/>
    <w:rsid w:val="001867FE"/>
    <w:rPr>
      <w:lang w:val="en-AU" w:eastAsia="en-AU"/>
    </w:rPr>
  </w:style>
  <w:style w:type="paragraph" w:customStyle="1" w:styleId="96AC61076CBA4279B708FB4E2CFB8201">
    <w:name w:val="96AC61076CBA4279B708FB4E2CFB8201"/>
    <w:rsid w:val="001867FE"/>
    <w:rPr>
      <w:lang w:val="en-AU" w:eastAsia="en-AU"/>
    </w:rPr>
  </w:style>
  <w:style w:type="paragraph" w:customStyle="1" w:styleId="42216F41BF854A27AE5734D5EEE089CF">
    <w:name w:val="42216F41BF854A27AE5734D5EEE089CF"/>
    <w:rsid w:val="001867FE"/>
    <w:rPr>
      <w:lang w:val="en-AU" w:eastAsia="en-AU"/>
    </w:rPr>
  </w:style>
  <w:style w:type="paragraph" w:customStyle="1" w:styleId="D2FC234D990841F18C0A8E468A5F3864">
    <w:name w:val="D2FC234D990841F18C0A8E468A5F3864"/>
    <w:rsid w:val="0020441C"/>
    <w:rPr>
      <w:lang w:val="en-AU" w:eastAsia="en-AU"/>
    </w:rPr>
  </w:style>
  <w:style w:type="paragraph" w:customStyle="1" w:styleId="4E7B1C626838415E9C3AEE934D0FEA96">
    <w:name w:val="4E7B1C626838415E9C3AEE934D0FEA96"/>
    <w:rsid w:val="008E75D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6315</Words>
  <Characters>35788</Characters>
  <Application>Microsoft Office Word</Application>
  <DocSecurity>0</DocSecurity>
  <Lines>738</Lines>
  <Paragraphs>399</Paragraphs>
  <ScaleCrop>false</ScaleCrop>
  <HeadingPairs>
    <vt:vector size="2" baseType="variant">
      <vt:variant>
        <vt:lpstr>Title</vt:lpstr>
      </vt:variant>
      <vt:variant>
        <vt:i4>1</vt:i4>
      </vt:variant>
    </vt:vector>
  </HeadingPairs>
  <TitlesOfParts>
    <vt:vector size="1" baseType="lpstr">
      <vt:lpstr>Guideline: Applications for electricity and gas industry licences</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Applications for electricity and gas industry licences</dc:title>
  <dc:subject/>
  <dc:creator>Daniela Pipolo (ESC)</dc:creator>
  <cp:keywords>[SEC=UNOFFICIAL]</cp:keywords>
  <dc:description>Version 1.4.1</dc:description>
  <cp:lastModifiedBy>Sharn Brassington-Crow(ESC)</cp:lastModifiedBy>
  <cp:revision>10</cp:revision>
  <cp:lastPrinted>2023-03-10T01:26:00Z</cp:lastPrinted>
  <dcterms:created xsi:type="dcterms:W3CDTF">2024-03-26T03:39:00Z</dcterms:created>
  <dcterms:modified xsi:type="dcterms:W3CDTF">2024-03-26T22:56:00Z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5A23678471434C5B87EB4541DE7F66AB</vt:lpwstr>
  </property>
  <property fmtid="{D5CDD505-2E9C-101B-9397-08002B2CF9AE}" pid="9" name="PM_ProtectiveMarkingValue_Footer">
    <vt:lpwstr>UNOFFICIAL</vt:lpwstr>
  </property>
  <property fmtid="{D5CDD505-2E9C-101B-9397-08002B2CF9AE}" pid="10" name="PM_Originator_Hash_SHA1">
    <vt:lpwstr>555A87A1DF6F561C5107F39875B047B5EAE90063</vt:lpwstr>
  </property>
  <property fmtid="{D5CDD505-2E9C-101B-9397-08002B2CF9AE}" pid="11" name="PM_OriginationTimeStamp">
    <vt:lpwstr>2024-03-04T20:29:37Z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8BBEE35ED13D2A0137A641769DCB9912</vt:lpwstr>
  </property>
  <property fmtid="{D5CDD505-2E9C-101B-9397-08002B2CF9AE}" pid="22" name="PM_Hash_Salt">
    <vt:lpwstr>C175CA2B8E6970BD6C316D363A59B150</vt:lpwstr>
  </property>
  <property fmtid="{D5CDD505-2E9C-101B-9397-08002B2CF9AE}" pid="23" name="PM_Hash_SHA1">
    <vt:lpwstr>A01640035B674776BC835CF38D56863118D5D8F5</vt:lpwstr>
  </property>
  <property fmtid="{D5CDD505-2E9C-101B-9397-08002B2CF9AE}" pid="24" name="PM_OriginatorUserAccountName_SHA256">
    <vt:lpwstr>B77A7A125CBE3CE953FE20EB0F375B86BE5D6E9B6C53CBCD25CD36BB87E5F559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v=2022.1;a=SHA256;h=EBBC8EE7DF35A9AF3FB7DAE1FB2C2EB22EEF13359E6CFBAD79B4A076BD20BD32</vt:lpwstr>
  </property>
</Properties>
</file>