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ABDB" w14:textId="72165BB9" w:rsidR="008D6ADF" w:rsidRPr="00741550" w:rsidRDefault="00BA1AF6" w:rsidP="00FF6168">
      <w:pPr>
        <w:pStyle w:val="Heading1"/>
      </w:pPr>
      <w:r w:rsidRPr="00741550">
        <w:t>Po</w:t>
      </w:r>
      <w:r w:rsidR="00136CCC" w:rsidRPr="00741550">
        <w:t>licy</w:t>
      </w:r>
    </w:p>
    <w:p w14:paraId="3C09ABDC" w14:textId="46CAAF3D" w:rsidR="00BA1AF6" w:rsidRPr="00741550" w:rsidRDefault="00CF75AD" w:rsidP="00FF6168">
      <w:pPr>
        <w:pStyle w:val="Heading2"/>
      </w:pPr>
      <w:r>
        <w:t xml:space="preserve">Gifts, Benefits and Hospitality </w:t>
      </w:r>
    </w:p>
    <w:p w14:paraId="1AD7D5DC" w14:textId="4696B32F" w:rsidR="005A615F" w:rsidRPr="00047BA2" w:rsidRDefault="005A615F" w:rsidP="005A615F">
      <w:r>
        <w:t xml:space="preserve">This policy states the commission’s position on </w:t>
      </w:r>
      <w:r w:rsidR="0003101D">
        <w:t xml:space="preserve">the giving and receiving of </w:t>
      </w:r>
      <w:r>
        <w:t xml:space="preserve">gifts, </w:t>
      </w:r>
      <w:r w:rsidR="00B7090A">
        <w:t>benefits,</w:t>
      </w:r>
      <w:r>
        <w:t xml:space="preserve"> and hospitality</w:t>
      </w:r>
      <w:r w:rsidR="00B7090A">
        <w:t>.</w:t>
      </w:r>
    </w:p>
    <w:p w14:paraId="3C09ABDE" w14:textId="77777777" w:rsidR="001C5534" w:rsidRPr="00741550" w:rsidRDefault="001C5534" w:rsidP="002C1135">
      <w:pPr>
        <w:pStyle w:val="Pull-outheading0"/>
      </w:pPr>
      <w:r w:rsidRPr="00741550">
        <w:t>What you need to know</w:t>
      </w:r>
    </w:p>
    <w:p w14:paraId="151AFD0C" w14:textId="4A17851C" w:rsidR="00DA5869" w:rsidRDefault="00524474" w:rsidP="002C1135">
      <w:pPr>
        <w:pStyle w:val="Pull-out"/>
      </w:pPr>
      <w:r>
        <w:t>This policy</w:t>
      </w:r>
      <w:r w:rsidR="00AB7A56">
        <w:t xml:space="preserve"> </w:t>
      </w:r>
      <w:r w:rsidR="00B7090A">
        <w:t xml:space="preserve">outlines the commission’s </w:t>
      </w:r>
      <w:r w:rsidR="00405D15">
        <w:t>expectations around</w:t>
      </w:r>
      <w:r w:rsidR="00B7090A">
        <w:t xml:space="preserve"> </w:t>
      </w:r>
      <w:r w:rsidR="001E5506">
        <w:t xml:space="preserve">the receipt and provision of gifts, benefits and hospitality </w:t>
      </w:r>
      <w:r w:rsidR="00405D15">
        <w:t xml:space="preserve">and </w:t>
      </w:r>
      <w:r w:rsidR="00C21C63">
        <w:t xml:space="preserve">supports you </w:t>
      </w:r>
      <w:r w:rsidR="00DA5869">
        <w:t xml:space="preserve">to avoid conflict of interest and maintain high levels of integrity and public trust.  </w:t>
      </w:r>
    </w:p>
    <w:p w14:paraId="035A7298" w14:textId="310E1F84" w:rsidR="003843D4" w:rsidRDefault="003843D4" w:rsidP="002C1135">
      <w:pPr>
        <w:pStyle w:val="Pull-out"/>
      </w:pPr>
      <w:r>
        <w:t xml:space="preserve">This policy has been developed in accordance with the requirements outlined in the </w:t>
      </w:r>
      <w:hyperlink r:id="rId11" w:history="1">
        <w:r w:rsidRPr="001F5FD1">
          <w:rPr>
            <w:rStyle w:val="Hyperlink"/>
          </w:rPr>
          <w:t>minimum accountabilities for managing gifts, benefits and hospitality</w:t>
        </w:r>
      </w:hyperlink>
      <w:r>
        <w:t xml:space="preserve"> issued by the Victorian Public Sector Commission and supports behaviour consistent with the Code of Conduct for Victorian Public Sector Employees and the Code of Conduct for Directors of Victorian Public Sector Entities</w:t>
      </w:r>
      <w:r w:rsidR="00E23407">
        <w:t>.</w:t>
      </w:r>
    </w:p>
    <w:p w14:paraId="6F8AE53E" w14:textId="44832E43" w:rsidR="00E23407" w:rsidRDefault="00E23407" w:rsidP="002C1135">
      <w:pPr>
        <w:pStyle w:val="Pull-out"/>
      </w:pPr>
      <w:r>
        <w:t xml:space="preserve">A </w:t>
      </w:r>
      <w:hyperlink w:anchor="_Glossary" w:history="1">
        <w:r w:rsidRPr="00C915F5">
          <w:rPr>
            <w:rStyle w:val="Hyperlink"/>
          </w:rPr>
          <w:t>glossary</w:t>
        </w:r>
      </w:hyperlink>
      <w:r>
        <w:t xml:space="preserve"> of terms </w:t>
      </w:r>
      <w:r w:rsidR="008B12E9">
        <w:t xml:space="preserve">is provided for reference when reading </w:t>
      </w:r>
      <w:r>
        <w:t>this policy</w:t>
      </w:r>
      <w:r w:rsidR="008B12E9">
        <w:t>.</w:t>
      </w:r>
    </w:p>
    <w:p w14:paraId="3C09ABE3" w14:textId="5CE1A610" w:rsidR="00E155ED" w:rsidRPr="00741550" w:rsidRDefault="00E155ED" w:rsidP="001F7FC1">
      <w:pPr>
        <w:pStyle w:val="Heading2"/>
      </w:pPr>
      <w:r w:rsidRPr="00741550">
        <w:t>Applicability</w:t>
      </w:r>
    </w:p>
    <w:p w14:paraId="0877C3F7" w14:textId="55F5445C" w:rsidR="00102C12" w:rsidRDefault="00102C12" w:rsidP="0027311C">
      <w:r w:rsidRPr="00DF5928">
        <w:t>This policy applies to all workplace participants, including executives, commissioners, employees, and any contractors, consultants or individuals undertaking activity on behalf of the commission that are advised it applies to them. In this policy the term “individuals” is used to describe all workplace participants.</w:t>
      </w:r>
    </w:p>
    <w:p w14:paraId="5F2305BF" w14:textId="1CB2A7DB" w:rsidR="004627D4" w:rsidRDefault="004627D4" w:rsidP="0027311C">
      <w:r w:rsidRPr="00DF5928">
        <w:t>Any exceptions to this policy must have the prior written approval of the Chief Executive Officer.</w:t>
      </w:r>
    </w:p>
    <w:p w14:paraId="1A368B91" w14:textId="20C4BAAE" w:rsidR="007C05D0" w:rsidRDefault="007C05D0" w:rsidP="007C05D0">
      <w:pPr>
        <w:pStyle w:val="Heading2"/>
      </w:pPr>
      <w:bookmarkStart w:id="1" w:name="_Policy_principles"/>
      <w:bookmarkEnd w:id="1"/>
      <w:r>
        <w:t>Policy principles</w:t>
      </w:r>
    </w:p>
    <w:p w14:paraId="78CA0FAC" w14:textId="77777777" w:rsidR="00F1559C" w:rsidRPr="00325893" w:rsidRDefault="00F1559C" w:rsidP="00F1559C">
      <w:r w:rsidRPr="00DF5928">
        <w:t>Maintaining</w:t>
      </w:r>
      <w:r w:rsidRPr="00C95616">
        <w:rPr>
          <w:iCs/>
        </w:rPr>
        <w:t xml:space="preserve"> the good reputation of the commission is essential if we are to </w:t>
      </w:r>
      <w:r>
        <w:rPr>
          <w:iCs/>
        </w:rPr>
        <w:t>ensure continued</w:t>
      </w:r>
      <w:r w:rsidRPr="00C95616">
        <w:rPr>
          <w:iCs/>
        </w:rPr>
        <w:t xml:space="preserve"> community </w:t>
      </w:r>
      <w:r>
        <w:rPr>
          <w:iCs/>
        </w:rPr>
        <w:t>and public se</w:t>
      </w:r>
      <w:r w:rsidRPr="009D5BC6">
        <w:t xml:space="preserve">ctor </w:t>
      </w:r>
      <w:r w:rsidRPr="00C95616">
        <w:rPr>
          <w:iCs/>
        </w:rPr>
        <w:t>confidence in us.</w:t>
      </w:r>
      <w:r>
        <w:rPr>
          <w:iCs/>
        </w:rPr>
        <w:t xml:space="preserve"> </w:t>
      </w:r>
      <w:r w:rsidRPr="00C95616">
        <w:rPr>
          <w:iCs/>
        </w:rPr>
        <w:t>It is therefore essential that we try to avoid any attempts to improperly influence us in the performance of our functions.</w:t>
      </w:r>
    </w:p>
    <w:p w14:paraId="7AC83B1B" w14:textId="3F987571" w:rsidR="00F1559C" w:rsidRPr="00DF5928" w:rsidRDefault="00F1559C" w:rsidP="00F1559C">
      <w:r w:rsidRPr="00DF5928">
        <w:t>The following principles</w:t>
      </w:r>
      <w:r>
        <w:t xml:space="preserve"> apply to the managemen</w:t>
      </w:r>
      <w:r w:rsidR="001D3BD1">
        <w:t>t of gifts, benefits</w:t>
      </w:r>
      <w:r w:rsidR="00023A17">
        <w:t>,</w:t>
      </w:r>
      <w:r w:rsidR="001D3BD1">
        <w:t xml:space="preserve"> and hospitality</w:t>
      </w:r>
      <w:r w:rsidR="004E6E53">
        <w:t xml:space="preserve"> at the commission</w:t>
      </w:r>
      <w:r w:rsidRPr="00DF5928">
        <w:t>:</w:t>
      </w:r>
    </w:p>
    <w:p w14:paraId="0AA8A4F2" w14:textId="03A0471C" w:rsidR="0099418B" w:rsidRDefault="00D76731" w:rsidP="009D3155">
      <w:pPr>
        <w:pStyle w:val="ListParagraph"/>
        <w:numPr>
          <w:ilvl w:val="0"/>
          <w:numId w:val="17"/>
        </w:numPr>
      </w:pPr>
      <w:r>
        <w:t xml:space="preserve">Individuals </w:t>
      </w:r>
      <w:r w:rsidR="00F1559C">
        <w:t xml:space="preserve">will act with integrity and impartiality and place public interest above their private interests and will </w:t>
      </w:r>
      <w:r w:rsidR="00DD138D">
        <w:t xml:space="preserve">not, for themselves or others, seek or solicit </w:t>
      </w:r>
      <w:r w:rsidR="002C061F">
        <w:t xml:space="preserve">gifts, </w:t>
      </w:r>
      <w:r w:rsidR="000805AD">
        <w:t>benefits,</w:t>
      </w:r>
      <w:r w:rsidR="002C061F">
        <w:t xml:space="preserve"> or hospitality</w:t>
      </w:r>
      <w:r w:rsidR="006E7ABE">
        <w:t xml:space="preserve"> (</w:t>
      </w:r>
      <w:r w:rsidR="00401E91">
        <w:t xml:space="preserve">also referred to as </w:t>
      </w:r>
      <w:r w:rsidR="006E7ABE">
        <w:t>offers)</w:t>
      </w:r>
      <w:r w:rsidR="002C061F">
        <w:t>.</w:t>
      </w:r>
    </w:p>
    <w:p w14:paraId="41B75F3E" w14:textId="77B88052" w:rsidR="00F1559C" w:rsidRDefault="00D76731" w:rsidP="00BE5617">
      <w:pPr>
        <w:pStyle w:val="ListParagraph"/>
        <w:numPr>
          <w:ilvl w:val="0"/>
          <w:numId w:val="17"/>
        </w:numPr>
      </w:pPr>
      <w:r>
        <w:lastRenderedPageBreak/>
        <w:t>Individuals</w:t>
      </w:r>
      <w:r w:rsidR="00ED0B46">
        <w:t xml:space="preserve"> </w:t>
      </w:r>
      <w:r w:rsidR="0099418B">
        <w:t xml:space="preserve">will </w:t>
      </w:r>
      <w:r w:rsidR="00F1559C">
        <w:t xml:space="preserve">actively seek to limit offers being made </w:t>
      </w:r>
      <w:r w:rsidR="00DD138D">
        <w:t>and</w:t>
      </w:r>
      <w:r w:rsidR="003170B3">
        <w:t xml:space="preserve"> are </w:t>
      </w:r>
      <w:r w:rsidR="00473205" w:rsidRPr="00DF5928">
        <w:t>to politely decline offers where practical</w:t>
      </w:r>
      <w:r w:rsidR="00D41D88">
        <w:t>,</w:t>
      </w:r>
      <w:r w:rsidR="00DD02D8">
        <w:rPr>
          <w:rStyle w:val="FootnoteReference"/>
        </w:rPr>
        <w:footnoteReference w:id="2"/>
      </w:r>
      <w:r w:rsidR="00473205" w:rsidRPr="00DF5928">
        <w:t xml:space="preserve"> and proactively advise suppliers and entities we regulate that we prefer offers not be made.</w:t>
      </w:r>
    </w:p>
    <w:p w14:paraId="4AB938AC" w14:textId="004C46EE" w:rsidR="009D3155" w:rsidRDefault="009D3155" w:rsidP="009D3155">
      <w:pPr>
        <w:numPr>
          <w:ilvl w:val="0"/>
          <w:numId w:val="16"/>
        </w:numPr>
      </w:pPr>
      <w:r>
        <w:t xml:space="preserve">The commission adopts a </w:t>
      </w:r>
      <w:r w:rsidR="00C55D34">
        <w:t>risk-based</w:t>
      </w:r>
      <w:r>
        <w:t xml:space="preserve"> approach to ensure all offers and the provision of gifts, benefits and hospitality are appropriately assessed and managed. Managers</w:t>
      </w:r>
      <w:r w:rsidRPr="00DF5928">
        <w:t xml:space="preserve"> with direct reports will ensure they are aware of the risks inherent in their team’s work and functions and </w:t>
      </w:r>
      <w:r>
        <w:t xml:space="preserve">will </w:t>
      </w:r>
      <w:r w:rsidRPr="00DF5928">
        <w:t xml:space="preserve">monitor the risks to which their direct reports are exposed. </w:t>
      </w:r>
    </w:p>
    <w:p w14:paraId="3EBFF9E6" w14:textId="50236EEB" w:rsidR="009D3155" w:rsidRDefault="00D76731" w:rsidP="009D3155">
      <w:pPr>
        <w:numPr>
          <w:ilvl w:val="0"/>
          <w:numId w:val="16"/>
        </w:numPr>
      </w:pPr>
      <w:r>
        <w:t xml:space="preserve">Individuals </w:t>
      </w:r>
      <w:r w:rsidR="009D3155">
        <w:t xml:space="preserve">will declare non-token offers (whether accepted or declined) and will seek approval to accept a non-token offer or manage the offer in line with this policy.  </w:t>
      </w:r>
    </w:p>
    <w:p w14:paraId="65E2B71B" w14:textId="3B1D6CBC" w:rsidR="009D3155" w:rsidRDefault="00D76731" w:rsidP="009D3155">
      <w:pPr>
        <w:numPr>
          <w:ilvl w:val="0"/>
          <w:numId w:val="16"/>
        </w:numPr>
      </w:pPr>
      <w:r>
        <w:t>Individuals</w:t>
      </w:r>
      <w:r w:rsidR="00CE62FE">
        <w:t xml:space="preserve"> </w:t>
      </w:r>
      <w:r w:rsidR="009D3155">
        <w:t>will refuse and declare all offers regardless of value that:</w:t>
      </w:r>
    </w:p>
    <w:p w14:paraId="45977CBF" w14:textId="0E0A8A3B" w:rsidR="009D3155" w:rsidRDefault="009D3155" w:rsidP="009D3155">
      <w:pPr>
        <w:numPr>
          <w:ilvl w:val="1"/>
          <w:numId w:val="16"/>
        </w:numPr>
        <w:ind w:left="993" w:hanging="426"/>
      </w:pPr>
      <w:r>
        <w:t xml:space="preserve">are likely to </w:t>
      </w:r>
      <w:r w:rsidR="00BB2E4B">
        <w:t>influence or</w:t>
      </w:r>
      <w:r>
        <w:t xml:space="preserve"> be perceived to influence them or raise an actual, potential, or perceived conflict of interest</w:t>
      </w:r>
    </w:p>
    <w:p w14:paraId="5F99817A" w14:textId="0529CB90" w:rsidR="009D3155" w:rsidRDefault="009D3155" w:rsidP="009D3155">
      <w:pPr>
        <w:numPr>
          <w:ilvl w:val="1"/>
          <w:numId w:val="16"/>
        </w:numPr>
        <w:ind w:left="993" w:hanging="426"/>
      </w:pPr>
      <w:r>
        <w:t xml:space="preserve">could raise a perception of, or actual, bias, or preferential treatment.  This includes offers from those about whom they are likely to make business decisions (e.g., a current or prospective supplier </w:t>
      </w:r>
      <w:proofErr w:type="gramStart"/>
      <w:r>
        <w:t>and also</w:t>
      </w:r>
      <w:proofErr w:type="gramEnd"/>
      <w:r>
        <w:t xml:space="preserve"> applies to processes involving grants, sponsorship, regulation, enforcement, or licencing)</w:t>
      </w:r>
      <w:r w:rsidR="00F67AF6">
        <w:rPr>
          <w:rStyle w:val="FootnoteReference"/>
        </w:rPr>
        <w:footnoteReference w:id="3"/>
      </w:r>
    </w:p>
    <w:p w14:paraId="1F091A36" w14:textId="52C0B91A" w:rsidR="009D3155" w:rsidRDefault="009D3155" w:rsidP="009D3155">
      <w:pPr>
        <w:numPr>
          <w:ilvl w:val="1"/>
          <w:numId w:val="16"/>
        </w:numPr>
        <w:ind w:left="993" w:hanging="426"/>
      </w:pPr>
      <w:r>
        <w:t>may adversely affect their standing as a public official or that may bring the commission or the public sector into disrepute</w:t>
      </w:r>
    </w:p>
    <w:p w14:paraId="3B3F4AE1" w14:textId="4689FB7A" w:rsidR="009D3155" w:rsidRDefault="009D3155" w:rsidP="009D3155">
      <w:pPr>
        <w:numPr>
          <w:ilvl w:val="1"/>
          <w:numId w:val="16"/>
        </w:numPr>
        <w:ind w:left="993" w:hanging="426"/>
      </w:pPr>
      <w:r>
        <w:t>is money or something used in a similar way to money or easily converted to money including gift cards with a monetary value</w:t>
      </w:r>
    </w:p>
    <w:p w14:paraId="06287B99" w14:textId="368159C7" w:rsidR="009D3155" w:rsidRDefault="009D3155" w:rsidP="009D3155">
      <w:pPr>
        <w:numPr>
          <w:ilvl w:val="1"/>
          <w:numId w:val="16"/>
        </w:numPr>
        <w:ind w:left="993" w:hanging="426"/>
      </w:pPr>
      <w:r>
        <w:t xml:space="preserve">could be perceived as endorsement of a product or service that would unfairly advance the offeror in future procurement decisions </w:t>
      </w:r>
    </w:p>
    <w:p w14:paraId="5A1A5899" w14:textId="61D4BC21" w:rsidR="009D3155" w:rsidRDefault="009D3155" w:rsidP="009D3155">
      <w:pPr>
        <w:numPr>
          <w:ilvl w:val="1"/>
          <w:numId w:val="16"/>
        </w:numPr>
        <w:ind w:left="993" w:hanging="426"/>
      </w:pPr>
      <w:r>
        <w:t>is made by a person or organisation with the primary purpose to lobby Minister</w:t>
      </w:r>
      <w:r w:rsidR="0085671F">
        <w:t>s</w:t>
      </w:r>
      <w:r>
        <w:t>, Members of Parliament, or public sector agencies</w:t>
      </w:r>
    </w:p>
    <w:p w14:paraId="648EB5A9" w14:textId="3A2EE0B8" w:rsidR="00677190" w:rsidRDefault="009D3155" w:rsidP="00677190">
      <w:pPr>
        <w:numPr>
          <w:ilvl w:val="1"/>
          <w:numId w:val="16"/>
        </w:numPr>
        <w:ind w:left="993" w:hanging="426"/>
      </w:pPr>
      <w:r>
        <w:t>is made in secret</w:t>
      </w:r>
    </w:p>
    <w:p w14:paraId="7CC4AB8B" w14:textId="336FCFAE" w:rsidR="00677190" w:rsidRDefault="00677190" w:rsidP="00677190">
      <w:pPr>
        <w:numPr>
          <w:ilvl w:val="1"/>
          <w:numId w:val="16"/>
        </w:numPr>
        <w:ind w:left="993" w:hanging="426"/>
      </w:pPr>
      <w:r>
        <w:t>extends to their relative or friends</w:t>
      </w:r>
    </w:p>
    <w:p w14:paraId="1FF5E6F6" w14:textId="637F2212" w:rsidR="00677190" w:rsidRDefault="00677190" w:rsidP="00677190">
      <w:pPr>
        <w:numPr>
          <w:ilvl w:val="1"/>
          <w:numId w:val="16"/>
        </w:numPr>
        <w:ind w:left="993" w:hanging="426"/>
      </w:pPr>
      <w:r>
        <w:t>is likely to be a bribe or inducement to influence a decision or act in a particular way</w:t>
      </w:r>
    </w:p>
    <w:p w14:paraId="37AA41C3" w14:textId="77777777" w:rsidR="00677190" w:rsidRDefault="00677190" w:rsidP="00677190">
      <w:pPr>
        <w:numPr>
          <w:ilvl w:val="1"/>
          <w:numId w:val="16"/>
        </w:numPr>
        <w:ind w:left="993" w:hanging="426"/>
      </w:pPr>
      <w:r>
        <w:lastRenderedPageBreak/>
        <w:t xml:space="preserve">has no legitimate business benefit. </w:t>
      </w:r>
    </w:p>
    <w:p w14:paraId="45D73C9D" w14:textId="7443A275" w:rsidR="004B63C2" w:rsidRPr="009D5007" w:rsidRDefault="00D76731" w:rsidP="004B63C2">
      <w:pPr>
        <w:pStyle w:val="ListParagraph"/>
        <w:numPr>
          <w:ilvl w:val="0"/>
          <w:numId w:val="18"/>
        </w:numPr>
        <w:ind w:left="357" w:hanging="357"/>
        <w:contextualSpacing w:val="0"/>
      </w:pPr>
      <w:r>
        <w:t>Individuals</w:t>
      </w:r>
      <w:r w:rsidR="00CC13F7" w:rsidRPr="009D5007">
        <w:t xml:space="preserve"> </w:t>
      </w:r>
      <w:r w:rsidR="00DD25EE">
        <w:t xml:space="preserve">will </w:t>
      </w:r>
      <w:r w:rsidR="004B63C2" w:rsidRPr="009D5007">
        <w:t>be vigilant in the management of repeated token offers</w:t>
      </w:r>
      <w:r w:rsidR="00001DED">
        <w:t xml:space="preserve"> made by the same person </w:t>
      </w:r>
      <w:r w:rsidR="00980902">
        <w:t xml:space="preserve">or </w:t>
      </w:r>
      <w:r w:rsidR="00001DED">
        <w:t>organisation</w:t>
      </w:r>
      <w:r w:rsidR="004B63C2" w:rsidRPr="009D5007">
        <w:t xml:space="preserve"> The cumulative value of the offers, or the perception that they may influence the recipient</w:t>
      </w:r>
      <w:r w:rsidR="00BC58BF">
        <w:t xml:space="preserve">, </w:t>
      </w:r>
      <w:r w:rsidR="004B63C2" w:rsidRPr="009D5007">
        <w:t xml:space="preserve">should be considered and </w:t>
      </w:r>
      <w:r w:rsidR="000D6BD3">
        <w:t xml:space="preserve">where appropriate, </w:t>
      </w:r>
      <w:r w:rsidR="004B63C2" w:rsidRPr="009D5007">
        <w:t>the offer</w:t>
      </w:r>
      <w:r w:rsidR="004B63C2">
        <w:t>s</w:t>
      </w:r>
      <w:r w:rsidR="004B63C2" w:rsidRPr="009D5007">
        <w:t xml:space="preserve"> reported.</w:t>
      </w:r>
    </w:p>
    <w:p w14:paraId="6D3D3749" w14:textId="77777777" w:rsidR="004B63C2" w:rsidRDefault="004B63C2" w:rsidP="004B63C2">
      <w:pPr>
        <w:numPr>
          <w:ilvl w:val="0"/>
          <w:numId w:val="16"/>
        </w:numPr>
      </w:pPr>
      <w:r>
        <w:t>The commission will publish this policy and will maintain and will publish a register for gifts, benefits, and hospitality on annual basis.</w:t>
      </w:r>
    </w:p>
    <w:p w14:paraId="607EED12" w14:textId="091C73DA" w:rsidR="004B63C2" w:rsidRDefault="00D76731" w:rsidP="004B63C2">
      <w:pPr>
        <w:numPr>
          <w:ilvl w:val="0"/>
          <w:numId w:val="16"/>
        </w:numPr>
      </w:pPr>
      <w:r>
        <w:t>Individuals</w:t>
      </w:r>
      <w:r w:rsidR="00C652C9">
        <w:t xml:space="preserve"> </w:t>
      </w:r>
      <w:r w:rsidR="004B63C2">
        <w:t>may responsibly provide gifts, benefits, and hospitality if:</w:t>
      </w:r>
    </w:p>
    <w:p w14:paraId="0059A7A1" w14:textId="463129D3" w:rsidR="004B63C2" w:rsidRDefault="004B63C2" w:rsidP="004B63C2">
      <w:pPr>
        <w:numPr>
          <w:ilvl w:val="1"/>
          <w:numId w:val="16"/>
        </w:numPr>
        <w:ind w:left="993" w:hanging="426"/>
      </w:pPr>
      <w:r>
        <w:t>It is provided for a business reason that further</w:t>
      </w:r>
      <w:r w:rsidR="00414C24">
        <w:t>s</w:t>
      </w:r>
      <w:r>
        <w:t xml:space="preserve"> the conduct of commission business or other legitimate organisational goals, or promotes and supports government policy objectives and priorities</w:t>
      </w:r>
    </w:p>
    <w:p w14:paraId="0A808809" w14:textId="7A968026" w:rsidR="004B63C2" w:rsidRDefault="004B63C2" w:rsidP="004B63C2">
      <w:pPr>
        <w:numPr>
          <w:ilvl w:val="1"/>
          <w:numId w:val="16"/>
        </w:numPr>
        <w:ind w:left="993" w:hanging="426"/>
      </w:pPr>
      <w:r>
        <w:t>the costs are contained and proportionate to the benefits obtained for commission or the State and would be considered reasonable in terms of community expectations</w:t>
      </w:r>
      <w:r w:rsidR="003417C1">
        <w:t>.</w:t>
      </w:r>
    </w:p>
    <w:p w14:paraId="7FEF6BC0" w14:textId="7AE960E7" w:rsidR="004B63C2" w:rsidRPr="00DF5928" w:rsidRDefault="00F265CC" w:rsidP="2EB18978">
      <w:pPr>
        <w:pStyle w:val="ListParagraph"/>
        <w:numPr>
          <w:ilvl w:val="0"/>
          <w:numId w:val="16"/>
        </w:numPr>
      </w:pPr>
      <w:r>
        <w:t xml:space="preserve">As outlined in the </w:t>
      </w:r>
      <w:r w:rsidR="00785C36">
        <w:t xml:space="preserve">Fraud, Corruption and Other Losses policy and the </w:t>
      </w:r>
      <w:r>
        <w:t xml:space="preserve">Public Interest Disclosures Procedure </w:t>
      </w:r>
      <w:r w:rsidR="004D0AD4">
        <w:t>i</w:t>
      </w:r>
      <w:r w:rsidR="00D76731">
        <w:t xml:space="preserve">ndividuals </w:t>
      </w:r>
      <w:r w:rsidR="004B63C2">
        <w:t xml:space="preserve">are to report any bribes or inducement attempts </w:t>
      </w:r>
      <w:r w:rsidR="00F6301B">
        <w:t>or</w:t>
      </w:r>
      <w:r w:rsidR="004B63C2" w:rsidRPr="00DF5928">
        <w:t xml:space="preserve"> any criminal or corrupt conduct.</w:t>
      </w:r>
    </w:p>
    <w:p w14:paraId="3A36B239" w14:textId="1BCFA964" w:rsidR="00473205" w:rsidRDefault="00275558" w:rsidP="007720C4">
      <w:pPr>
        <w:pStyle w:val="Heading2"/>
      </w:pPr>
      <w:bookmarkStart w:id="2" w:name="_Identification,_assessment,_and"/>
      <w:bookmarkEnd w:id="2"/>
      <w:r>
        <w:t>Identification, assessment, and management of offers</w:t>
      </w:r>
      <w:r w:rsidR="00BC29DB">
        <w:t xml:space="preserve"> received</w:t>
      </w:r>
    </w:p>
    <w:p w14:paraId="05B2C34A" w14:textId="1038B258" w:rsidR="00EC003E" w:rsidRDefault="002B54DF" w:rsidP="004A760B">
      <w:pPr>
        <w:rPr>
          <w:b/>
          <w:bCs/>
        </w:rPr>
      </w:pPr>
      <w:r>
        <w:t>O</w:t>
      </w:r>
      <w:r w:rsidR="00CF2073">
        <w:t xml:space="preserve">ffers are varied and nuanced to the specific context </w:t>
      </w:r>
      <w:r w:rsidR="00390925">
        <w:t>or circumstances</w:t>
      </w:r>
      <w:r w:rsidR="001661B7">
        <w:t xml:space="preserve">. </w:t>
      </w:r>
      <w:r w:rsidR="00CF2073">
        <w:t xml:space="preserve">As a result, there is no ‘one size fits all’ approach and </w:t>
      </w:r>
      <w:r w:rsidR="00B51E86">
        <w:t>individuals</w:t>
      </w:r>
      <w:r w:rsidR="00E81CF2">
        <w:t xml:space="preserve"> </w:t>
      </w:r>
      <w:r w:rsidR="00CF2073">
        <w:t>are required to exercise</w:t>
      </w:r>
      <w:r w:rsidR="008206E6">
        <w:t xml:space="preserve"> critical</w:t>
      </w:r>
      <w:r w:rsidR="00CF2073">
        <w:t xml:space="preserve"> judgement in identifying the type of offer made and ensur</w:t>
      </w:r>
      <w:r w:rsidR="00744BA7">
        <w:t xml:space="preserve">e </w:t>
      </w:r>
      <w:r w:rsidR="00CF2073">
        <w:t xml:space="preserve">that their assessment of the offer aligns with this policy, the </w:t>
      </w:r>
      <w:hyperlink r:id="rId12" w:history="1">
        <w:r w:rsidR="00CF2073" w:rsidRPr="006A427D">
          <w:rPr>
            <w:rStyle w:val="Hyperlink"/>
          </w:rPr>
          <w:t xml:space="preserve">minimum </w:t>
        </w:r>
        <w:r w:rsidR="00FC2251" w:rsidRPr="006A427D">
          <w:rPr>
            <w:rStyle w:val="Hyperlink"/>
          </w:rPr>
          <w:t>accountabilities</w:t>
        </w:r>
      </w:hyperlink>
      <w:r w:rsidR="00FC2251">
        <w:t>,</w:t>
      </w:r>
      <w:r w:rsidR="00CF2073">
        <w:t xml:space="preserve"> and the </w:t>
      </w:r>
      <w:hyperlink w:anchor="_Table_1._Gift" w:history="1">
        <w:r w:rsidR="00CF2073" w:rsidRPr="003C576B">
          <w:rPr>
            <w:rStyle w:val="Hyperlink"/>
          </w:rPr>
          <w:t>GIFT test</w:t>
        </w:r>
        <w:r w:rsidR="00BF306A" w:rsidRPr="003C576B">
          <w:rPr>
            <w:rStyle w:val="Hyperlink"/>
          </w:rPr>
          <w:t>.</w:t>
        </w:r>
      </w:hyperlink>
      <w:r w:rsidR="00CF2073" w:rsidRPr="00BF306A">
        <w:t xml:space="preserve"> </w:t>
      </w:r>
    </w:p>
    <w:p w14:paraId="08F7FC05" w14:textId="04C17802" w:rsidR="00251DF7" w:rsidRPr="004D72E4" w:rsidRDefault="00251DF7" w:rsidP="00251DF7">
      <w:pPr>
        <w:rPr>
          <w:b/>
          <w:bCs/>
        </w:rPr>
      </w:pPr>
      <w:r w:rsidRPr="004D72E4">
        <w:rPr>
          <w:b/>
          <w:bCs/>
        </w:rPr>
        <w:t>We must pro-actively manage stakeholder intentions regarding offers</w:t>
      </w:r>
    </w:p>
    <w:p w14:paraId="2C8BFA0C" w14:textId="04B51649" w:rsidR="00251DF7" w:rsidRPr="004D72E4" w:rsidRDefault="00251DF7" w:rsidP="00251DF7">
      <w:pPr>
        <w:rPr>
          <w:b/>
          <w:bCs/>
        </w:rPr>
      </w:pPr>
      <w:hyperlink r:id="rId13" w:history="1">
        <w:r w:rsidRPr="005D7087">
          <w:rPr>
            <w:rStyle w:val="Hyperlink"/>
          </w:rPr>
          <w:t xml:space="preserve">The Code of Conduct for Directors of </w:t>
        </w:r>
        <w:r w:rsidR="00696AEB">
          <w:rPr>
            <w:rStyle w:val="Hyperlink"/>
          </w:rPr>
          <w:t xml:space="preserve">Victorian </w:t>
        </w:r>
        <w:r w:rsidRPr="005D7087">
          <w:rPr>
            <w:rStyle w:val="Hyperlink"/>
          </w:rPr>
          <w:t>Public Sector Entities</w:t>
        </w:r>
      </w:hyperlink>
      <w:r w:rsidRPr="00CE67B4">
        <w:t xml:space="preserve"> (part 3.6) obligates commissioners to decline gifts or favours that may cast doubt on their ability to apply independent judgement.</w:t>
      </w:r>
      <w:r>
        <w:t xml:space="preserve">  </w:t>
      </w:r>
      <w:r w:rsidR="00B51E86">
        <w:t>Individuals</w:t>
      </w:r>
      <w:r w:rsidRPr="004D72E4">
        <w:t xml:space="preserve"> will actively seek to limit offers being made by:</w:t>
      </w:r>
    </w:p>
    <w:p w14:paraId="11047AF9" w14:textId="10B8DBCE" w:rsidR="00251DF7" w:rsidRPr="004D72E4" w:rsidRDefault="00251DF7" w:rsidP="00251DF7">
      <w:pPr>
        <w:pStyle w:val="ListParagraph"/>
        <w:numPr>
          <w:ilvl w:val="0"/>
          <w:numId w:val="18"/>
        </w:numPr>
        <w:ind w:left="357" w:hanging="357"/>
        <w:contextualSpacing w:val="0"/>
      </w:pPr>
      <w:r w:rsidRPr="004D72E4">
        <w:t>Advising that thanks is enough and pre-empting any potential offers by advising the individual/organisation of the commission</w:t>
      </w:r>
      <w:r w:rsidR="00D070E8">
        <w:t>’</w:t>
      </w:r>
      <w:r w:rsidRPr="004D72E4">
        <w:t>s gifts benefits and hospitality policy.</w:t>
      </w:r>
    </w:p>
    <w:p w14:paraId="73EE6969" w14:textId="77777777" w:rsidR="00251DF7" w:rsidRDefault="00251DF7" w:rsidP="00251DF7">
      <w:pPr>
        <w:pStyle w:val="ListParagraph"/>
        <w:numPr>
          <w:ilvl w:val="0"/>
          <w:numId w:val="18"/>
        </w:numPr>
        <w:ind w:left="357" w:hanging="357"/>
        <w:contextualSpacing w:val="0"/>
      </w:pPr>
      <w:r w:rsidRPr="008006A4">
        <w:t>Where</w:t>
      </w:r>
      <w:r w:rsidRPr="004D72E4">
        <w:t xml:space="preserve"> a gift has been received, advising the offeror of this policy, and returning it to the sender as soon as practicable. </w:t>
      </w:r>
      <w:r>
        <w:t xml:space="preserve">If </w:t>
      </w:r>
      <w:r w:rsidRPr="004D72E4">
        <w:t>returning the gift is considered burdensome, offensive, or impossible, the gift may be accepted,</w:t>
      </w:r>
      <w:r>
        <w:t xml:space="preserve"> and the ownership of the gift then determined by the commission. </w:t>
      </w:r>
    </w:p>
    <w:p w14:paraId="1C4EE1E0" w14:textId="7C1FB010" w:rsidR="00251DF7" w:rsidRDefault="00251DF7" w:rsidP="00251DF7">
      <w:r>
        <w:t xml:space="preserve">Ownership of a </w:t>
      </w:r>
      <w:r w:rsidR="00E133E6">
        <w:t xml:space="preserve">non-token </w:t>
      </w:r>
      <w:r>
        <w:t xml:space="preserve">gift is ultimately decided by the commission and can take the form of retention by the </w:t>
      </w:r>
      <w:r w:rsidR="00B51E86">
        <w:t>individual</w:t>
      </w:r>
      <w:r>
        <w:t xml:space="preserve">, transfer to the </w:t>
      </w:r>
      <w:r w:rsidR="00210724">
        <w:t xml:space="preserve">commission, donation to the </w:t>
      </w:r>
      <w:r>
        <w:t>staff social club</w:t>
      </w:r>
      <w:r w:rsidR="00860432">
        <w:t xml:space="preserve"> or a charity</w:t>
      </w:r>
      <w:r>
        <w:t>, disposal or another suitable alternative</w:t>
      </w:r>
      <w:r w:rsidR="00860432">
        <w:t>.</w:t>
      </w:r>
      <w:r w:rsidRPr="00CC7715">
        <w:t xml:space="preserve"> </w:t>
      </w:r>
    </w:p>
    <w:p w14:paraId="545534AD" w14:textId="1228057B" w:rsidR="004A760B" w:rsidRDefault="004A760B" w:rsidP="004A760B">
      <w:pPr>
        <w:pStyle w:val="Heading3"/>
      </w:pPr>
      <w:r>
        <w:lastRenderedPageBreak/>
        <w:t xml:space="preserve">Identification and assessment – token </w:t>
      </w:r>
      <w:proofErr w:type="gramStart"/>
      <w:r>
        <w:t>offers</w:t>
      </w:r>
      <w:proofErr w:type="gramEnd"/>
    </w:p>
    <w:p w14:paraId="762584AF" w14:textId="77777777" w:rsidR="00421B09" w:rsidRPr="00DF5928" w:rsidRDefault="00421B09" w:rsidP="00421B09">
      <w:pPr>
        <w:pStyle w:val="Pull-out"/>
        <w:rPr>
          <w:b/>
        </w:rPr>
      </w:pPr>
      <w:r>
        <w:rPr>
          <w:b/>
        </w:rPr>
        <w:t>Definition</w:t>
      </w:r>
    </w:p>
    <w:p w14:paraId="186030C7" w14:textId="66B253C4" w:rsidR="00421B09" w:rsidRDefault="00421B09" w:rsidP="00421B09">
      <w:pPr>
        <w:pStyle w:val="Pull-out"/>
      </w:pPr>
      <w:r w:rsidRPr="00DF5928">
        <w:t xml:space="preserve">A token offer is an offer of a gift, benefit or hospitality that is of inconsequential or trivial value to both the person making the offer and the </w:t>
      </w:r>
      <w:r w:rsidR="00B51E86">
        <w:t xml:space="preserve">individual </w:t>
      </w:r>
      <w:r w:rsidRPr="00DF5928">
        <w:t>and could not be perceived as creating a conflict of interest</w:t>
      </w:r>
      <w:r>
        <w:t xml:space="preserve"> or as having the ability to influence an </w:t>
      </w:r>
      <w:r w:rsidR="00B51E86">
        <w:t xml:space="preserve">individual’s </w:t>
      </w:r>
      <w:r>
        <w:t xml:space="preserve">decision-making.  </w:t>
      </w:r>
    </w:p>
    <w:p w14:paraId="3D3BF7DE" w14:textId="59A02DE8" w:rsidR="00421B09" w:rsidRPr="00DF5928" w:rsidRDefault="00421B09" w:rsidP="00421B09">
      <w:pPr>
        <w:pStyle w:val="Pull-out"/>
      </w:pPr>
      <w:r>
        <w:t>The offer cannot exceed $50 in estimated value</w:t>
      </w:r>
      <w:r w:rsidR="00726D06">
        <w:t>.</w:t>
      </w:r>
      <w:r w:rsidR="00626A92">
        <w:t xml:space="preserve"> </w:t>
      </w:r>
    </w:p>
    <w:p w14:paraId="58F080E1" w14:textId="362F5100" w:rsidR="00872576" w:rsidRPr="0059309C" w:rsidRDefault="00D3420A" w:rsidP="00872576">
      <w:pPr>
        <w:pStyle w:val="ListParagraph"/>
        <w:numPr>
          <w:ilvl w:val="0"/>
          <w:numId w:val="0"/>
        </w:numPr>
        <w:contextualSpacing w:val="0"/>
        <w:rPr>
          <w:b/>
          <w:bCs/>
        </w:rPr>
      </w:pPr>
      <w:r>
        <w:rPr>
          <w:b/>
          <w:bCs/>
        </w:rPr>
        <w:t>Where no conflict of interest exists</w:t>
      </w:r>
      <w:r w:rsidR="00390E17">
        <w:rPr>
          <w:b/>
          <w:bCs/>
        </w:rPr>
        <w:t>, the following</w:t>
      </w:r>
      <w:r>
        <w:rPr>
          <w:b/>
          <w:bCs/>
        </w:rPr>
        <w:t xml:space="preserve"> </w:t>
      </w:r>
      <w:r w:rsidR="00872576" w:rsidRPr="0059309C">
        <w:rPr>
          <w:b/>
          <w:bCs/>
        </w:rPr>
        <w:t>token offers may be accepted</w:t>
      </w:r>
      <w:r w:rsidR="00872576">
        <w:rPr>
          <w:b/>
          <w:bCs/>
        </w:rPr>
        <w:t xml:space="preserve"> without a declaration </w:t>
      </w:r>
    </w:p>
    <w:p w14:paraId="029A8857" w14:textId="2A7E824C" w:rsidR="00210F48" w:rsidRDefault="00210F48" w:rsidP="00210F48">
      <w:pPr>
        <w:pStyle w:val="ListParagraph"/>
        <w:numPr>
          <w:ilvl w:val="0"/>
          <w:numId w:val="16"/>
        </w:numPr>
        <w:contextualSpacing w:val="0"/>
      </w:pPr>
      <w:r>
        <w:t>Promotional items such as pens and note pads</w:t>
      </w:r>
      <w:r w:rsidR="00283C9E">
        <w:t>.</w:t>
      </w:r>
    </w:p>
    <w:p w14:paraId="7D6D2F6B" w14:textId="52597161" w:rsidR="00210F48" w:rsidRDefault="00210F48" w:rsidP="00210F48">
      <w:pPr>
        <w:pStyle w:val="ListParagraph"/>
        <w:numPr>
          <w:ilvl w:val="0"/>
          <w:numId w:val="16"/>
        </w:numPr>
        <w:contextualSpacing w:val="0"/>
      </w:pPr>
      <w:r>
        <w:t>A low value gift to thank a conference speaker</w:t>
      </w:r>
      <w:r w:rsidR="00283C9E">
        <w:t>.</w:t>
      </w:r>
    </w:p>
    <w:p w14:paraId="698239E5" w14:textId="11435A0E" w:rsidR="000E5FD8" w:rsidRDefault="00210F48" w:rsidP="000D32F0">
      <w:pPr>
        <w:pStyle w:val="ListParagraph"/>
        <w:numPr>
          <w:ilvl w:val="0"/>
          <w:numId w:val="16"/>
        </w:numPr>
        <w:contextualSpacing w:val="0"/>
      </w:pPr>
      <w:r w:rsidRPr="000921C4">
        <w:t>Modest hospitality such as refreshments offered during a meeting</w:t>
      </w:r>
      <w:r w:rsidR="007E5558">
        <w:t>, seminar</w:t>
      </w:r>
      <w:r w:rsidR="0071396F">
        <w:t xml:space="preserve"> or a</w:t>
      </w:r>
      <w:r w:rsidR="006242CD">
        <w:t xml:space="preserve"> hospitality </w:t>
      </w:r>
      <w:r w:rsidR="0071396F">
        <w:t>event</w:t>
      </w:r>
      <w:r w:rsidR="0087368D">
        <w:t xml:space="preserve">. This includes vendor </w:t>
      </w:r>
      <w:r w:rsidR="001B2231">
        <w:t xml:space="preserve">hosted </w:t>
      </w:r>
      <w:r w:rsidR="0087368D">
        <w:t xml:space="preserve">events </w:t>
      </w:r>
      <w:r w:rsidR="000C29FB">
        <w:t>(e.g., an end of year function)</w:t>
      </w:r>
      <w:r w:rsidR="0087368D">
        <w:t xml:space="preserve"> where </w:t>
      </w:r>
      <w:r w:rsidR="000E5FD8">
        <w:t xml:space="preserve">there is benefit to the commission </w:t>
      </w:r>
      <w:r w:rsidR="000D32F0">
        <w:t xml:space="preserve">to attend </w:t>
      </w:r>
      <w:r w:rsidR="000E5FD8">
        <w:t>in terms of stakeholder management.</w:t>
      </w:r>
    </w:p>
    <w:p w14:paraId="6A875759" w14:textId="669361D9" w:rsidR="00210F48" w:rsidRPr="000921C4" w:rsidRDefault="00936181" w:rsidP="00210F48">
      <w:pPr>
        <w:pStyle w:val="ListParagraph"/>
        <w:numPr>
          <w:ilvl w:val="0"/>
          <w:numId w:val="16"/>
        </w:numPr>
        <w:contextualSpacing w:val="0"/>
      </w:pPr>
      <w:r>
        <w:t>Confecti</w:t>
      </w:r>
      <w:r w:rsidR="00EF4B3E">
        <w:t>onary and b</w:t>
      </w:r>
      <w:r w:rsidR="00210F48" w:rsidRPr="000921C4">
        <w:t>ottled alcoholic beverages which are sometimes customary gifts at year-end</w:t>
      </w:r>
      <w:r w:rsidR="00842970" w:rsidRPr="000921C4">
        <w:rPr>
          <w:rStyle w:val="FootnoteReference"/>
        </w:rPr>
        <w:footnoteReference w:id="4"/>
      </w:r>
      <w:r w:rsidR="00E5519F" w:rsidRPr="000921C4">
        <w:t xml:space="preserve"> </w:t>
      </w:r>
      <w:r w:rsidR="004546A1" w:rsidRPr="00D13DA4">
        <w:t xml:space="preserve">provided that </w:t>
      </w:r>
      <w:r w:rsidR="00F50408" w:rsidRPr="00D13DA4">
        <w:t>the offer meets t</w:t>
      </w:r>
      <w:r w:rsidR="00AA2E79" w:rsidRPr="00D13DA4">
        <w:t xml:space="preserve">he </w:t>
      </w:r>
      <w:hyperlink w:anchor="_Policy_principles" w:history="1">
        <w:r w:rsidR="001E2102" w:rsidRPr="00D76731">
          <w:rPr>
            <w:rStyle w:val="Hyperlink"/>
          </w:rPr>
          <w:t xml:space="preserve">policy </w:t>
        </w:r>
        <w:r w:rsidR="00D13DA4" w:rsidRPr="00D76731">
          <w:rPr>
            <w:rStyle w:val="Hyperlink"/>
          </w:rPr>
          <w:t>principles</w:t>
        </w:r>
      </w:hyperlink>
      <w:r w:rsidR="00D13DA4" w:rsidRPr="00D13DA4">
        <w:t>,</w:t>
      </w:r>
      <w:r w:rsidR="001E2102" w:rsidRPr="00D13DA4">
        <w:t xml:space="preserve"> </w:t>
      </w:r>
      <w:r w:rsidR="00F31CEE" w:rsidRPr="000921C4">
        <w:t xml:space="preserve">and it is not </w:t>
      </w:r>
      <w:r w:rsidR="00506BB2" w:rsidRPr="000921C4">
        <w:t xml:space="preserve">a repeated offer.  </w:t>
      </w:r>
      <w:r w:rsidR="0009476F" w:rsidRPr="000921C4">
        <w:t xml:space="preserve"> </w:t>
      </w:r>
    </w:p>
    <w:p w14:paraId="0E57B284" w14:textId="77777777" w:rsidR="00570233" w:rsidRDefault="00210F48" w:rsidP="00BA03E0">
      <w:pPr>
        <w:rPr>
          <w:bCs/>
        </w:rPr>
      </w:pPr>
      <w:r w:rsidRPr="006E7425">
        <w:rPr>
          <w:bCs/>
        </w:rPr>
        <w:t>Free training course, seminar or other educational activity that is under 1 hour in length</w:t>
      </w:r>
      <w:r w:rsidR="006A2766" w:rsidRPr="006E7425">
        <w:rPr>
          <w:bCs/>
        </w:rPr>
        <w:t xml:space="preserve"> or provided as part of contractual arrangements with the commission</w:t>
      </w:r>
      <w:r w:rsidRPr="006E7425">
        <w:rPr>
          <w:bCs/>
        </w:rPr>
        <w:t>. The training should be relevant to an</w:t>
      </w:r>
      <w:r w:rsidR="00B51E86" w:rsidRPr="006E7425">
        <w:rPr>
          <w:bCs/>
        </w:rPr>
        <w:t xml:space="preserve"> </w:t>
      </w:r>
      <w:r w:rsidR="00B51E86">
        <w:t>individual’s</w:t>
      </w:r>
      <w:r w:rsidRPr="006E7425">
        <w:rPr>
          <w:bCs/>
        </w:rPr>
        <w:t xml:space="preserve"> assigned duties or professional discipline and not incur additional costs (e.g., travel etc) to the commission. </w:t>
      </w:r>
    </w:p>
    <w:p w14:paraId="210D958F" w14:textId="5ECD8AEE" w:rsidR="001B723A" w:rsidRPr="00BA03E0" w:rsidRDefault="004173EE" w:rsidP="00BA03E0">
      <w:pPr>
        <w:rPr>
          <w:b/>
        </w:rPr>
      </w:pPr>
      <w:r w:rsidRPr="00BA03E0">
        <w:rPr>
          <w:b/>
        </w:rPr>
        <w:t xml:space="preserve">Repeated </w:t>
      </w:r>
      <w:r w:rsidR="001B723A" w:rsidRPr="00BA03E0">
        <w:rPr>
          <w:b/>
        </w:rPr>
        <w:t xml:space="preserve">offers.  </w:t>
      </w:r>
    </w:p>
    <w:p w14:paraId="212F6472" w14:textId="209508D8" w:rsidR="001B723A" w:rsidRDefault="001B723A" w:rsidP="00BA03E0">
      <w:pPr>
        <w:rPr>
          <w:bCs/>
        </w:rPr>
      </w:pPr>
      <w:r>
        <w:rPr>
          <w:bCs/>
        </w:rPr>
        <w:t xml:space="preserve">If token offers are made often by the same person or organisation, the cumulative value of the offers, or the perception that they may influence the recipient </w:t>
      </w:r>
      <w:r w:rsidR="00FC3E18">
        <w:rPr>
          <w:bCs/>
        </w:rPr>
        <w:t xml:space="preserve">must </w:t>
      </w:r>
      <w:r>
        <w:rPr>
          <w:bCs/>
        </w:rPr>
        <w:t>be considered and the offers reported</w:t>
      </w:r>
      <w:r w:rsidR="004E1C01">
        <w:rPr>
          <w:bCs/>
        </w:rPr>
        <w:t>.</w:t>
      </w:r>
    </w:p>
    <w:p w14:paraId="13B83078" w14:textId="77777777" w:rsidR="00DB26AE" w:rsidRDefault="00DB26AE" w:rsidP="00BA03E0">
      <w:pPr>
        <w:rPr>
          <w:bCs/>
        </w:rPr>
      </w:pPr>
    </w:p>
    <w:p w14:paraId="49904EF8" w14:textId="77777777" w:rsidR="00DB26AE" w:rsidRDefault="00DB26AE" w:rsidP="00BA03E0">
      <w:pPr>
        <w:rPr>
          <w:bCs/>
        </w:rPr>
      </w:pPr>
    </w:p>
    <w:p w14:paraId="3272E8B2" w14:textId="71C2A9D2" w:rsidR="00210F48" w:rsidRDefault="001B723A" w:rsidP="001B723A">
      <w:pPr>
        <w:pStyle w:val="Heading3"/>
      </w:pPr>
      <w:r>
        <w:lastRenderedPageBreak/>
        <w:t>Identif</w:t>
      </w:r>
      <w:r w:rsidR="0067694A">
        <w:t xml:space="preserve">ication and assessment – non-token </w:t>
      </w:r>
      <w:proofErr w:type="gramStart"/>
      <w:r w:rsidR="0067694A">
        <w:t>offers</w:t>
      </w:r>
      <w:proofErr w:type="gramEnd"/>
    </w:p>
    <w:p w14:paraId="1DD3500E" w14:textId="77777777" w:rsidR="00CB4144" w:rsidRDefault="00CB4144" w:rsidP="00CB4144">
      <w:pPr>
        <w:pStyle w:val="Pull-out"/>
        <w:rPr>
          <w:b/>
        </w:rPr>
      </w:pPr>
      <w:r>
        <w:rPr>
          <w:b/>
        </w:rPr>
        <w:t>Definition</w:t>
      </w:r>
    </w:p>
    <w:p w14:paraId="4EB2F36A" w14:textId="562C0868" w:rsidR="00CB4144" w:rsidRDefault="00CB4144" w:rsidP="00CB4144">
      <w:pPr>
        <w:pStyle w:val="Pull-out"/>
        <w:rPr>
          <w:bCs/>
        </w:rPr>
      </w:pPr>
      <w:r>
        <w:rPr>
          <w:bCs/>
        </w:rPr>
        <w:t>An offer of a gift, benefit or hospitality that is, or may be perceived to be by the recipient, the person making the offer or by the wider community of more than inconsequential value</w:t>
      </w:r>
      <w:r w:rsidR="009A1462">
        <w:rPr>
          <w:bCs/>
        </w:rPr>
        <w:t xml:space="preserve"> (all offers worth more than $50) </w:t>
      </w:r>
      <w:r w:rsidR="00BB448B">
        <w:rPr>
          <w:bCs/>
        </w:rPr>
        <w:t xml:space="preserve">and where </w:t>
      </w:r>
      <w:r w:rsidR="00821CD5">
        <w:rPr>
          <w:bCs/>
        </w:rPr>
        <w:t xml:space="preserve">it could be perceived that the offer </w:t>
      </w:r>
      <w:r w:rsidR="00BB448B">
        <w:rPr>
          <w:bCs/>
        </w:rPr>
        <w:t>could influence an</w:t>
      </w:r>
      <w:r w:rsidR="00770F81">
        <w:rPr>
          <w:bCs/>
        </w:rPr>
        <w:t xml:space="preserve"> </w:t>
      </w:r>
      <w:r w:rsidR="00B51E86">
        <w:t>individual</w:t>
      </w:r>
      <w:r w:rsidR="00BB448B">
        <w:rPr>
          <w:bCs/>
        </w:rPr>
        <w:t xml:space="preserve"> in the course of their </w:t>
      </w:r>
      <w:r w:rsidR="00121D19">
        <w:rPr>
          <w:bCs/>
        </w:rPr>
        <w:t>duties.</w:t>
      </w:r>
      <w:r w:rsidR="00DE558F">
        <w:rPr>
          <w:bCs/>
        </w:rPr>
        <w:t xml:space="preserve"> </w:t>
      </w:r>
    </w:p>
    <w:p w14:paraId="5942929A" w14:textId="0AF0B370" w:rsidR="00774B2D" w:rsidRPr="00A51A42" w:rsidRDefault="00774B2D" w:rsidP="00774B2D">
      <w:pPr>
        <w:rPr>
          <w:b/>
          <w:bCs/>
        </w:rPr>
      </w:pPr>
      <w:r w:rsidRPr="00A51A42">
        <w:rPr>
          <w:b/>
          <w:bCs/>
        </w:rPr>
        <w:t>Examples of non-token offers that must be dec</w:t>
      </w:r>
      <w:r w:rsidR="000C40AE">
        <w:rPr>
          <w:b/>
          <w:bCs/>
        </w:rPr>
        <w:t xml:space="preserve">lared </w:t>
      </w:r>
      <w:r w:rsidRPr="00A51A42">
        <w:rPr>
          <w:b/>
          <w:bCs/>
        </w:rPr>
        <w:t>and dec</w:t>
      </w:r>
      <w:r w:rsidR="000C40AE">
        <w:rPr>
          <w:b/>
          <w:bCs/>
        </w:rPr>
        <w:t>lined</w:t>
      </w:r>
      <w:r w:rsidR="005745C1">
        <w:rPr>
          <w:b/>
          <w:bCs/>
        </w:rPr>
        <w:t>:</w:t>
      </w:r>
    </w:p>
    <w:p w14:paraId="69FF02B9" w14:textId="3A1D7496" w:rsidR="00774B2D" w:rsidRDefault="00774B2D" w:rsidP="00774B2D">
      <w:pPr>
        <w:pStyle w:val="ListParagraph"/>
        <w:numPr>
          <w:ilvl w:val="0"/>
          <w:numId w:val="18"/>
        </w:numPr>
        <w:ind w:left="357" w:hanging="357"/>
        <w:contextualSpacing w:val="0"/>
      </w:pPr>
      <w:r w:rsidRPr="00DF5928">
        <w:t>offer of a Christmas hamper</w:t>
      </w:r>
    </w:p>
    <w:p w14:paraId="771858CF" w14:textId="72119FE7" w:rsidR="00774B2D" w:rsidRDefault="00774B2D" w:rsidP="00774B2D">
      <w:pPr>
        <w:pStyle w:val="ListParagraph"/>
        <w:numPr>
          <w:ilvl w:val="0"/>
          <w:numId w:val="18"/>
        </w:numPr>
        <w:ind w:left="357" w:hanging="357"/>
        <w:contextualSpacing w:val="0"/>
      </w:pPr>
      <w:r w:rsidRPr="00DF5928">
        <w:t xml:space="preserve">lucky door prize at </w:t>
      </w:r>
      <w:r>
        <w:t>events sponsored by a regulated entity or supplier</w:t>
      </w:r>
    </w:p>
    <w:p w14:paraId="7C13E2B9" w14:textId="25C9CCE4" w:rsidR="00774B2D" w:rsidRDefault="00774B2D" w:rsidP="00774B2D">
      <w:pPr>
        <w:pStyle w:val="ListParagraph"/>
        <w:numPr>
          <w:ilvl w:val="0"/>
          <w:numId w:val="18"/>
        </w:numPr>
        <w:ind w:left="357" w:hanging="357"/>
        <w:contextualSpacing w:val="0"/>
      </w:pPr>
      <w:r w:rsidRPr="00DF5928">
        <w:t>promise of a new job</w:t>
      </w:r>
      <w:r w:rsidR="0002779B">
        <w:t xml:space="preserve"> by an existing </w:t>
      </w:r>
      <w:r w:rsidR="000407C9">
        <w:t xml:space="preserve">or prospective vendor or an organisation associated with the </w:t>
      </w:r>
      <w:r w:rsidR="007670DA">
        <w:t>commission</w:t>
      </w:r>
    </w:p>
    <w:p w14:paraId="21EDD835" w14:textId="2AF47085" w:rsidR="00774B2D" w:rsidRDefault="00774B2D" w:rsidP="00774B2D">
      <w:pPr>
        <w:pStyle w:val="ListParagraph"/>
        <w:numPr>
          <w:ilvl w:val="0"/>
          <w:numId w:val="18"/>
        </w:numPr>
        <w:ind w:left="357" w:hanging="357"/>
        <w:contextualSpacing w:val="0"/>
      </w:pPr>
      <w:r w:rsidRPr="00DF5928">
        <w:t xml:space="preserve">attendance at a sporting event </w:t>
      </w:r>
    </w:p>
    <w:p w14:paraId="4B5CD236" w14:textId="05591279" w:rsidR="005745C1" w:rsidRPr="00C97E19" w:rsidRDefault="00774B2D" w:rsidP="00C97E19">
      <w:pPr>
        <w:pStyle w:val="ListParagraph"/>
        <w:keepNext/>
        <w:numPr>
          <w:ilvl w:val="0"/>
          <w:numId w:val="18"/>
        </w:numPr>
        <w:ind w:left="357" w:hanging="357"/>
        <w:contextualSpacing w:val="0"/>
        <w:rPr>
          <w:b/>
        </w:rPr>
      </w:pPr>
      <w:r w:rsidRPr="00DF5928">
        <w:t>fine dining at a working lunch</w:t>
      </w:r>
      <w:r>
        <w:t xml:space="preserve"> or business function</w:t>
      </w:r>
      <w:r w:rsidRPr="00DF5928">
        <w:t>.</w:t>
      </w:r>
    </w:p>
    <w:p w14:paraId="2C1794C3" w14:textId="4A8AE521" w:rsidR="00371681" w:rsidRPr="007669F5" w:rsidRDefault="00371681" w:rsidP="007669F5">
      <w:pPr>
        <w:keepNext/>
        <w:rPr>
          <w:b/>
        </w:rPr>
      </w:pPr>
      <w:r w:rsidRPr="007669F5">
        <w:rPr>
          <w:b/>
        </w:rPr>
        <w:t>Non-token offers that must be declared and may be accepted in limited situations</w:t>
      </w:r>
    </w:p>
    <w:p w14:paraId="0C92E7A5" w14:textId="76AF5221" w:rsidR="00A95F0C" w:rsidRPr="00206A80" w:rsidRDefault="00371681" w:rsidP="00A95F0C">
      <w:r w:rsidRPr="00206A80">
        <w:rPr>
          <w:bCs/>
        </w:rPr>
        <w:t xml:space="preserve">There will be some situations where there is a legitimate business reason for accepting a non-token offer.  </w:t>
      </w:r>
      <w:r w:rsidR="00DD55A4" w:rsidRPr="00206A80">
        <w:rPr>
          <w:bCs/>
        </w:rPr>
        <w:t xml:space="preserve">In </w:t>
      </w:r>
      <w:r w:rsidR="00B762CE" w:rsidRPr="00206A80">
        <w:rPr>
          <w:bCs/>
        </w:rPr>
        <w:t>the instance</w:t>
      </w:r>
      <w:r w:rsidR="0046383E">
        <w:rPr>
          <w:bCs/>
        </w:rPr>
        <w:t xml:space="preserve"> of hospitality or a planned event,</w:t>
      </w:r>
      <w:r w:rsidR="003A2B61" w:rsidRPr="00206A80">
        <w:rPr>
          <w:bCs/>
        </w:rPr>
        <w:t xml:space="preserve"> </w:t>
      </w:r>
      <w:r w:rsidR="00166625" w:rsidRPr="00206A80">
        <w:rPr>
          <w:bCs/>
        </w:rPr>
        <w:t>c</w:t>
      </w:r>
      <w:r w:rsidR="00F379AD" w:rsidRPr="00206A80">
        <w:rPr>
          <w:bCs/>
        </w:rPr>
        <w:t>onsideration</w:t>
      </w:r>
      <w:r w:rsidR="00357D80" w:rsidRPr="00206A80">
        <w:rPr>
          <w:bCs/>
        </w:rPr>
        <w:t xml:space="preserve"> must be</w:t>
      </w:r>
      <w:r w:rsidR="00F379AD" w:rsidRPr="00206A80">
        <w:rPr>
          <w:bCs/>
        </w:rPr>
        <w:t xml:space="preserve"> given to if the commission will </w:t>
      </w:r>
      <w:r w:rsidR="00B0125F" w:rsidRPr="00206A80">
        <w:rPr>
          <w:bCs/>
        </w:rPr>
        <w:t xml:space="preserve">already be sufficiently </w:t>
      </w:r>
      <w:r w:rsidR="00185B07" w:rsidRPr="00206A80">
        <w:rPr>
          <w:bCs/>
        </w:rPr>
        <w:t>re</w:t>
      </w:r>
      <w:r w:rsidR="00B0125F" w:rsidRPr="00206A80">
        <w:rPr>
          <w:bCs/>
        </w:rPr>
        <w:t>presented</w:t>
      </w:r>
      <w:r w:rsidR="00185B07" w:rsidRPr="00206A80">
        <w:rPr>
          <w:bCs/>
        </w:rPr>
        <w:t xml:space="preserve"> to meet business needs</w:t>
      </w:r>
      <w:r w:rsidR="00357D80" w:rsidRPr="00206A80">
        <w:rPr>
          <w:bCs/>
        </w:rPr>
        <w:t xml:space="preserve"> before </w:t>
      </w:r>
      <w:r w:rsidR="001C6F3F" w:rsidRPr="00206A80">
        <w:rPr>
          <w:bCs/>
        </w:rPr>
        <w:t xml:space="preserve">approval is sought.  </w:t>
      </w:r>
      <w:r w:rsidR="00B7397F" w:rsidRPr="00851261">
        <w:rPr>
          <w:bCs/>
        </w:rPr>
        <w:t xml:space="preserve">Refer to </w:t>
      </w:r>
      <w:r w:rsidR="00AF5987" w:rsidRPr="00851261">
        <w:rPr>
          <w:bCs/>
        </w:rPr>
        <w:t xml:space="preserve">the </w:t>
      </w:r>
      <w:hyperlink w:anchor="_Approval_and_governance" w:history="1">
        <w:r w:rsidR="00125380" w:rsidRPr="00851261">
          <w:rPr>
            <w:rStyle w:val="Hyperlink"/>
            <w:bCs/>
          </w:rPr>
          <w:t xml:space="preserve">approval and </w:t>
        </w:r>
        <w:r w:rsidR="0094372D" w:rsidRPr="00851261">
          <w:rPr>
            <w:rStyle w:val="Hyperlink"/>
            <w:bCs/>
          </w:rPr>
          <w:t>governance</w:t>
        </w:r>
        <w:r w:rsidR="00125380" w:rsidRPr="00851261">
          <w:rPr>
            <w:rStyle w:val="Hyperlink"/>
            <w:bCs/>
          </w:rPr>
          <w:t xml:space="preserve"> of </w:t>
        </w:r>
        <w:r w:rsidR="0094372D" w:rsidRPr="00851261">
          <w:rPr>
            <w:rStyle w:val="Hyperlink"/>
            <w:bCs/>
          </w:rPr>
          <w:t xml:space="preserve">declared </w:t>
        </w:r>
        <w:r w:rsidR="00AF5987" w:rsidRPr="00851261">
          <w:rPr>
            <w:rStyle w:val="Hyperlink"/>
            <w:bCs/>
          </w:rPr>
          <w:t>offers</w:t>
        </w:r>
      </w:hyperlink>
      <w:r w:rsidR="00AF5987" w:rsidRPr="00851261">
        <w:rPr>
          <w:bCs/>
        </w:rPr>
        <w:t xml:space="preserve"> section for more information</w:t>
      </w:r>
      <w:r w:rsidR="00125380" w:rsidRPr="00851261">
        <w:rPr>
          <w:bCs/>
        </w:rPr>
        <w:t>.</w:t>
      </w:r>
      <w:r w:rsidR="00AF5987" w:rsidRPr="00206A80">
        <w:rPr>
          <w:bCs/>
        </w:rPr>
        <w:t xml:space="preserve"> </w:t>
      </w:r>
    </w:p>
    <w:p w14:paraId="1FB2DA34" w14:textId="00835EEE" w:rsidR="00371681" w:rsidRDefault="00371681" w:rsidP="00371681">
      <w:pPr>
        <w:keepNext/>
        <w:rPr>
          <w:bCs/>
        </w:rPr>
      </w:pPr>
      <w:r>
        <w:rPr>
          <w:bCs/>
        </w:rPr>
        <w:t xml:space="preserve">Examples </w:t>
      </w:r>
      <w:r w:rsidR="001208CE">
        <w:rPr>
          <w:bCs/>
        </w:rPr>
        <w:t xml:space="preserve">of </w:t>
      </w:r>
      <w:r w:rsidR="0048244D">
        <w:rPr>
          <w:bCs/>
        </w:rPr>
        <w:t xml:space="preserve">non-token offers that may be accepted </w:t>
      </w:r>
      <w:r>
        <w:rPr>
          <w:bCs/>
        </w:rPr>
        <w:t>include:</w:t>
      </w:r>
    </w:p>
    <w:p w14:paraId="2B69BCCE" w14:textId="77777777" w:rsidR="00371681" w:rsidRDefault="00371681" w:rsidP="00371681">
      <w:pPr>
        <w:pStyle w:val="ListParagraph"/>
        <w:numPr>
          <w:ilvl w:val="0"/>
          <w:numId w:val="18"/>
        </w:numPr>
        <w:ind w:left="357" w:hanging="357"/>
        <w:contextualSpacing w:val="0"/>
      </w:pPr>
      <w:r w:rsidRPr="0061705D">
        <w:rPr>
          <w:b/>
          <w:bCs/>
        </w:rPr>
        <w:t>Ceremonial gifts</w:t>
      </w:r>
      <w:r w:rsidRPr="00DF5928">
        <w:t xml:space="preserve"> offered by visiting delegations may be accepted</w:t>
      </w:r>
      <w:r>
        <w:t xml:space="preserve"> and become the property of the commission.</w:t>
      </w:r>
    </w:p>
    <w:p w14:paraId="127D025B" w14:textId="640EA1F6" w:rsidR="00371681" w:rsidRPr="00DF5928" w:rsidRDefault="00371681" w:rsidP="00B36142">
      <w:pPr>
        <w:pStyle w:val="ListParagraph"/>
        <w:numPr>
          <w:ilvl w:val="0"/>
          <w:numId w:val="18"/>
        </w:numPr>
        <w:ind w:left="357" w:hanging="357"/>
        <w:contextualSpacing w:val="0"/>
      </w:pPr>
      <w:bookmarkStart w:id="3" w:name="_Hlk58494480"/>
      <w:r w:rsidRPr="0061705D">
        <w:rPr>
          <w:b/>
          <w:bCs/>
        </w:rPr>
        <w:t>Professional development</w:t>
      </w:r>
      <w:r w:rsidRPr="00DF5928">
        <w:t xml:space="preserve"> provided free of charge by firms on the </w:t>
      </w:r>
      <w:r>
        <w:t xml:space="preserve">government </w:t>
      </w:r>
      <w:r w:rsidRPr="00DF5928">
        <w:t>legal services panel</w:t>
      </w:r>
      <w:r>
        <w:t xml:space="preserve">. This is consistent with a requirement that these legal firms provide free professional development as a condition of panel membership. </w:t>
      </w:r>
      <w:r w:rsidRPr="00DF5928">
        <w:t>Free professional development offered by other organisations should be considered as with any offer of gift, benefit or hospitality and may be accepted if it meets the policy requirements</w:t>
      </w:r>
      <w:bookmarkEnd w:id="3"/>
      <w:r w:rsidR="006756C6">
        <w:t>.</w:t>
      </w:r>
    </w:p>
    <w:p w14:paraId="60D01687" w14:textId="77777777" w:rsidR="00371681" w:rsidRPr="00020FEB" w:rsidRDefault="00371681" w:rsidP="00B36142">
      <w:pPr>
        <w:pStyle w:val="ListParagraph"/>
        <w:keepNext/>
        <w:numPr>
          <w:ilvl w:val="0"/>
          <w:numId w:val="18"/>
        </w:numPr>
        <w:ind w:left="357" w:hanging="357"/>
        <w:contextualSpacing w:val="0"/>
      </w:pPr>
      <w:r w:rsidRPr="007B1CE5">
        <w:rPr>
          <w:b/>
        </w:rPr>
        <w:t>Free training course, seminar or other educational activity that is over 1 hour in length</w:t>
      </w:r>
    </w:p>
    <w:p w14:paraId="22D8101C" w14:textId="32CE8CF2" w:rsidR="0067694A" w:rsidRDefault="00B51E86" w:rsidP="00B36142">
      <w:pPr>
        <w:ind w:left="357"/>
        <w:rPr>
          <w:bCs/>
        </w:rPr>
      </w:pPr>
      <w:r>
        <w:t xml:space="preserve">Individual </w:t>
      </w:r>
      <w:r w:rsidR="00371681">
        <w:rPr>
          <w:bCs/>
        </w:rPr>
        <w:t xml:space="preserve">may be offered complimentary attendance at a training or professional development opportunity. This includes from current suppliers. </w:t>
      </w:r>
      <w:proofErr w:type="gramStart"/>
      <w:r w:rsidR="00371681">
        <w:rPr>
          <w:bCs/>
        </w:rPr>
        <w:t>In order to</w:t>
      </w:r>
      <w:proofErr w:type="gramEnd"/>
      <w:r w:rsidR="00371681">
        <w:rPr>
          <w:bCs/>
        </w:rPr>
        <w:t xml:space="preserve"> meet reasonable community</w:t>
      </w:r>
      <w:r w:rsidR="002635DF">
        <w:rPr>
          <w:bCs/>
        </w:rPr>
        <w:t xml:space="preserve"> expectations, any free training opportunity must be assessed by the </w:t>
      </w:r>
      <w:r>
        <w:rPr>
          <w:bCs/>
        </w:rPr>
        <w:t>i</w:t>
      </w:r>
      <w:r>
        <w:t xml:space="preserve">ndividual’s </w:t>
      </w:r>
      <w:r w:rsidR="002635DF">
        <w:rPr>
          <w:bCs/>
        </w:rPr>
        <w:t>manager prior to attendance and meet the following criteria:</w:t>
      </w:r>
    </w:p>
    <w:p w14:paraId="70A1204A" w14:textId="65F5FB54" w:rsidR="005561C6" w:rsidRPr="00FF4363" w:rsidRDefault="005561C6" w:rsidP="00FF4363">
      <w:pPr>
        <w:pStyle w:val="ListParagraph"/>
        <w:numPr>
          <w:ilvl w:val="1"/>
          <w:numId w:val="18"/>
        </w:numPr>
        <w:contextualSpacing w:val="0"/>
      </w:pPr>
      <w:r w:rsidRPr="00FF4363">
        <w:lastRenderedPageBreak/>
        <w:t xml:space="preserve">It is relevant to the </w:t>
      </w:r>
      <w:r w:rsidR="00B51E86">
        <w:t xml:space="preserve">individual’s </w:t>
      </w:r>
      <w:r w:rsidRPr="00FF4363">
        <w:t>assigned duties or professional discipline</w:t>
      </w:r>
      <w:r w:rsidR="00FF4363" w:rsidRPr="00FF4363">
        <w:t>.</w:t>
      </w:r>
    </w:p>
    <w:p w14:paraId="7060BD74" w14:textId="69477D43" w:rsidR="005561C6" w:rsidRPr="00FF4363" w:rsidRDefault="005561C6" w:rsidP="00FF4363">
      <w:pPr>
        <w:pStyle w:val="ListParagraph"/>
        <w:numPr>
          <w:ilvl w:val="1"/>
          <w:numId w:val="18"/>
        </w:numPr>
        <w:contextualSpacing w:val="0"/>
      </w:pPr>
      <w:r w:rsidRPr="00FF4363">
        <w:t xml:space="preserve">It is not provided solely to commission </w:t>
      </w:r>
      <w:r w:rsidR="00B51E86">
        <w:t>individuals</w:t>
      </w:r>
      <w:r w:rsidRPr="00FF4363">
        <w:t xml:space="preserve"> unless the training is provided as part of contractual arrangements with the commission</w:t>
      </w:r>
      <w:r w:rsidR="00FF4363" w:rsidRPr="00FF4363">
        <w:t>.</w:t>
      </w:r>
    </w:p>
    <w:p w14:paraId="4A50EDAC" w14:textId="72400DA9" w:rsidR="005561C6" w:rsidRPr="00FF4363" w:rsidRDefault="005561C6" w:rsidP="00FF4363">
      <w:pPr>
        <w:pStyle w:val="ListParagraph"/>
        <w:numPr>
          <w:ilvl w:val="1"/>
          <w:numId w:val="18"/>
        </w:numPr>
        <w:contextualSpacing w:val="0"/>
      </w:pPr>
      <w:r w:rsidRPr="00FF4363">
        <w:t>It only includes modest hospitality such as a light breakfast or sandwich lunch</w:t>
      </w:r>
      <w:r w:rsidR="00FF4363" w:rsidRPr="00FF4363">
        <w:t>.</w:t>
      </w:r>
    </w:p>
    <w:p w14:paraId="1DBAB3EE" w14:textId="1E58EDF4" w:rsidR="005561C6" w:rsidRPr="00FF4363" w:rsidRDefault="005561C6" w:rsidP="00FF4363">
      <w:pPr>
        <w:pStyle w:val="ListParagraph"/>
        <w:numPr>
          <w:ilvl w:val="1"/>
          <w:numId w:val="18"/>
        </w:numPr>
        <w:contextualSpacing w:val="0"/>
      </w:pPr>
      <w:r w:rsidRPr="00FF4363">
        <w:t>The provider is not an individual or entity involved in a current procurement process</w:t>
      </w:r>
      <w:r w:rsidR="00FF4363" w:rsidRPr="00FF4363">
        <w:t>.</w:t>
      </w:r>
    </w:p>
    <w:p w14:paraId="1E958023" w14:textId="77777777" w:rsidR="005561C6" w:rsidRPr="00FF4363" w:rsidRDefault="005561C6" w:rsidP="00FF4363">
      <w:pPr>
        <w:pStyle w:val="ListParagraph"/>
        <w:numPr>
          <w:ilvl w:val="1"/>
          <w:numId w:val="18"/>
        </w:numPr>
        <w:contextualSpacing w:val="0"/>
      </w:pPr>
      <w:r w:rsidRPr="00FF4363">
        <w:t xml:space="preserve">No additional costs to the commission are required e.g., it does not include travel, accommodation or non-modest entertainment or other benefits. </w:t>
      </w:r>
    </w:p>
    <w:p w14:paraId="0E1FF5E4" w14:textId="77777777" w:rsidR="007C6569" w:rsidRPr="00BC25F4" w:rsidRDefault="007C6569" w:rsidP="007C6569">
      <w:pPr>
        <w:pStyle w:val="ListParagraph"/>
        <w:numPr>
          <w:ilvl w:val="0"/>
          <w:numId w:val="18"/>
        </w:numPr>
        <w:ind w:left="357" w:hanging="357"/>
        <w:contextualSpacing w:val="0"/>
      </w:pPr>
      <w:r w:rsidRPr="0061705D">
        <w:rPr>
          <w:b/>
          <w:bCs/>
        </w:rPr>
        <w:t>Hospitality</w:t>
      </w:r>
      <w:r w:rsidRPr="001635C3">
        <w:t xml:space="preserve"> offered prior to, at </w:t>
      </w:r>
      <w:r>
        <w:t xml:space="preserve">or after </w:t>
      </w:r>
      <w:r w:rsidRPr="001635C3">
        <w:t xml:space="preserve">a board meeting of a regulated entity which has been deemed appropriate stakeholder management activity. </w:t>
      </w:r>
    </w:p>
    <w:p w14:paraId="7B28E359" w14:textId="18A59661" w:rsidR="007C6569" w:rsidRPr="009E45BE" w:rsidRDefault="007C6569" w:rsidP="007C6569">
      <w:pPr>
        <w:pStyle w:val="ListParagraph"/>
        <w:numPr>
          <w:ilvl w:val="0"/>
          <w:numId w:val="18"/>
        </w:numPr>
        <w:ind w:left="357" w:hanging="357"/>
        <w:contextualSpacing w:val="0"/>
      </w:pPr>
      <w:r w:rsidRPr="0061705D">
        <w:rPr>
          <w:b/>
          <w:bCs/>
        </w:rPr>
        <w:t>Hospitality offered by Victorian public sector organisations</w:t>
      </w:r>
      <w:r w:rsidRPr="00DF5928">
        <w:t xml:space="preserve"> (other than businesses we regulate) where it is offered as part of official business and where the reason for attendance is </w:t>
      </w:r>
      <w:r w:rsidRPr="009E45BE">
        <w:t>consistent with the organisation’s functions and objectives, and within the</w:t>
      </w:r>
      <w:r w:rsidR="000B300A">
        <w:t xml:space="preserve"> </w:t>
      </w:r>
      <w:r w:rsidR="00B51E86">
        <w:t xml:space="preserve">individual’s </w:t>
      </w:r>
      <w:r w:rsidRPr="009E45BE">
        <w:t xml:space="preserve">role. </w:t>
      </w:r>
    </w:p>
    <w:p w14:paraId="6AA6BE06" w14:textId="4F20802A" w:rsidR="007C6569" w:rsidRPr="009E45BE" w:rsidRDefault="007C6569" w:rsidP="007C6569">
      <w:pPr>
        <w:pStyle w:val="ListParagraph"/>
        <w:numPr>
          <w:ilvl w:val="0"/>
          <w:numId w:val="18"/>
        </w:numPr>
        <w:ind w:left="357" w:hanging="357"/>
        <w:contextualSpacing w:val="0"/>
      </w:pPr>
      <w:r w:rsidRPr="009E45BE">
        <w:rPr>
          <w:b/>
          <w:bCs/>
        </w:rPr>
        <w:t xml:space="preserve">Hospitality offered via networks and stakeholders. </w:t>
      </w:r>
      <w:r w:rsidRPr="009E45BE">
        <w:t xml:space="preserve">The commission acknowledges that networking is a valuable way to make relevant business connections and stakeholder relationships are important. However, the hospitality </w:t>
      </w:r>
      <w:r w:rsidR="00E90FE6">
        <w:t xml:space="preserve">must </w:t>
      </w:r>
      <w:r w:rsidRPr="009E45BE">
        <w:t xml:space="preserve">be limited to events such </w:t>
      </w:r>
      <w:r w:rsidR="00B53CF2" w:rsidRPr="009E45BE">
        <w:t xml:space="preserve">as presentations, industry forums, </w:t>
      </w:r>
      <w:r w:rsidR="009E45BE" w:rsidRPr="009E45BE">
        <w:t>lunches,</w:t>
      </w:r>
      <w:r w:rsidR="00B53CF2" w:rsidRPr="009E45BE">
        <w:t xml:space="preserve"> and dinners</w:t>
      </w:r>
      <w:r w:rsidR="00957D28" w:rsidRPr="009E45BE">
        <w:t xml:space="preserve"> and the like where there is a presentation, keynote speech or the general forum content is relevant to the</w:t>
      </w:r>
      <w:r w:rsidR="00DD52D5">
        <w:t xml:space="preserve"> individual’s</w:t>
      </w:r>
      <w:r w:rsidR="00C962D4">
        <w:t xml:space="preserve"> </w:t>
      </w:r>
      <w:r w:rsidR="00957D28" w:rsidRPr="009E45BE">
        <w:t xml:space="preserve">official duties </w:t>
      </w:r>
      <w:r w:rsidR="009E45BE" w:rsidRPr="009E45BE">
        <w:t xml:space="preserve">and/or has a legitimate business purpose. </w:t>
      </w:r>
    </w:p>
    <w:p w14:paraId="6668EE12" w14:textId="18308246" w:rsidR="00951E31" w:rsidRPr="00951E31" w:rsidRDefault="00264F3B" w:rsidP="00180413">
      <w:pPr>
        <w:pStyle w:val="Heading2"/>
      </w:pPr>
      <w:bookmarkStart w:id="4" w:name="_Approval_and_governance"/>
      <w:bookmarkEnd w:id="4"/>
      <w:r>
        <w:t xml:space="preserve">Approval </w:t>
      </w:r>
      <w:r w:rsidR="00180413">
        <w:t xml:space="preserve">and </w:t>
      </w:r>
      <w:r w:rsidR="0094372D">
        <w:t>governance</w:t>
      </w:r>
      <w:r w:rsidR="002A50D2">
        <w:t xml:space="preserve"> of </w:t>
      </w:r>
      <w:r w:rsidR="00180413">
        <w:t xml:space="preserve">declared </w:t>
      </w:r>
      <w:r w:rsidR="002A50D2">
        <w:t>offers</w:t>
      </w:r>
      <w:r w:rsidR="006532DA">
        <w:t xml:space="preserve"> </w:t>
      </w:r>
    </w:p>
    <w:p w14:paraId="67A046DB" w14:textId="3AA55E96" w:rsidR="00303204" w:rsidRDefault="00DD52D5" w:rsidP="00051C4E">
      <w:r>
        <w:t xml:space="preserve">Individuals </w:t>
      </w:r>
      <w:r w:rsidR="001D3A87">
        <w:t>(other than commissioners</w:t>
      </w:r>
      <w:r w:rsidR="00B23E3E">
        <w:t xml:space="preserve"> and CEO</w:t>
      </w:r>
      <w:r w:rsidR="001D3A87">
        <w:t>)</w:t>
      </w:r>
      <w:r w:rsidR="00F9747B">
        <w:t xml:space="preserve"> must complete a gifts, benefits</w:t>
      </w:r>
      <w:r w:rsidR="00FA2F0C">
        <w:t>,</w:t>
      </w:r>
      <w:r w:rsidR="00F9747B">
        <w:t xml:space="preserve"> and hospitality declaration form</w:t>
      </w:r>
      <w:r w:rsidR="00F62EF7">
        <w:t xml:space="preserve"> </w:t>
      </w:r>
      <w:r w:rsidR="00F9747B">
        <w:t xml:space="preserve">within 5 </w:t>
      </w:r>
      <w:r w:rsidR="00E0767D">
        <w:t>business</w:t>
      </w:r>
      <w:r w:rsidR="00F9747B">
        <w:t xml:space="preserve"> days of </w:t>
      </w:r>
      <w:r w:rsidR="003243A2">
        <w:t xml:space="preserve">a </w:t>
      </w:r>
      <w:r w:rsidR="008E72A6">
        <w:t xml:space="preserve">non-token </w:t>
      </w:r>
      <w:r w:rsidR="0046135C">
        <w:t xml:space="preserve">or </w:t>
      </w:r>
      <w:r w:rsidR="0046135C" w:rsidRPr="009D5007">
        <w:t>cumulative</w:t>
      </w:r>
      <w:r w:rsidR="0046135C">
        <w:t xml:space="preserve"> </w:t>
      </w:r>
      <w:r w:rsidR="003243A2">
        <w:t xml:space="preserve">token </w:t>
      </w:r>
      <w:r w:rsidR="00F9747B">
        <w:t>offer</w:t>
      </w:r>
      <w:r w:rsidR="0046135C">
        <w:t>(s)</w:t>
      </w:r>
      <w:r w:rsidR="00F9747B">
        <w:t xml:space="preserve"> being </w:t>
      </w:r>
      <w:r w:rsidR="0035651D">
        <w:t>made (even if declined)</w:t>
      </w:r>
      <w:r w:rsidR="00F9747B">
        <w:t>.</w:t>
      </w:r>
      <w:r w:rsidR="003243A2">
        <w:t xml:space="preserve"> Refer to </w:t>
      </w:r>
      <w:r w:rsidR="00303204">
        <w:t xml:space="preserve">the </w:t>
      </w:r>
      <w:hyperlink w:anchor="_Identification,_assessment,_and" w:history="1">
        <w:r w:rsidR="00303204" w:rsidRPr="00303204">
          <w:rPr>
            <w:rStyle w:val="Hyperlink"/>
          </w:rPr>
          <w:t>Identification and Assessment</w:t>
        </w:r>
      </w:hyperlink>
      <w:r w:rsidR="00303204">
        <w:t xml:space="preserve"> sections for more information.</w:t>
      </w:r>
    </w:p>
    <w:p w14:paraId="44727B2D" w14:textId="28D3C419" w:rsidR="00B36142" w:rsidRDefault="00125D2E" w:rsidP="00051C4E">
      <w:r>
        <w:t>I</w:t>
      </w:r>
      <w:r w:rsidR="0074224B">
        <w:t>f the</w:t>
      </w:r>
      <w:r w:rsidR="00DD52D5">
        <w:t xml:space="preserve"> individual </w:t>
      </w:r>
      <w:r w:rsidR="0074224B">
        <w:t xml:space="preserve">is seeking </w:t>
      </w:r>
      <w:r w:rsidR="001C6D51">
        <w:t xml:space="preserve">approval </w:t>
      </w:r>
      <w:r w:rsidR="000D27C2">
        <w:t xml:space="preserve">to accept </w:t>
      </w:r>
      <w:r w:rsidR="00E87C9D">
        <w:t>the</w:t>
      </w:r>
      <w:r w:rsidR="001C6D51">
        <w:t xml:space="preserve"> offer</w:t>
      </w:r>
      <w:r w:rsidR="000D27C2">
        <w:t>,</w:t>
      </w:r>
      <w:r w:rsidR="001C6D51">
        <w:t xml:space="preserve"> </w:t>
      </w:r>
      <w:r w:rsidR="00E87C9D">
        <w:t>it</w:t>
      </w:r>
      <w:r w:rsidR="00DB7661">
        <w:t xml:space="preserve">s </w:t>
      </w:r>
      <w:r>
        <w:t xml:space="preserve">benefit </w:t>
      </w:r>
      <w:r w:rsidR="00330FA9">
        <w:t xml:space="preserve">stated in the declaration </w:t>
      </w:r>
      <w:r w:rsidR="001C6D51">
        <w:t>must detail h</w:t>
      </w:r>
      <w:r w:rsidR="002E7CC7">
        <w:t>ow</w:t>
      </w:r>
      <w:r w:rsidR="00A3027C">
        <w:t xml:space="preserve"> the offer</w:t>
      </w:r>
      <w:r>
        <w:t>:</w:t>
      </w:r>
    </w:p>
    <w:p w14:paraId="4A1B2106" w14:textId="41271D87" w:rsidR="00125D2E" w:rsidRDefault="00A42416" w:rsidP="00051C4E">
      <w:pPr>
        <w:pStyle w:val="ListParagraph"/>
        <w:numPr>
          <w:ilvl w:val="0"/>
          <w:numId w:val="23"/>
        </w:numPr>
      </w:pPr>
      <w:r>
        <w:t xml:space="preserve">is relevant to the </w:t>
      </w:r>
      <w:r w:rsidR="00DD52D5">
        <w:t xml:space="preserve">individual’s </w:t>
      </w:r>
      <w:r>
        <w:t>official duties or responsibilities</w:t>
      </w:r>
    </w:p>
    <w:p w14:paraId="73D98538" w14:textId="25D633ED" w:rsidR="00A42416" w:rsidRDefault="00A3027C" w:rsidP="00051C4E">
      <w:pPr>
        <w:pStyle w:val="ListParagraph"/>
        <w:numPr>
          <w:ilvl w:val="0"/>
          <w:numId w:val="23"/>
        </w:numPr>
      </w:pPr>
      <w:r>
        <w:t>has a legitimate business purpose.</w:t>
      </w:r>
    </w:p>
    <w:p w14:paraId="502712ED" w14:textId="22381413" w:rsidR="00BF5FB7" w:rsidRDefault="00BF5FB7" w:rsidP="002C0190">
      <w:r>
        <w:t xml:space="preserve">Offers to commissioners </w:t>
      </w:r>
      <w:r w:rsidR="00464571">
        <w:t xml:space="preserve">and the CEO </w:t>
      </w:r>
      <w:r>
        <w:t>will be identified and approved in commission meetings as soon as practicable and reported to the Senior Manager, Governance and Risk for inclusion in the register without the need for a declaration form.</w:t>
      </w:r>
    </w:p>
    <w:p w14:paraId="1C3C4D63" w14:textId="77777777" w:rsidR="0079027C" w:rsidRDefault="0079027C" w:rsidP="00605E7A"/>
    <w:p w14:paraId="3096EAD6" w14:textId="77777777" w:rsidR="0079027C" w:rsidRDefault="0079027C" w:rsidP="00605E7A"/>
    <w:p w14:paraId="48A82C11" w14:textId="77777777" w:rsidR="0079027C" w:rsidRDefault="0079027C" w:rsidP="00605E7A"/>
    <w:p w14:paraId="2592CF5C" w14:textId="28BBD35C" w:rsidR="00605E7A" w:rsidRDefault="00433287" w:rsidP="00605E7A">
      <w:r>
        <w:lastRenderedPageBreak/>
        <w:t xml:space="preserve">An </w:t>
      </w:r>
      <w:r w:rsidR="00DD52D5">
        <w:t>individual’s</w:t>
      </w:r>
      <w:r w:rsidR="000C21EB">
        <w:t xml:space="preserve"> </w:t>
      </w:r>
      <w:r>
        <w:t>d</w:t>
      </w:r>
      <w:r w:rsidR="000B186D">
        <w:t xml:space="preserve">eclaration </w:t>
      </w:r>
      <w:r>
        <w:t>is</w:t>
      </w:r>
      <w:r w:rsidR="000B186D">
        <w:t xml:space="preserve"> approved via the</w:t>
      </w:r>
      <w:r w:rsidR="004D5B0D">
        <w:t xml:space="preserve">ir </w:t>
      </w:r>
      <w:r>
        <w:t>manager as relevant below:</w:t>
      </w:r>
    </w:p>
    <w:tbl>
      <w:tblPr>
        <w:tblStyle w:val="TableGrid"/>
        <w:tblW w:w="0" w:type="auto"/>
        <w:tblLook w:val="04A0" w:firstRow="1" w:lastRow="0" w:firstColumn="1" w:lastColumn="0" w:noHBand="0" w:noVBand="1"/>
      </w:tblPr>
      <w:tblGrid>
        <w:gridCol w:w="5006"/>
        <w:gridCol w:w="4632"/>
      </w:tblGrid>
      <w:tr w:rsidR="00612631" w:rsidRPr="00DF5928" w14:paraId="7D83F555" w14:textId="77777777" w:rsidTr="00261B3F">
        <w:trPr>
          <w:cnfStyle w:val="100000000000" w:firstRow="1" w:lastRow="0" w:firstColumn="0" w:lastColumn="0" w:oddVBand="0" w:evenVBand="0" w:oddHBand="0" w:evenHBand="0" w:firstRowFirstColumn="0" w:firstRowLastColumn="0" w:lastRowFirstColumn="0" w:lastRowLastColumn="0"/>
          <w:trHeight w:val="329"/>
        </w:trPr>
        <w:tc>
          <w:tcPr>
            <w:tcW w:w="5006" w:type="dxa"/>
          </w:tcPr>
          <w:p w14:paraId="6978B708" w14:textId="4B19DA7F" w:rsidR="00612631" w:rsidRPr="00DF5928" w:rsidRDefault="00DD52D5" w:rsidP="00DE0B4F">
            <w:pPr>
              <w:pStyle w:val="ListParagraph"/>
              <w:numPr>
                <w:ilvl w:val="0"/>
                <w:numId w:val="0"/>
              </w:numPr>
              <w:spacing w:before="60" w:line="240" w:lineRule="auto"/>
              <w:ind w:left="-22"/>
              <w:contextualSpacing w:val="0"/>
            </w:pPr>
            <w:r>
              <w:t>Individual</w:t>
            </w:r>
            <w:r w:rsidR="000C21EB" w:rsidRPr="00DF5928">
              <w:t xml:space="preserve"> </w:t>
            </w:r>
            <w:r w:rsidR="000C21EB">
              <w:t>role</w:t>
            </w:r>
          </w:p>
        </w:tc>
        <w:tc>
          <w:tcPr>
            <w:tcW w:w="4632" w:type="dxa"/>
          </w:tcPr>
          <w:p w14:paraId="57128BA4" w14:textId="77777777" w:rsidR="00612631" w:rsidRPr="00DF5928" w:rsidRDefault="00612631" w:rsidP="00BE5617">
            <w:pPr>
              <w:pStyle w:val="ListParagraph"/>
              <w:numPr>
                <w:ilvl w:val="0"/>
                <w:numId w:val="0"/>
              </w:numPr>
              <w:spacing w:before="60" w:line="240" w:lineRule="auto"/>
              <w:contextualSpacing w:val="0"/>
            </w:pPr>
            <w:r w:rsidRPr="00DF5928">
              <w:t>Approver</w:t>
            </w:r>
          </w:p>
        </w:tc>
      </w:tr>
      <w:tr w:rsidR="00612631" w:rsidRPr="00DF5928" w14:paraId="432199B1" w14:textId="77777777" w:rsidTr="00261B3F">
        <w:trPr>
          <w:cnfStyle w:val="000000100000" w:firstRow="0" w:lastRow="0" w:firstColumn="0" w:lastColumn="0" w:oddVBand="0" w:evenVBand="0" w:oddHBand="1" w:evenHBand="0" w:firstRowFirstColumn="0" w:firstRowLastColumn="0" w:lastRowFirstColumn="0" w:lastRowLastColumn="0"/>
        </w:trPr>
        <w:tc>
          <w:tcPr>
            <w:tcW w:w="5006" w:type="dxa"/>
          </w:tcPr>
          <w:p w14:paraId="4A67A727" w14:textId="77777777" w:rsidR="00612631" w:rsidRPr="00DF5928" w:rsidRDefault="00612631" w:rsidP="00BE5617">
            <w:pPr>
              <w:pStyle w:val="ListParagraph"/>
              <w:numPr>
                <w:ilvl w:val="0"/>
                <w:numId w:val="0"/>
              </w:numPr>
              <w:spacing w:before="60" w:after="60" w:line="240" w:lineRule="auto"/>
              <w:contextualSpacing w:val="0"/>
            </w:pPr>
            <w:r w:rsidRPr="00DF5928">
              <w:t>Chairperson or Commissioner</w:t>
            </w:r>
          </w:p>
        </w:tc>
        <w:tc>
          <w:tcPr>
            <w:tcW w:w="4632" w:type="dxa"/>
          </w:tcPr>
          <w:p w14:paraId="058464F4" w14:textId="77777777" w:rsidR="00612631" w:rsidRPr="00DF5928" w:rsidRDefault="00612631" w:rsidP="00BE5617">
            <w:pPr>
              <w:spacing w:before="60" w:after="60" w:line="240" w:lineRule="auto"/>
            </w:pPr>
            <w:r>
              <w:t>A</w:t>
            </w:r>
            <w:r w:rsidRPr="00DF5928">
              <w:t>pproved at weekly commission meeting</w:t>
            </w:r>
          </w:p>
        </w:tc>
      </w:tr>
      <w:tr w:rsidR="00612631" w:rsidRPr="00DF5928" w14:paraId="72A93897" w14:textId="77777777" w:rsidTr="00261B3F">
        <w:trPr>
          <w:cnfStyle w:val="000000010000" w:firstRow="0" w:lastRow="0" w:firstColumn="0" w:lastColumn="0" w:oddVBand="0" w:evenVBand="0" w:oddHBand="0" w:evenHBand="1" w:firstRowFirstColumn="0" w:firstRowLastColumn="0" w:lastRowFirstColumn="0" w:lastRowLastColumn="0"/>
        </w:trPr>
        <w:tc>
          <w:tcPr>
            <w:tcW w:w="5006" w:type="dxa"/>
          </w:tcPr>
          <w:p w14:paraId="7B11E5DA" w14:textId="77777777" w:rsidR="00612631" w:rsidRPr="00DF5928" w:rsidRDefault="00612631" w:rsidP="00BE5617">
            <w:pPr>
              <w:pStyle w:val="ListParagraph"/>
              <w:numPr>
                <w:ilvl w:val="0"/>
                <w:numId w:val="0"/>
              </w:numPr>
              <w:spacing w:before="60" w:after="60" w:line="240" w:lineRule="auto"/>
              <w:contextualSpacing w:val="0"/>
            </w:pPr>
            <w:r w:rsidRPr="00DF5928">
              <w:t>Chief Executive Officer</w:t>
            </w:r>
          </w:p>
        </w:tc>
        <w:tc>
          <w:tcPr>
            <w:tcW w:w="4632" w:type="dxa"/>
          </w:tcPr>
          <w:p w14:paraId="78ABD221" w14:textId="77777777" w:rsidR="00612631" w:rsidRPr="00DF5928" w:rsidRDefault="00612631" w:rsidP="00BE5617">
            <w:pPr>
              <w:pStyle w:val="ListParagraph"/>
              <w:numPr>
                <w:ilvl w:val="0"/>
                <w:numId w:val="0"/>
              </w:numPr>
              <w:spacing w:before="60" w:after="60" w:line="240" w:lineRule="auto"/>
              <w:contextualSpacing w:val="0"/>
            </w:pPr>
            <w:r w:rsidRPr="00DF5928">
              <w:t>Chairperson</w:t>
            </w:r>
          </w:p>
        </w:tc>
      </w:tr>
      <w:tr w:rsidR="00612631" w:rsidRPr="00DF5928" w14:paraId="02DEF097" w14:textId="77777777" w:rsidTr="00261B3F">
        <w:trPr>
          <w:cnfStyle w:val="000000100000" w:firstRow="0" w:lastRow="0" w:firstColumn="0" w:lastColumn="0" w:oddVBand="0" w:evenVBand="0" w:oddHBand="1" w:evenHBand="0" w:firstRowFirstColumn="0" w:firstRowLastColumn="0" w:lastRowFirstColumn="0" w:lastRowLastColumn="0"/>
        </w:trPr>
        <w:tc>
          <w:tcPr>
            <w:tcW w:w="5006" w:type="dxa"/>
          </w:tcPr>
          <w:p w14:paraId="60ECFBC1" w14:textId="00F3BDDD" w:rsidR="00612631" w:rsidRPr="00DF5928" w:rsidRDefault="00D36C34" w:rsidP="00BE5617">
            <w:pPr>
              <w:pStyle w:val="ListParagraph"/>
              <w:numPr>
                <w:ilvl w:val="0"/>
                <w:numId w:val="0"/>
              </w:numPr>
              <w:spacing w:before="60" w:after="60" w:line="240" w:lineRule="auto"/>
              <w:contextualSpacing w:val="0"/>
            </w:pPr>
            <w:r>
              <w:t xml:space="preserve">Executive </w:t>
            </w:r>
            <w:r w:rsidR="00612631" w:rsidRPr="00DF5928">
              <w:t>Director</w:t>
            </w:r>
            <w:r>
              <w:t xml:space="preserve"> or Director</w:t>
            </w:r>
          </w:p>
        </w:tc>
        <w:tc>
          <w:tcPr>
            <w:tcW w:w="4632" w:type="dxa"/>
          </w:tcPr>
          <w:p w14:paraId="7E830189" w14:textId="77777777" w:rsidR="00612631" w:rsidRPr="00DF5928" w:rsidRDefault="00612631" w:rsidP="00BE5617">
            <w:pPr>
              <w:pStyle w:val="ListParagraph"/>
              <w:numPr>
                <w:ilvl w:val="0"/>
                <w:numId w:val="0"/>
              </w:numPr>
              <w:spacing w:before="60" w:after="60" w:line="240" w:lineRule="auto"/>
              <w:contextualSpacing w:val="0"/>
            </w:pPr>
            <w:r w:rsidRPr="00DF5928">
              <w:t>Chief Executive Officer</w:t>
            </w:r>
          </w:p>
        </w:tc>
      </w:tr>
      <w:tr w:rsidR="00612631" w:rsidRPr="00DF5928" w14:paraId="4866B6AD" w14:textId="77777777" w:rsidTr="00261B3F">
        <w:trPr>
          <w:cnfStyle w:val="000000010000" w:firstRow="0" w:lastRow="0" w:firstColumn="0" w:lastColumn="0" w:oddVBand="0" w:evenVBand="0" w:oddHBand="0" w:evenHBand="1" w:firstRowFirstColumn="0" w:firstRowLastColumn="0" w:lastRowFirstColumn="0" w:lastRowLastColumn="0"/>
        </w:trPr>
        <w:tc>
          <w:tcPr>
            <w:tcW w:w="5006" w:type="dxa"/>
          </w:tcPr>
          <w:p w14:paraId="3DC0823C" w14:textId="4CB90CD6" w:rsidR="00612631" w:rsidRPr="00DF5928" w:rsidRDefault="00612631" w:rsidP="00BE5617">
            <w:pPr>
              <w:pStyle w:val="ListParagraph"/>
              <w:numPr>
                <w:ilvl w:val="0"/>
                <w:numId w:val="0"/>
              </w:numPr>
              <w:spacing w:before="60" w:after="60" w:line="240" w:lineRule="auto"/>
              <w:contextualSpacing w:val="0"/>
            </w:pPr>
            <w:r w:rsidRPr="00DF5928">
              <w:t xml:space="preserve">Employee </w:t>
            </w:r>
          </w:p>
        </w:tc>
        <w:tc>
          <w:tcPr>
            <w:tcW w:w="4632" w:type="dxa"/>
          </w:tcPr>
          <w:p w14:paraId="1D51062D" w14:textId="3E7E3847" w:rsidR="00612631" w:rsidRPr="00DF5928" w:rsidRDefault="00422E48" w:rsidP="00BE5617">
            <w:pPr>
              <w:pStyle w:val="ListParagraph"/>
              <w:numPr>
                <w:ilvl w:val="0"/>
                <w:numId w:val="0"/>
              </w:numPr>
              <w:spacing w:before="60" w:after="60" w:line="240" w:lineRule="auto"/>
              <w:contextualSpacing w:val="0"/>
            </w:pPr>
            <w:r>
              <w:t>Relevant member of the Executive team</w:t>
            </w:r>
            <w:r w:rsidR="00736338">
              <w:t xml:space="preserve"> </w:t>
            </w:r>
          </w:p>
        </w:tc>
      </w:tr>
    </w:tbl>
    <w:p w14:paraId="658A7AB9" w14:textId="7ADF6BE8" w:rsidR="00D64949" w:rsidRDefault="00D64949" w:rsidP="00605E7A">
      <w:r>
        <w:t xml:space="preserve">The commission’s Audit and Risk Committee will receive a report annually on the administration </w:t>
      </w:r>
      <w:r w:rsidR="00D57F35">
        <w:t xml:space="preserve">and </w:t>
      </w:r>
      <w:r w:rsidR="00F6656D">
        <w:t>effectiveness of th</w:t>
      </w:r>
      <w:r w:rsidR="00216F6E">
        <w:t>is policy and</w:t>
      </w:r>
      <w:r w:rsidR="00D57F35">
        <w:t xml:space="preserve"> will include analysis of the </w:t>
      </w:r>
      <w:r w:rsidR="000740B8">
        <w:t xml:space="preserve">commission’s gifts, benefits and hospitality risks, </w:t>
      </w:r>
      <w:r w:rsidR="00ED55AE">
        <w:t xml:space="preserve">any </w:t>
      </w:r>
      <w:r w:rsidR="000740B8">
        <w:t xml:space="preserve">mitigation </w:t>
      </w:r>
      <w:r w:rsidR="00C96A78">
        <w:t>measures,</w:t>
      </w:r>
      <w:r w:rsidR="000740B8">
        <w:t xml:space="preserve"> and proposed improvements.</w:t>
      </w:r>
      <w:r w:rsidR="00ED55AE">
        <w:t xml:space="preserve"> The commission’s compliance with the minimum accountabilities </w:t>
      </w:r>
      <w:r w:rsidR="00B037E7">
        <w:t>will be reported in accordance with the Standing Directions 2018</w:t>
      </w:r>
      <w:r w:rsidR="004369E4">
        <w:t xml:space="preserve"> under the </w:t>
      </w:r>
      <w:r w:rsidR="004369E4" w:rsidRPr="004369E4">
        <w:rPr>
          <w:i/>
          <w:iCs/>
        </w:rPr>
        <w:t>Financial Management Act 2004.</w:t>
      </w:r>
      <w:r w:rsidR="00E05CC6">
        <w:t xml:space="preserve">  </w:t>
      </w:r>
    </w:p>
    <w:p w14:paraId="1790517A" w14:textId="78B793D5" w:rsidR="000740B8" w:rsidRDefault="00B009A4" w:rsidP="00605E7A">
      <w:r>
        <w:t xml:space="preserve">As per the minimum accountabilities for the management of gifts, benefits and hospitality, this policy and a de-identified version of the commission’s </w:t>
      </w:r>
      <w:r w:rsidR="002D18B5">
        <w:t xml:space="preserve">gifts, benefits and hospitality register will be published annually on the commission’s website. </w:t>
      </w:r>
    </w:p>
    <w:p w14:paraId="7F8B73ED" w14:textId="591E409A" w:rsidR="00D64949" w:rsidRDefault="00453273" w:rsidP="00453273">
      <w:pPr>
        <w:pStyle w:val="Heading2"/>
      </w:pPr>
      <w:r>
        <w:t>Provision of gifts, benefits, and hospitality by the commission</w:t>
      </w:r>
    </w:p>
    <w:p w14:paraId="78309BFF" w14:textId="769B7BE3" w:rsidR="00815F5E" w:rsidRPr="00DF5928" w:rsidRDefault="00815F5E" w:rsidP="00815F5E">
      <w:r w:rsidRPr="00DF5928">
        <w:t xml:space="preserve">Gifts, benefits, and hospitality may be provided to welcome </w:t>
      </w:r>
      <w:r w:rsidR="00A411D2">
        <w:t xml:space="preserve">external </w:t>
      </w:r>
      <w:r w:rsidRPr="00DF5928">
        <w:t>guests, facilitate the development of business relationships</w:t>
      </w:r>
      <w:r w:rsidR="00A619E0">
        <w:t xml:space="preserve">, </w:t>
      </w:r>
      <w:r w:rsidRPr="00DF5928">
        <w:t>further public sector business outcomes</w:t>
      </w:r>
      <w:r w:rsidR="00A619E0">
        <w:t xml:space="preserve"> or launch an initiative</w:t>
      </w:r>
      <w:r w:rsidR="00612614">
        <w:t>.</w:t>
      </w:r>
      <w:r w:rsidR="00801DE8">
        <w:t xml:space="preserve"> </w:t>
      </w:r>
      <w:r w:rsidR="00612614">
        <w:t xml:space="preserve">The commission </w:t>
      </w:r>
      <w:r w:rsidR="00A619E0">
        <w:t xml:space="preserve">may also provide </w:t>
      </w:r>
      <w:r w:rsidR="00B85270">
        <w:t>gifts, benefits</w:t>
      </w:r>
      <w:r w:rsidR="004D468B">
        <w:t>,</w:t>
      </w:r>
      <w:r w:rsidR="00B85270">
        <w:t xml:space="preserve"> and hospitality to </w:t>
      </w:r>
      <w:r w:rsidRPr="00DF5928">
        <w:t xml:space="preserve">celebrate </w:t>
      </w:r>
      <w:r w:rsidR="00B85270">
        <w:t xml:space="preserve">internal </w:t>
      </w:r>
      <w:r w:rsidRPr="00DF5928">
        <w:t xml:space="preserve">achievements. </w:t>
      </w:r>
    </w:p>
    <w:p w14:paraId="36C05E68" w14:textId="39898EF0" w:rsidR="003F4544" w:rsidRDefault="003F4544" w:rsidP="003F4544">
      <w:pPr>
        <w:pStyle w:val="Heading3"/>
      </w:pPr>
      <w:r>
        <w:t xml:space="preserve">Criteria </w:t>
      </w:r>
      <w:r w:rsidR="00753919">
        <w:t xml:space="preserve">for </w:t>
      </w:r>
      <w:r w:rsidR="00BA11F0">
        <w:t xml:space="preserve">providing </w:t>
      </w:r>
      <w:r w:rsidR="00753919">
        <w:t xml:space="preserve">gifts, </w:t>
      </w:r>
      <w:r w:rsidR="00801DE8">
        <w:t>benefits,</w:t>
      </w:r>
      <w:r w:rsidR="00753919">
        <w:t xml:space="preserve"> and hospitality to ex</w:t>
      </w:r>
      <w:r w:rsidR="00A619E0">
        <w:t>ternal recipients</w:t>
      </w:r>
    </w:p>
    <w:p w14:paraId="466F9107" w14:textId="72A331E0" w:rsidR="001536FB" w:rsidRPr="00DF5928" w:rsidRDefault="001536FB" w:rsidP="001536FB">
      <w:r w:rsidRPr="00DF5928">
        <w:t>When deciding whether to provide gifts, benefits or hospitality</w:t>
      </w:r>
      <w:r w:rsidR="009F0B21">
        <w:t xml:space="preserve"> individuals</w:t>
      </w:r>
      <w:r w:rsidRPr="00DF5928">
        <w:t xml:space="preserve"> </w:t>
      </w:r>
      <w:r w:rsidR="009F0B21">
        <w:t>mu</w:t>
      </w:r>
      <w:r w:rsidRPr="00DF5928">
        <w:t xml:space="preserve">st ensure: </w:t>
      </w:r>
    </w:p>
    <w:p w14:paraId="411B9B2D" w14:textId="77777777" w:rsidR="001536FB" w:rsidRPr="00DF5928" w:rsidRDefault="001536FB" w:rsidP="00725060">
      <w:pPr>
        <w:numPr>
          <w:ilvl w:val="0"/>
          <w:numId w:val="16"/>
        </w:numPr>
      </w:pPr>
      <w:r w:rsidRPr="00DF5928">
        <w:t>it is provided for a business reason in that it furthers the conduct of official business or other legitimate organisational or government goals, policy objectives and priorities</w:t>
      </w:r>
    </w:p>
    <w:p w14:paraId="5B1CDAD2" w14:textId="77777777" w:rsidR="001536FB" w:rsidRPr="00DF5928" w:rsidRDefault="001536FB" w:rsidP="00725060">
      <w:pPr>
        <w:numPr>
          <w:ilvl w:val="0"/>
          <w:numId w:val="16"/>
        </w:numPr>
      </w:pPr>
      <w:r w:rsidRPr="00DF5928">
        <w:t>that any costs are proportionate to the benefits obtained for the State, and would be considered reasonable in terms of community expectations</w:t>
      </w:r>
    </w:p>
    <w:p w14:paraId="7D03A372" w14:textId="678C99E1" w:rsidR="001536FB" w:rsidRPr="00DF5928" w:rsidRDefault="001536FB" w:rsidP="00725060">
      <w:pPr>
        <w:numPr>
          <w:ilvl w:val="0"/>
          <w:numId w:val="16"/>
        </w:numPr>
      </w:pPr>
      <w:r w:rsidRPr="00DF5928">
        <w:t xml:space="preserve">it does not raise an actual, </w:t>
      </w:r>
      <w:r w:rsidR="003E3AAD" w:rsidRPr="00DF5928">
        <w:t>potential,</w:t>
      </w:r>
      <w:r w:rsidRPr="00DF5928">
        <w:t xml:space="preserve"> or perceived conflict of interest.</w:t>
      </w:r>
    </w:p>
    <w:p w14:paraId="0FA2419B" w14:textId="7D097539" w:rsidR="001536FB" w:rsidRPr="00DF5928" w:rsidRDefault="001536FB" w:rsidP="00910638">
      <w:r w:rsidRPr="00DF5928">
        <w:t xml:space="preserve">Refer to </w:t>
      </w:r>
      <w:hyperlink w:anchor="_Table_2:_" w:history="1">
        <w:r w:rsidRPr="008147AE">
          <w:rPr>
            <w:rStyle w:val="Hyperlink"/>
          </w:rPr>
          <w:t xml:space="preserve">Appendix </w:t>
        </w:r>
        <w:r w:rsidR="00910638" w:rsidRPr="008147AE">
          <w:rPr>
            <w:rStyle w:val="Hyperlink"/>
          </w:rPr>
          <w:t>A</w:t>
        </w:r>
        <w:r w:rsidRPr="008147AE">
          <w:rPr>
            <w:rStyle w:val="Hyperlink"/>
          </w:rPr>
          <w:t>, Table 2: HOST</w:t>
        </w:r>
      </w:hyperlink>
      <w:r w:rsidRPr="00DF5928">
        <w:t xml:space="preserve"> test for more information.</w:t>
      </w:r>
    </w:p>
    <w:p w14:paraId="2F3EF3E3" w14:textId="621D0382" w:rsidR="00612631" w:rsidRDefault="00CC1766" w:rsidP="007F301A">
      <w:pPr>
        <w:pStyle w:val="Heading3"/>
      </w:pPr>
      <w:r>
        <w:t>Provision and a</w:t>
      </w:r>
      <w:r w:rsidR="007F301A">
        <w:t>pproval</w:t>
      </w:r>
      <w:r w:rsidR="006E35AC">
        <w:t xml:space="preserve"> of external </w:t>
      </w:r>
      <w:r w:rsidR="00AE52F8">
        <w:t xml:space="preserve">gifts, benefits and </w:t>
      </w:r>
      <w:r w:rsidR="003107CE">
        <w:t>hospitality</w:t>
      </w:r>
    </w:p>
    <w:p w14:paraId="7A12E306" w14:textId="6F7DCFE9" w:rsidR="00D35675" w:rsidRDefault="002B1632" w:rsidP="00605E7A">
      <w:r>
        <w:t xml:space="preserve">When hospitality is provided, </w:t>
      </w:r>
      <w:r w:rsidR="00D35675">
        <w:t xml:space="preserve">costs involved in the </w:t>
      </w:r>
      <w:r w:rsidR="001775CA">
        <w:t xml:space="preserve">provision of gifts, </w:t>
      </w:r>
      <w:r w:rsidR="0086002F">
        <w:t>benefits,</w:t>
      </w:r>
      <w:r w:rsidR="001775CA">
        <w:t xml:space="preserve"> and hospitality </w:t>
      </w:r>
      <w:r w:rsidR="004D6EFE">
        <w:t xml:space="preserve">must </w:t>
      </w:r>
      <w:r w:rsidR="004B01B0">
        <w:t xml:space="preserve">be contained and </w:t>
      </w:r>
      <w:r w:rsidR="00536422">
        <w:t xml:space="preserve">arrangements </w:t>
      </w:r>
      <w:r w:rsidR="001775CA">
        <w:t>demonstrate the following:</w:t>
      </w:r>
    </w:p>
    <w:p w14:paraId="02892CD0" w14:textId="7714DFA8" w:rsidR="001775CA" w:rsidRDefault="00725060" w:rsidP="00725060">
      <w:pPr>
        <w:pStyle w:val="ListParagraph"/>
        <w:numPr>
          <w:ilvl w:val="0"/>
          <w:numId w:val="24"/>
        </w:numPr>
      </w:pPr>
      <w:r>
        <w:lastRenderedPageBreak/>
        <w:t>gifts are of symbolic value, rather than financially valuable</w:t>
      </w:r>
      <w:r w:rsidR="005B6856">
        <w:t>.</w:t>
      </w:r>
    </w:p>
    <w:p w14:paraId="1E056BA4" w14:textId="7BC2EA2D" w:rsidR="00725060" w:rsidRDefault="00A07422" w:rsidP="00725060">
      <w:pPr>
        <w:pStyle w:val="ListParagraph"/>
        <w:numPr>
          <w:ilvl w:val="0"/>
          <w:numId w:val="24"/>
        </w:numPr>
      </w:pPr>
      <w:r>
        <w:t xml:space="preserve">If possible, that the event is held at a time of day least likely to attract expectations of hospitality and events should only exceed </w:t>
      </w:r>
      <w:r w:rsidR="0098203F">
        <w:t>two hours where unavoidable.</w:t>
      </w:r>
    </w:p>
    <w:p w14:paraId="7F9EB60E" w14:textId="76D52644" w:rsidR="006E09BB" w:rsidRDefault="004E2F22" w:rsidP="00725060">
      <w:pPr>
        <w:pStyle w:val="ListParagraph"/>
        <w:numPr>
          <w:ilvl w:val="0"/>
          <w:numId w:val="24"/>
        </w:numPr>
      </w:pPr>
      <w:r>
        <w:t>P</w:t>
      </w:r>
      <w:r w:rsidR="001C626C">
        <w:t>reference given to public sector venues over private venues with external venues only used where value for money can be demonstrated</w:t>
      </w:r>
      <w:r w:rsidR="005B6856">
        <w:t>.</w:t>
      </w:r>
    </w:p>
    <w:p w14:paraId="6C000A17" w14:textId="1D0B075D" w:rsidR="001C626C" w:rsidRDefault="00857E0C" w:rsidP="00725060">
      <w:pPr>
        <w:pStyle w:val="ListParagraph"/>
        <w:numPr>
          <w:ilvl w:val="0"/>
          <w:numId w:val="24"/>
        </w:numPr>
      </w:pPr>
      <w:r>
        <w:t xml:space="preserve">The size of the event </w:t>
      </w:r>
      <w:r w:rsidR="0021532C">
        <w:t xml:space="preserve">is </w:t>
      </w:r>
      <w:r>
        <w:t>aligned with intended outcomes. Any catering should be proportionate to the number of attendees and be procured at competi</w:t>
      </w:r>
      <w:r w:rsidR="008D4F23">
        <w:t xml:space="preserve">tive rates and avoid inclusion of expensive menu options. </w:t>
      </w:r>
      <w:r w:rsidR="00CB5E98">
        <w:t xml:space="preserve">The provision of alcohol </w:t>
      </w:r>
      <w:r w:rsidR="005D4310">
        <w:t xml:space="preserve">should be incidental </w:t>
      </w:r>
      <w:r w:rsidR="00B66C3E">
        <w:t>to the overall level of hospitality.</w:t>
      </w:r>
    </w:p>
    <w:p w14:paraId="489174BD" w14:textId="7C1F4DB2" w:rsidR="00CC7D17" w:rsidRDefault="0021394B" w:rsidP="00CC7D17">
      <w:r>
        <w:t>In addition,</w:t>
      </w:r>
      <w:r w:rsidR="009F0B21">
        <w:t xml:space="preserve"> individuals</w:t>
      </w:r>
      <w:r w:rsidR="00CC7D17">
        <w:t xml:space="preserve"> must demonstrate </w:t>
      </w:r>
      <w:r w:rsidR="00A64561">
        <w:t>professional</w:t>
      </w:r>
      <w:r>
        <w:t>ism in their conduct and uphold their obligation to extend a duty of care to other participants</w:t>
      </w:r>
      <w:r w:rsidR="00A10F91">
        <w:t xml:space="preserve">. </w:t>
      </w:r>
      <w:r w:rsidR="009F0B21">
        <w:t xml:space="preserve">Individuals </w:t>
      </w:r>
      <w:r w:rsidR="00C72BAD">
        <w:t>must not</w:t>
      </w:r>
      <w:r w:rsidR="00B43AAE">
        <w:t xml:space="preserve"> be</w:t>
      </w:r>
      <w:r w:rsidR="00C72BAD">
        <w:t xml:space="preserve"> </w:t>
      </w:r>
      <w:r w:rsidR="00AB7E53">
        <w:t>impaired by alcohol whilst in the workplace or whilst representing the commission.</w:t>
      </w:r>
    </w:p>
    <w:p w14:paraId="7BE274EC" w14:textId="6CFF34D5" w:rsidR="00051C4E" w:rsidRDefault="00A05E73" w:rsidP="00605E7A">
      <w:r>
        <w:t xml:space="preserve">The provision of alcohol must have prior written approval </w:t>
      </w:r>
      <w:r w:rsidR="004720B7">
        <w:t xml:space="preserve">from the Chief Executive Officer and </w:t>
      </w:r>
      <w:r w:rsidR="001050FE">
        <w:t>a</w:t>
      </w:r>
      <w:r w:rsidR="006F3FC4">
        <w:t>pproval from a relevant financial delegate must be sought prior to incurring expenses related to the provision of hospitality.</w:t>
      </w:r>
      <w:r>
        <w:t xml:space="preserve"> </w:t>
      </w:r>
    </w:p>
    <w:p w14:paraId="22875CDA" w14:textId="281D0672" w:rsidR="00EB4723" w:rsidRDefault="00D66EFC" w:rsidP="00EB4723">
      <w:pPr>
        <w:pStyle w:val="Heading2"/>
      </w:pPr>
      <w:r>
        <w:t xml:space="preserve">Provision of gifts and hospitality </w:t>
      </w:r>
      <w:r w:rsidR="000049AC">
        <w:t>at the</w:t>
      </w:r>
      <w:r>
        <w:t xml:space="preserve"> commission</w:t>
      </w:r>
    </w:p>
    <w:p w14:paraId="71920E7B" w14:textId="1C89ED30" w:rsidR="00EB4723" w:rsidRDefault="00BF4102" w:rsidP="00EB4723">
      <w:r>
        <w:t xml:space="preserve">The commission may occasionally provide catered activities for </w:t>
      </w:r>
      <w:r w:rsidR="00A270DB">
        <w:t>all or some of its</w:t>
      </w:r>
      <w:r>
        <w:t xml:space="preserve"> </w:t>
      </w:r>
      <w:r w:rsidR="00721BDC">
        <w:t xml:space="preserve">workforce participants </w:t>
      </w:r>
      <w:r w:rsidR="00A45A19">
        <w:t>as a means of celebrating achieve</w:t>
      </w:r>
      <w:r w:rsidR="007802BA">
        <w:t>ments</w:t>
      </w:r>
      <w:r w:rsidR="00A45A19">
        <w:t xml:space="preserve"> or promotin</w:t>
      </w:r>
      <w:r w:rsidR="007802BA">
        <w:t>g</w:t>
      </w:r>
      <w:r w:rsidR="00A45A19">
        <w:t xml:space="preserve"> </w:t>
      </w:r>
      <w:proofErr w:type="gramStart"/>
      <w:r w:rsidR="00A45A19">
        <w:t>particular behaviours</w:t>
      </w:r>
      <w:proofErr w:type="gramEnd"/>
      <w:r w:rsidR="00A45A19">
        <w:t xml:space="preserve"> </w:t>
      </w:r>
      <w:r w:rsidR="007802BA">
        <w:t xml:space="preserve">as is consistent with common business practice. </w:t>
      </w:r>
      <w:r w:rsidR="00220B29">
        <w:t>Th</w:t>
      </w:r>
      <w:r w:rsidR="00F6797E">
        <w:t>is occurs i</w:t>
      </w:r>
      <w:r w:rsidR="00A270DB">
        <w:t>n the following circumstances:</w:t>
      </w:r>
    </w:p>
    <w:p w14:paraId="05F86121" w14:textId="12AF036E" w:rsidR="00A270DB" w:rsidRDefault="00263537" w:rsidP="00A270DB">
      <w:pPr>
        <w:pStyle w:val="ListParagraph"/>
        <w:numPr>
          <w:ilvl w:val="0"/>
          <w:numId w:val="25"/>
        </w:numPr>
      </w:pPr>
      <w:r>
        <w:t>d</w:t>
      </w:r>
      <w:r w:rsidR="00A95C83">
        <w:t>elivery of a training course, workshop, planning day, seminar</w:t>
      </w:r>
      <w:r w:rsidR="00E04415">
        <w:t>,</w:t>
      </w:r>
      <w:r w:rsidR="00A95C83">
        <w:t xml:space="preserve"> or conference</w:t>
      </w:r>
    </w:p>
    <w:p w14:paraId="05A438CD" w14:textId="0D156B5A" w:rsidR="00A95C83" w:rsidRDefault="00263537" w:rsidP="00A270DB">
      <w:pPr>
        <w:pStyle w:val="ListParagraph"/>
        <w:numPr>
          <w:ilvl w:val="0"/>
          <w:numId w:val="25"/>
        </w:numPr>
      </w:pPr>
      <w:r>
        <w:t>r</w:t>
      </w:r>
      <w:r w:rsidR="00E04415">
        <w:t xml:space="preserve">ecognition of an organisational or individual achievement </w:t>
      </w:r>
      <w:r w:rsidR="00A91CD6">
        <w:t>e.g.,</w:t>
      </w:r>
      <w:r w:rsidR="00E04415">
        <w:t xml:space="preserve"> </w:t>
      </w:r>
      <w:r w:rsidR="007B0D37">
        <w:t>the successful completion of a project or the retirement of a long-standing staff member</w:t>
      </w:r>
    </w:p>
    <w:p w14:paraId="15687328" w14:textId="7994BFC9" w:rsidR="007B0D37" w:rsidRDefault="00263537" w:rsidP="00A270DB">
      <w:pPr>
        <w:pStyle w:val="ListParagraph"/>
        <w:numPr>
          <w:ilvl w:val="0"/>
          <w:numId w:val="25"/>
        </w:numPr>
      </w:pPr>
      <w:r>
        <w:t>c</w:t>
      </w:r>
      <w:r w:rsidR="0060159E">
        <w:t xml:space="preserve">elebration of a significant cultural or community event. </w:t>
      </w:r>
    </w:p>
    <w:p w14:paraId="25341ACD" w14:textId="77777777" w:rsidR="00BB54E0" w:rsidRDefault="00BB54E0" w:rsidP="00664234">
      <w:pPr>
        <w:pStyle w:val="ListParagraph"/>
        <w:numPr>
          <w:ilvl w:val="0"/>
          <w:numId w:val="0"/>
        </w:numPr>
      </w:pPr>
    </w:p>
    <w:p w14:paraId="33E1A30B" w14:textId="6923F741" w:rsidR="00664234" w:rsidRDefault="00945CFC" w:rsidP="00664234">
      <w:pPr>
        <w:pStyle w:val="ListParagraph"/>
        <w:numPr>
          <w:ilvl w:val="0"/>
          <w:numId w:val="0"/>
        </w:numPr>
      </w:pPr>
      <w:r w:rsidRPr="00BB54E0">
        <w:t>Where</w:t>
      </w:r>
      <w:r w:rsidR="009F0B21">
        <w:t xml:space="preserve"> Individuals</w:t>
      </w:r>
      <w:r w:rsidRPr="00BB54E0">
        <w:t xml:space="preserve"> are contributing to the cost of </w:t>
      </w:r>
      <w:r w:rsidR="001E35F1" w:rsidRPr="00BB54E0">
        <w:t xml:space="preserve">one of the above events, the extra funding provided may be used at the discretion of the organising committee to enhance the event. </w:t>
      </w:r>
      <w:r w:rsidR="00BB54E0" w:rsidRPr="00BB54E0">
        <w:t xml:space="preserve"> Events such as</w:t>
      </w:r>
      <w:r w:rsidR="00401F2D" w:rsidRPr="00BB54E0">
        <w:t xml:space="preserve"> birthdays, marriages or births of children </w:t>
      </w:r>
      <w:r w:rsidR="00AE6820" w:rsidRPr="00BB54E0">
        <w:t xml:space="preserve">will </w:t>
      </w:r>
      <w:r w:rsidR="00F63DB6">
        <w:t xml:space="preserve">not </w:t>
      </w:r>
      <w:r w:rsidR="00AE6820" w:rsidRPr="00BB54E0">
        <w:t>be funded using public money.</w:t>
      </w:r>
    </w:p>
    <w:p w14:paraId="3C09ABF7" w14:textId="710748DE" w:rsidR="00A27F8C" w:rsidRDefault="00664234" w:rsidP="00664234">
      <w:pPr>
        <w:pStyle w:val="Heading2"/>
      </w:pPr>
      <w:r>
        <w:t>B</w:t>
      </w:r>
      <w:r w:rsidR="00A27F8C" w:rsidRPr="00741550">
        <w:t xml:space="preserve">reach </w:t>
      </w:r>
      <w:r>
        <w:t>management</w:t>
      </w:r>
    </w:p>
    <w:p w14:paraId="5D9061B3" w14:textId="1409DFDD" w:rsidR="001E33F4" w:rsidRPr="000F0DAF" w:rsidRDefault="001E33F4" w:rsidP="001E33F4">
      <w:pPr>
        <w:spacing w:before="160" w:after="160"/>
      </w:pPr>
      <w:r w:rsidRPr="00CF2695">
        <w:t xml:space="preserve">Disciplinary action consistent with the relevant industrial instrument and legislation, including dismissal, suspension or removal from office, may be taken where an </w:t>
      </w:r>
      <w:r w:rsidR="009F0B21">
        <w:t xml:space="preserve">individual </w:t>
      </w:r>
      <w:r w:rsidRPr="00CF2695">
        <w:t xml:space="preserve">fails to adhere to this policy. This includes where an </w:t>
      </w:r>
      <w:r w:rsidR="009F0B21">
        <w:t>individual</w:t>
      </w:r>
      <w:r w:rsidR="00B7488D" w:rsidRPr="000F0DAF">
        <w:t xml:space="preserve"> </w:t>
      </w:r>
      <w:r w:rsidRPr="000F0DAF">
        <w:t xml:space="preserve">fails to avoid wherever possible or identify, declare and manage a conflict of interest related to gifts, benefits and hospitality in accordance with the commission’s Conflict of interest policy. </w:t>
      </w:r>
    </w:p>
    <w:p w14:paraId="762D67CA" w14:textId="77777777" w:rsidR="007011BA" w:rsidRPr="000F0DAF" w:rsidRDefault="007011BA" w:rsidP="007011BA">
      <w:pPr>
        <w:spacing w:before="160" w:after="160"/>
      </w:pPr>
      <w:r w:rsidRPr="000F0DAF">
        <w:lastRenderedPageBreak/>
        <w:t xml:space="preserve">Actions inconsistent with this policy may constitute misconduct under the </w:t>
      </w:r>
      <w:r w:rsidRPr="0013681E">
        <w:rPr>
          <w:i/>
          <w:iCs/>
        </w:rPr>
        <w:t>Public Administration Act 2004</w:t>
      </w:r>
      <w:r w:rsidRPr="000F0DAF">
        <w:t xml:space="preserve">, which includes: </w:t>
      </w:r>
    </w:p>
    <w:p w14:paraId="46F3B3E2" w14:textId="77777777" w:rsidR="007011BA" w:rsidRPr="00DF5928" w:rsidRDefault="007011BA" w:rsidP="007011BA">
      <w:pPr>
        <w:numPr>
          <w:ilvl w:val="0"/>
          <w:numId w:val="16"/>
        </w:numPr>
        <w:spacing w:before="160" w:after="160"/>
      </w:pPr>
      <w:r w:rsidRPr="00DF5928">
        <w:t>breaches of the binding Code of conduct for Victorian public sector employees and Code of conduct for directors of public sector entities, such as sections of the Codes covering conflict of interest, public trust, and gifts and benefits</w:t>
      </w:r>
    </w:p>
    <w:p w14:paraId="03C956EB" w14:textId="27DDFC0B" w:rsidR="00700C24" w:rsidRDefault="009F0B21" w:rsidP="00700C24">
      <w:pPr>
        <w:pStyle w:val="ListParagraph"/>
        <w:numPr>
          <w:ilvl w:val="0"/>
          <w:numId w:val="18"/>
        </w:numPr>
        <w:spacing w:before="160" w:after="160"/>
        <w:ind w:left="357" w:hanging="357"/>
      </w:pPr>
      <w:r>
        <w:t xml:space="preserve">Individuals </w:t>
      </w:r>
      <w:r w:rsidR="007011BA" w:rsidRPr="00DF5928">
        <w:t>making improper use of their position.</w:t>
      </w:r>
      <w:r w:rsidR="00700C24" w:rsidRPr="00700C24">
        <w:t xml:space="preserve"> </w:t>
      </w:r>
    </w:p>
    <w:p w14:paraId="667D83FE" w14:textId="5BBBFA21" w:rsidR="00700C24" w:rsidRPr="00CF2695" w:rsidRDefault="00700C24" w:rsidP="00700C24">
      <w:pPr>
        <w:spacing w:before="160" w:after="160"/>
      </w:pPr>
      <w:r w:rsidRPr="00CF2695">
        <w:t xml:space="preserve">The commission will communicate this policy to contractors, </w:t>
      </w:r>
      <w:r w:rsidR="003E0C87" w:rsidRPr="00CF2695">
        <w:t>consultants,</w:t>
      </w:r>
      <w:r w:rsidRPr="00CF2695">
        <w:t xml:space="preserve"> and other business associates. Those identified as acting inconsistently with this policy may be subject to contract re-negotiation, including termination. </w:t>
      </w:r>
    </w:p>
    <w:p w14:paraId="3C09ABFE" w14:textId="77777777" w:rsidR="00A27F8C" w:rsidRPr="00741550" w:rsidRDefault="00A27F8C" w:rsidP="003E0C87">
      <w:pPr>
        <w:pStyle w:val="Heading3"/>
      </w:pPr>
      <w:r w:rsidRPr="00741550">
        <w:t xml:space="preserve">You can report behaviour </w:t>
      </w:r>
      <w:r w:rsidRPr="00664234">
        <w:t>inconsistent</w:t>
      </w:r>
      <w:r w:rsidRPr="00741550">
        <w:t xml:space="preserve"> with this policy </w:t>
      </w:r>
    </w:p>
    <w:p w14:paraId="4062BABA" w14:textId="2C53D027" w:rsidR="008A1F1B" w:rsidRPr="000F0DAF" w:rsidRDefault="009F0B21" w:rsidP="008A1F1B">
      <w:pPr>
        <w:spacing w:before="160"/>
      </w:pPr>
      <w:r>
        <w:t xml:space="preserve">Individuals </w:t>
      </w:r>
      <w:r w:rsidR="008A1F1B" w:rsidRPr="00CF2695">
        <w:t>who consider that gifts, benefits and hospitality or conflict of interest within the commission may not have been declared or is not being appropriately managed should notify their manager</w:t>
      </w:r>
      <w:r w:rsidR="008A1F1B" w:rsidRPr="000F0DAF">
        <w:t xml:space="preserve">, Director or </w:t>
      </w:r>
      <w:r w:rsidR="00C82A96">
        <w:t>Office of the General Counsel</w:t>
      </w:r>
      <w:r w:rsidR="008A1F1B" w:rsidRPr="000F0DAF">
        <w:t xml:space="preserve">. </w:t>
      </w:r>
    </w:p>
    <w:p w14:paraId="26A23741" w14:textId="7B59A293" w:rsidR="008A1F1B" w:rsidRPr="000F0DAF" w:rsidRDefault="008A1F1B" w:rsidP="008A1F1B">
      <w:pPr>
        <w:spacing w:before="160"/>
      </w:pPr>
      <w:r w:rsidRPr="000F0DAF">
        <w:t xml:space="preserve">The commission will </w:t>
      </w:r>
      <w:proofErr w:type="gramStart"/>
      <w:r w:rsidRPr="000F0DAF">
        <w:t>take action</w:t>
      </w:r>
      <w:proofErr w:type="gramEnd"/>
      <w:r w:rsidRPr="000F0DAF">
        <w:t xml:space="preserve">, including possible disciplinary action, against </w:t>
      </w:r>
      <w:r w:rsidR="009F0B21">
        <w:t>individuals</w:t>
      </w:r>
      <w:r w:rsidRPr="000F0DAF">
        <w:t xml:space="preserve"> who discriminate against or victimise those who report behaviour that breaches our policies.</w:t>
      </w:r>
    </w:p>
    <w:p w14:paraId="382E8F9B" w14:textId="582578CF" w:rsidR="008A1F1B" w:rsidRDefault="008A1F1B" w:rsidP="008A1F1B">
      <w:pPr>
        <w:spacing w:before="160"/>
      </w:pPr>
      <w:r w:rsidRPr="00DF5928">
        <w:t xml:space="preserve">For serious corruption matters, including suspected unethical, illegal or improper behaviour, reports should be made using the commission’s </w:t>
      </w:r>
      <w:r w:rsidRPr="00014E0C">
        <w:t>P</w:t>
      </w:r>
      <w:r w:rsidR="00014E0C" w:rsidRPr="00014E0C">
        <w:t xml:space="preserve">ublic Interest </w:t>
      </w:r>
      <w:r w:rsidRPr="00014E0C">
        <w:t xml:space="preserve">Disclosures </w:t>
      </w:r>
      <w:r w:rsidR="006F6B9A">
        <w:t>p</w:t>
      </w:r>
      <w:r w:rsidRPr="00014E0C">
        <w:t>rocedure</w:t>
      </w:r>
      <w:r w:rsidRPr="00DF5928">
        <w:t xml:space="preserve"> to IBAC.</w:t>
      </w:r>
    </w:p>
    <w:p w14:paraId="3C09AC02" w14:textId="5043CC66" w:rsidR="00A27F8C" w:rsidRPr="00741550" w:rsidRDefault="00A27F8C" w:rsidP="00C915F5">
      <w:pPr>
        <w:pStyle w:val="Heading2"/>
      </w:pPr>
      <w:r w:rsidRPr="00741550">
        <w:t xml:space="preserve">Supporting documents </w:t>
      </w:r>
    </w:p>
    <w:p w14:paraId="3C09AC03" w14:textId="610C3CEF" w:rsidR="0020035A" w:rsidRPr="00741550" w:rsidRDefault="00E155ED" w:rsidP="00DB5165">
      <w:r w:rsidRPr="00741550">
        <w:t>In addition</w:t>
      </w:r>
      <w:r w:rsidR="00BA5996" w:rsidRPr="00741550">
        <w:t xml:space="preserve"> to this policy, </w:t>
      </w:r>
      <w:r w:rsidRPr="00741550">
        <w:t>the following may be consulted to further your understanding:</w:t>
      </w:r>
    </w:p>
    <w:tbl>
      <w:tblPr>
        <w:tblStyle w:val="TableGrid"/>
        <w:tblW w:w="0" w:type="auto"/>
        <w:tblLook w:val="0480" w:firstRow="0" w:lastRow="0" w:firstColumn="1" w:lastColumn="0" w:noHBand="0" w:noVBand="1"/>
      </w:tblPr>
      <w:tblGrid>
        <w:gridCol w:w="2835"/>
        <w:gridCol w:w="6803"/>
      </w:tblGrid>
      <w:tr w:rsidR="00E03B95" w:rsidRPr="00481132" w14:paraId="4D79C5DC" w14:textId="77777777" w:rsidTr="00B13E43">
        <w:trPr>
          <w:cnfStyle w:val="000000100000" w:firstRow="0" w:lastRow="0" w:firstColumn="0" w:lastColumn="0" w:oddVBand="0" w:evenVBand="0" w:oddHBand="1" w:evenHBand="0" w:firstRowFirstColumn="0" w:firstRowLastColumn="0" w:lastRowFirstColumn="0" w:lastRowLastColumn="0"/>
        </w:trPr>
        <w:tc>
          <w:tcPr>
            <w:tcW w:w="2835" w:type="dxa"/>
          </w:tcPr>
          <w:p w14:paraId="4FD41B18" w14:textId="74D11E35" w:rsidR="00E03B95" w:rsidRPr="00481132" w:rsidRDefault="00E03B95" w:rsidP="006B6BBA">
            <w:pPr>
              <w:pStyle w:val="TableBody"/>
            </w:pPr>
            <w:r w:rsidRPr="00481132">
              <w:t>Legislation or Victorian government policies mandating compliance</w:t>
            </w:r>
          </w:p>
        </w:tc>
        <w:tc>
          <w:tcPr>
            <w:tcW w:w="6803" w:type="dxa"/>
          </w:tcPr>
          <w:p w14:paraId="4DCFEDE7" w14:textId="77777777" w:rsidR="00E03B95" w:rsidRPr="00481132" w:rsidRDefault="006D6E35" w:rsidP="007C76A3">
            <w:pPr>
              <w:pStyle w:val="TableBody"/>
            </w:pPr>
            <w:r w:rsidRPr="00481132">
              <w:t>VPSC Gifts, Benefits and Hospitality Policy Guidelines</w:t>
            </w:r>
          </w:p>
          <w:p w14:paraId="4E05DD20" w14:textId="77777777" w:rsidR="006D6E35" w:rsidRPr="00481132" w:rsidRDefault="006D6E35" w:rsidP="007C76A3">
            <w:pPr>
              <w:pStyle w:val="TableBody"/>
            </w:pPr>
            <w:r w:rsidRPr="00481132">
              <w:t xml:space="preserve">Code of Conduct for </w:t>
            </w:r>
            <w:r w:rsidR="006567BC" w:rsidRPr="00481132">
              <w:t>Victorian Public Sector Employees</w:t>
            </w:r>
          </w:p>
          <w:p w14:paraId="53761B00" w14:textId="77777777" w:rsidR="006567BC" w:rsidRPr="00481132" w:rsidRDefault="006567BC" w:rsidP="007C76A3">
            <w:pPr>
              <w:pStyle w:val="TableBody"/>
            </w:pPr>
            <w:r w:rsidRPr="00481132">
              <w:t>Code of conduct for Directors of Victorian Public Entities</w:t>
            </w:r>
          </w:p>
          <w:p w14:paraId="7447E022" w14:textId="77777777" w:rsidR="006567BC" w:rsidRPr="00481132" w:rsidRDefault="006567BC" w:rsidP="007C76A3">
            <w:pPr>
              <w:pStyle w:val="TableBody"/>
              <w:rPr>
                <w:i/>
                <w:iCs/>
              </w:rPr>
            </w:pPr>
            <w:r w:rsidRPr="00481132">
              <w:rPr>
                <w:i/>
                <w:iCs/>
              </w:rPr>
              <w:t>Public Administration Act 2004</w:t>
            </w:r>
          </w:p>
          <w:p w14:paraId="17204EBF" w14:textId="5C5E39AE" w:rsidR="00FB7CCA" w:rsidRPr="00481132" w:rsidRDefault="00663463" w:rsidP="007C76A3">
            <w:pPr>
              <w:pStyle w:val="TableBody"/>
            </w:pPr>
            <w:r w:rsidRPr="00481132">
              <w:t>Standing Directions 2018</w:t>
            </w:r>
          </w:p>
        </w:tc>
      </w:tr>
      <w:tr w:rsidR="006567BC" w:rsidRPr="00481132" w14:paraId="6BFE6E63" w14:textId="77777777" w:rsidTr="00B13E43">
        <w:trPr>
          <w:cnfStyle w:val="000000010000" w:firstRow="0" w:lastRow="0" w:firstColumn="0" w:lastColumn="0" w:oddVBand="0" w:evenVBand="0" w:oddHBand="0" w:evenHBand="1" w:firstRowFirstColumn="0" w:firstRowLastColumn="0" w:lastRowFirstColumn="0" w:lastRowLastColumn="0"/>
        </w:trPr>
        <w:tc>
          <w:tcPr>
            <w:tcW w:w="2835" w:type="dxa"/>
          </w:tcPr>
          <w:p w14:paraId="53A865E8" w14:textId="182A1067" w:rsidR="006567BC" w:rsidRPr="00481132" w:rsidRDefault="006567BC" w:rsidP="006B6BBA">
            <w:pPr>
              <w:pStyle w:val="TableBody"/>
            </w:pPr>
            <w:r w:rsidRPr="00481132">
              <w:t>Related policies</w:t>
            </w:r>
            <w:r w:rsidR="006F6B9A">
              <w:t>/procedure</w:t>
            </w:r>
          </w:p>
        </w:tc>
        <w:tc>
          <w:tcPr>
            <w:tcW w:w="6803" w:type="dxa"/>
          </w:tcPr>
          <w:p w14:paraId="0957CDFF" w14:textId="2F9CA703" w:rsidR="006567BC" w:rsidRPr="00481132" w:rsidRDefault="006567BC" w:rsidP="006567BC">
            <w:pPr>
              <w:pStyle w:val="TableBody"/>
            </w:pPr>
            <w:r w:rsidRPr="00481132">
              <w:t>Conflict of interest policy</w:t>
            </w:r>
          </w:p>
          <w:p w14:paraId="6883E2B3" w14:textId="1074FA71" w:rsidR="00F84C28" w:rsidRDefault="00F84C28" w:rsidP="007C76A3">
            <w:pPr>
              <w:pStyle w:val="TableBody"/>
            </w:pPr>
            <w:r w:rsidRPr="0D708708">
              <w:rPr>
                <w:lang w:val="en-AU"/>
              </w:rPr>
              <w:t xml:space="preserve">Fraud, corruption and other losses policy </w:t>
            </w:r>
          </w:p>
          <w:p w14:paraId="7E5A5F14" w14:textId="558D280D" w:rsidR="00014E0C" w:rsidRPr="00481132" w:rsidRDefault="00014E0C" w:rsidP="007C76A3">
            <w:pPr>
              <w:pStyle w:val="TableBody"/>
            </w:pPr>
            <w:r>
              <w:t xml:space="preserve">Public Interest Disclosures </w:t>
            </w:r>
            <w:r w:rsidR="006F6B9A">
              <w:t>procedure</w:t>
            </w:r>
          </w:p>
        </w:tc>
      </w:tr>
      <w:tr w:rsidR="00F84C28" w:rsidRPr="00481132" w14:paraId="6B60DB5D" w14:textId="77777777" w:rsidTr="00B13E43">
        <w:trPr>
          <w:cnfStyle w:val="000000100000" w:firstRow="0" w:lastRow="0" w:firstColumn="0" w:lastColumn="0" w:oddVBand="0" w:evenVBand="0" w:oddHBand="1" w:evenHBand="0" w:firstRowFirstColumn="0" w:firstRowLastColumn="0" w:lastRowFirstColumn="0" w:lastRowLastColumn="0"/>
        </w:trPr>
        <w:tc>
          <w:tcPr>
            <w:tcW w:w="2835" w:type="dxa"/>
          </w:tcPr>
          <w:p w14:paraId="1ADDAA01" w14:textId="7ADFEE7D" w:rsidR="00F84C28" w:rsidRPr="00481132" w:rsidRDefault="00F84C28" w:rsidP="006B6BBA">
            <w:pPr>
              <w:pStyle w:val="TableBody"/>
            </w:pPr>
            <w:r w:rsidRPr="00481132">
              <w:t>Related documents</w:t>
            </w:r>
          </w:p>
        </w:tc>
        <w:tc>
          <w:tcPr>
            <w:tcW w:w="6803" w:type="dxa"/>
          </w:tcPr>
          <w:p w14:paraId="30E8FD34" w14:textId="7F1BFA2E" w:rsidR="00F84C28" w:rsidRPr="00481132" w:rsidRDefault="006B23CB" w:rsidP="00E03B95">
            <w:pPr>
              <w:pStyle w:val="TableBody"/>
              <w:rPr>
                <w:lang w:val="en-AU"/>
              </w:rPr>
            </w:pPr>
            <w:r w:rsidRPr="00481132">
              <w:rPr>
                <w:lang w:val="en-AU"/>
              </w:rPr>
              <w:t xml:space="preserve">Gifts, </w:t>
            </w:r>
            <w:r w:rsidR="00E120BB" w:rsidRPr="00481132">
              <w:rPr>
                <w:lang w:val="en-AU"/>
              </w:rPr>
              <w:t>benefits,</w:t>
            </w:r>
            <w:r w:rsidRPr="00481132">
              <w:rPr>
                <w:lang w:val="en-AU"/>
              </w:rPr>
              <w:t xml:space="preserve"> and hospitality declaration form</w:t>
            </w:r>
          </w:p>
          <w:p w14:paraId="41F85956" w14:textId="77777777" w:rsidR="00F84C28" w:rsidRPr="00481132" w:rsidRDefault="00341D87" w:rsidP="00341D87">
            <w:pPr>
              <w:pStyle w:val="TableBody"/>
              <w:rPr>
                <w:lang w:val="en-AU"/>
              </w:rPr>
            </w:pPr>
            <w:r w:rsidRPr="00481132">
              <w:rPr>
                <w:lang w:val="en-AU"/>
              </w:rPr>
              <w:t xml:space="preserve">Gifts, </w:t>
            </w:r>
            <w:r w:rsidR="00E120BB" w:rsidRPr="00481132">
              <w:rPr>
                <w:lang w:val="en-AU"/>
              </w:rPr>
              <w:t>benefits,</w:t>
            </w:r>
            <w:r w:rsidRPr="00481132">
              <w:rPr>
                <w:lang w:val="en-AU"/>
              </w:rPr>
              <w:t xml:space="preserve"> and hospitality register</w:t>
            </w:r>
          </w:p>
          <w:p w14:paraId="44CF9A57" w14:textId="78823564" w:rsidR="007E5F7F" w:rsidRPr="00481132" w:rsidRDefault="007E5F7F" w:rsidP="00341D87">
            <w:pPr>
              <w:pStyle w:val="TableBody"/>
            </w:pPr>
            <w:r w:rsidRPr="001566DE">
              <w:rPr>
                <w:lang w:val="en-AU"/>
              </w:rPr>
              <w:t>Hospitality expense form</w:t>
            </w:r>
          </w:p>
        </w:tc>
      </w:tr>
    </w:tbl>
    <w:p w14:paraId="3C09AC12" w14:textId="5D4FEC31" w:rsidR="00032E17" w:rsidRPr="00C915F5" w:rsidRDefault="00A27F8C" w:rsidP="00C915F5">
      <w:pPr>
        <w:pStyle w:val="Heading2"/>
      </w:pPr>
      <w:r w:rsidRPr="00C915F5">
        <w:rPr>
          <w:rStyle w:val="Heading3Char"/>
          <w:b/>
          <w:color w:val="4986A0"/>
          <w:szCs w:val="26"/>
        </w:rPr>
        <w:t xml:space="preserve">Summary of </w:t>
      </w:r>
      <w:r w:rsidR="0080308E" w:rsidRPr="00C915F5">
        <w:rPr>
          <w:rStyle w:val="Heading3Char"/>
          <w:b/>
          <w:color w:val="4986A0"/>
          <w:szCs w:val="26"/>
        </w:rPr>
        <w:t>r</w:t>
      </w:r>
      <w:r w:rsidRPr="00C915F5">
        <w:rPr>
          <w:rStyle w:val="Heading3Char"/>
          <w:b/>
          <w:color w:val="4986A0"/>
          <w:szCs w:val="26"/>
        </w:rPr>
        <w:t>esponsibilities</w:t>
      </w:r>
      <w:r w:rsidR="00032E17" w:rsidRPr="00C915F5">
        <w:t xml:space="preserve"> </w:t>
      </w:r>
    </w:p>
    <w:tbl>
      <w:tblPr>
        <w:tblStyle w:val="TableGrid"/>
        <w:tblW w:w="9780" w:type="dxa"/>
        <w:tblLook w:val="0480" w:firstRow="0" w:lastRow="0" w:firstColumn="1" w:lastColumn="0" w:noHBand="0" w:noVBand="1"/>
      </w:tblPr>
      <w:tblGrid>
        <w:gridCol w:w="2835"/>
        <w:gridCol w:w="6945"/>
      </w:tblGrid>
      <w:tr w:rsidR="00E03B95" w:rsidRPr="00481132" w14:paraId="69EEA685" w14:textId="77777777" w:rsidTr="00B13E43">
        <w:trPr>
          <w:cnfStyle w:val="000000100000" w:firstRow="0" w:lastRow="0" w:firstColumn="0" w:lastColumn="0" w:oddVBand="0" w:evenVBand="0" w:oddHBand="1" w:evenHBand="0" w:firstRowFirstColumn="0" w:firstRowLastColumn="0" w:lastRowFirstColumn="0" w:lastRowLastColumn="0"/>
          <w:trHeight w:val="920"/>
        </w:trPr>
        <w:tc>
          <w:tcPr>
            <w:tcW w:w="2835" w:type="dxa"/>
          </w:tcPr>
          <w:p w14:paraId="74593057" w14:textId="52064CAC" w:rsidR="00E03B95" w:rsidRPr="00481132" w:rsidRDefault="00341D87" w:rsidP="006B6BBA">
            <w:pPr>
              <w:pStyle w:val="TableBody"/>
            </w:pPr>
            <w:r w:rsidRPr="00481132">
              <w:t>Audit and Risk Committee</w:t>
            </w:r>
          </w:p>
        </w:tc>
        <w:tc>
          <w:tcPr>
            <w:tcW w:w="6945" w:type="dxa"/>
          </w:tcPr>
          <w:p w14:paraId="46D02F4C" w14:textId="27C9FE17" w:rsidR="00E03B95" w:rsidRPr="00481132" w:rsidRDefault="00341D87" w:rsidP="007C76A3">
            <w:pPr>
              <w:pStyle w:val="TableBody"/>
              <w:rPr>
                <w:b/>
                <w:lang w:val="en-AU"/>
              </w:rPr>
            </w:pPr>
            <w:r w:rsidRPr="0D708708">
              <w:rPr>
                <w:lang w:val="en-AU"/>
              </w:rPr>
              <w:t xml:space="preserve">Annual review of the gifts, benefits and hospitality register and policy and consideration of any risks, mitigation measures and proposed </w:t>
            </w:r>
            <w:r w:rsidRPr="0D708708">
              <w:rPr>
                <w:lang w:val="en-AU"/>
              </w:rPr>
              <w:lastRenderedPageBreak/>
              <w:t>improvements relating to the management and administration of gifts, benefits and hospitality.</w:t>
            </w:r>
          </w:p>
        </w:tc>
      </w:tr>
      <w:tr w:rsidR="00E03B95" w:rsidRPr="00481132" w14:paraId="350E345C" w14:textId="77777777" w:rsidTr="00B13E43">
        <w:trPr>
          <w:cnfStyle w:val="000000010000" w:firstRow="0" w:lastRow="0" w:firstColumn="0" w:lastColumn="0" w:oddVBand="0" w:evenVBand="0" w:oddHBand="0" w:evenHBand="1" w:firstRowFirstColumn="0" w:firstRowLastColumn="0" w:lastRowFirstColumn="0" w:lastRowLastColumn="0"/>
          <w:trHeight w:val="518"/>
        </w:trPr>
        <w:tc>
          <w:tcPr>
            <w:tcW w:w="2835" w:type="dxa"/>
          </w:tcPr>
          <w:p w14:paraId="76CC3CA4" w14:textId="33CECF1F" w:rsidR="00E03B95" w:rsidRPr="00481132" w:rsidRDefault="008F418D" w:rsidP="006B6BBA">
            <w:pPr>
              <w:pStyle w:val="TableBody"/>
            </w:pPr>
            <w:r w:rsidRPr="00481132">
              <w:lastRenderedPageBreak/>
              <w:t>Chief Executive Officer</w:t>
            </w:r>
          </w:p>
        </w:tc>
        <w:tc>
          <w:tcPr>
            <w:tcW w:w="6945" w:type="dxa"/>
          </w:tcPr>
          <w:p w14:paraId="6A0B580E" w14:textId="58C4A670" w:rsidR="00E03B95" w:rsidRPr="00481132" w:rsidRDefault="008F418D" w:rsidP="007C76A3">
            <w:pPr>
              <w:pStyle w:val="TableBody"/>
              <w:rPr>
                <w:b/>
                <w:lang w:val="en-AU"/>
              </w:rPr>
            </w:pPr>
            <w:r w:rsidRPr="0D708708">
              <w:rPr>
                <w:lang w:val="en-AU"/>
              </w:rPr>
              <w:t>Accountable for responding to and if required, reporting any reports of bribes or inducement.</w:t>
            </w:r>
          </w:p>
        </w:tc>
      </w:tr>
      <w:tr w:rsidR="00E03B95" w:rsidRPr="00481132" w14:paraId="05D69CD2" w14:textId="77777777" w:rsidTr="00B13E43">
        <w:trPr>
          <w:cnfStyle w:val="000000100000" w:firstRow="0" w:lastRow="0" w:firstColumn="0" w:lastColumn="0" w:oddVBand="0" w:evenVBand="0" w:oddHBand="1" w:evenHBand="0" w:firstRowFirstColumn="0" w:firstRowLastColumn="0" w:lastRowFirstColumn="0" w:lastRowLastColumn="0"/>
          <w:trHeight w:val="514"/>
        </w:trPr>
        <w:tc>
          <w:tcPr>
            <w:tcW w:w="2835" w:type="dxa"/>
          </w:tcPr>
          <w:p w14:paraId="11F7023C" w14:textId="79FB1E81" w:rsidR="00E03B95" w:rsidRPr="00481132" w:rsidRDefault="008F418D" w:rsidP="006B6BBA">
            <w:pPr>
              <w:pStyle w:val="TableBody"/>
            </w:pPr>
            <w:r w:rsidRPr="00481132">
              <w:t xml:space="preserve">Commission </w:t>
            </w:r>
            <w:r w:rsidR="00EC3841">
              <w:t>employees including contractors and consultants</w:t>
            </w:r>
          </w:p>
        </w:tc>
        <w:tc>
          <w:tcPr>
            <w:tcW w:w="6945" w:type="dxa"/>
          </w:tcPr>
          <w:p w14:paraId="49CF5525" w14:textId="2D16A17D" w:rsidR="00E03B95" w:rsidRPr="00481132" w:rsidRDefault="008F418D" w:rsidP="007C76A3">
            <w:pPr>
              <w:pStyle w:val="TableBody"/>
              <w:rPr>
                <w:b/>
              </w:rPr>
            </w:pPr>
            <w:r w:rsidRPr="00481132">
              <w:t>Responsible for acting in compliance with this policy.</w:t>
            </w:r>
          </w:p>
        </w:tc>
      </w:tr>
      <w:tr w:rsidR="00E03B95" w:rsidRPr="00481132" w14:paraId="1E3EC6E0" w14:textId="77777777" w:rsidTr="00B13E43">
        <w:trPr>
          <w:cnfStyle w:val="000000010000" w:firstRow="0" w:lastRow="0" w:firstColumn="0" w:lastColumn="0" w:oddVBand="0" w:evenVBand="0" w:oddHBand="0" w:evenHBand="1" w:firstRowFirstColumn="0" w:firstRowLastColumn="0" w:lastRowFirstColumn="0" w:lastRowLastColumn="0"/>
          <w:trHeight w:val="382"/>
        </w:trPr>
        <w:tc>
          <w:tcPr>
            <w:tcW w:w="2835" w:type="dxa"/>
          </w:tcPr>
          <w:p w14:paraId="4BDBC8D1" w14:textId="4A0536A0" w:rsidR="00E03B95" w:rsidRPr="00481132" w:rsidRDefault="00F96662" w:rsidP="006B6BBA">
            <w:pPr>
              <w:pStyle w:val="TableBody"/>
            </w:pPr>
            <w:r w:rsidRPr="00481132">
              <w:t>Directors</w:t>
            </w:r>
          </w:p>
        </w:tc>
        <w:tc>
          <w:tcPr>
            <w:tcW w:w="6945" w:type="dxa"/>
          </w:tcPr>
          <w:p w14:paraId="5B5F5AF8" w14:textId="5C0DD856" w:rsidR="00E03B95" w:rsidRPr="00481132" w:rsidRDefault="00F96662" w:rsidP="007C76A3">
            <w:pPr>
              <w:pStyle w:val="TableBody"/>
              <w:rPr>
                <w:b/>
                <w:lang w:val="en-AU"/>
              </w:rPr>
            </w:pPr>
            <w:r w:rsidRPr="0D708708">
              <w:rPr>
                <w:lang w:val="en-AU"/>
              </w:rPr>
              <w:t>Accountable for overseeing the management of their division’s acceptance or refusal of non-token gifts, benefits and hospitality, modelling good practice and promoting awareness and understanding of the gifts, benefits and hospitality policy</w:t>
            </w:r>
          </w:p>
        </w:tc>
      </w:tr>
      <w:tr w:rsidR="008F418D" w:rsidRPr="00481132" w14:paraId="0EB5CF53" w14:textId="77777777" w:rsidTr="00B13E43">
        <w:trPr>
          <w:cnfStyle w:val="000000100000" w:firstRow="0" w:lastRow="0" w:firstColumn="0" w:lastColumn="0" w:oddVBand="0" w:evenVBand="0" w:oddHBand="1" w:evenHBand="0" w:firstRowFirstColumn="0" w:firstRowLastColumn="0" w:lastRowFirstColumn="0" w:lastRowLastColumn="0"/>
          <w:trHeight w:val="382"/>
        </w:trPr>
        <w:tc>
          <w:tcPr>
            <w:tcW w:w="2835" w:type="dxa"/>
          </w:tcPr>
          <w:p w14:paraId="018672A6" w14:textId="5FA0C94D" w:rsidR="008F418D" w:rsidRPr="00481132" w:rsidRDefault="00F96662" w:rsidP="006B6BBA">
            <w:pPr>
              <w:pStyle w:val="TableBody"/>
            </w:pPr>
            <w:r w:rsidRPr="00481132">
              <w:t>Senior Manager, Governance and Risk</w:t>
            </w:r>
          </w:p>
        </w:tc>
        <w:tc>
          <w:tcPr>
            <w:tcW w:w="6945" w:type="dxa"/>
          </w:tcPr>
          <w:p w14:paraId="1DE9001B" w14:textId="1C31FABB" w:rsidR="008F418D" w:rsidRPr="00481132" w:rsidRDefault="00F96662" w:rsidP="007C76A3">
            <w:pPr>
              <w:pStyle w:val="TableBody"/>
            </w:pPr>
            <w:r w:rsidRPr="00481132">
              <w:t>Maintaining the currency of the gifts benefits and hospitality policy and the publication of this policy and annual register.</w:t>
            </w:r>
          </w:p>
        </w:tc>
      </w:tr>
    </w:tbl>
    <w:p w14:paraId="3C09AC20" w14:textId="31C56F34" w:rsidR="00032E17" w:rsidRPr="00BB1079" w:rsidRDefault="00097EE5" w:rsidP="00BB1079">
      <w:pPr>
        <w:pStyle w:val="Heading2"/>
        <w:rPr>
          <w:b w:val="0"/>
          <w:bCs/>
        </w:rPr>
      </w:pPr>
      <w:bookmarkStart w:id="5" w:name="_Glossary"/>
      <w:bookmarkEnd w:id="5"/>
      <w:r w:rsidRPr="00BB1079">
        <w:rPr>
          <w:rStyle w:val="Heading3Char"/>
          <w:b/>
          <w:bCs/>
        </w:rPr>
        <w:t>G</w:t>
      </w:r>
      <w:r w:rsidR="00A27F8C" w:rsidRPr="00BB1079">
        <w:rPr>
          <w:rStyle w:val="Heading3Char"/>
          <w:b/>
          <w:bCs/>
        </w:rPr>
        <w:t>lossary</w:t>
      </w:r>
      <w:r w:rsidR="00032E17" w:rsidRPr="00BB1079">
        <w:rPr>
          <w:b w:val="0"/>
          <w:bCs/>
          <w:sz w:val="20"/>
          <w:szCs w:val="20"/>
        </w:rPr>
        <w:t xml:space="preserve"> </w:t>
      </w:r>
    </w:p>
    <w:tbl>
      <w:tblPr>
        <w:tblStyle w:val="TableGrid"/>
        <w:tblW w:w="9780" w:type="dxa"/>
        <w:tblLook w:val="0480" w:firstRow="0" w:lastRow="0" w:firstColumn="1" w:lastColumn="0" w:noHBand="0" w:noVBand="1"/>
      </w:tblPr>
      <w:tblGrid>
        <w:gridCol w:w="2694"/>
        <w:gridCol w:w="7086"/>
      </w:tblGrid>
      <w:tr w:rsidR="00E03B95" w:rsidRPr="00481132" w14:paraId="15012102" w14:textId="77777777" w:rsidTr="00B13E43">
        <w:trPr>
          <w:cnfStyle w:val="000000100000" w:firstRow="0" w:lastRow="0" w:firstColumn="0" w:lastColumn="0" w:oddVBand="0" w:evenVBand="0" w:oddHBand="1" w:evenHBand="0" w:firstRowFirstColumn="0" w:firstRowLastColumn="0" w:lastRowFirstColumn="0" w:lastRowLastColumn="0"/>
        </w:trPr>
        <w:tc>
          <w:tcPr>
            <w:tcW w:w="2694" w:type="dxa"/>
          </w:tcPr>
          <w:p w14:paraId="4E80DF85" w14:textId="65B2622A" w:rsidR="00E03B95" w:rsidRPr="00481132" w:rsidRDefault="00097EE5" w:rsidP="006B6BBA">
            <w:pPr>
              <w:pStyle w:val="TableBody"/>
              <w:rPr>
                <w:bCs/>
              </w:rPr>
            </w:pPr>
            <w:r w:rsidRPr="00481132">
              <w:rPr>
                <w:bCs/>
              </w:rPr>
              <w:t>Benefits</w:t>
            </w:r>
          </w:p>
        </w:tc>
        <w:tc>
          <w:tcPr>
            <w:tcW w:w="7086" w:type="dxa"/>
          </w:tcPr>
          <w:p w14:paraId="3487E4F9" w14:textId="5D06B5D6" w:rsidR="00E03B95" w:rsidRPr="00481132" w:rsidRDefault="00896CF6" w:rsidP="00741550">
            <w:pPr>
              <w:pStyle w:val="TableBody"/>
            </w:pPr>
            <w:r w:rsidRPr="0D708708">
              <w:rPr>
                <w:lang w:val="en-AU"/>
              </w:rPr>
              <w:t xml:space="preserve">Includes preferential treatment, </w:t>
            </w:r>
            <w:r w:rsidR="00C2528B" w:rsidRPr="0D708708">
              <w:rPr>
                <w:lang w:val="en-AU"/>
              </w:rPr>
              <w:t>privileged access, favours or other advantage offered to an</w:t>
            </w:r>
            <w:r w:rsidR="00E12FE4" w:rsidRPr="0D708708">
              <w:rPr>
                <w:lang w:val="en-AU"/>
              </w:rPr>
              <w:t xml:space="preserve"> </w:t>
            </w:r>
            <w:r w:rsidR="009F0B21" w:rsidRPr="0D708708">
              <w:rPr>
                <w:lang w:val="en-AU"/>
              </w:rPr>
              <w:t>individual</w:t>
            </w:r>
            <w:r w:rsidR="00A05596" w:rsidRPr="0D708708">
              <w:rPr>
                <w:lang w:val="en-AU"/>
              </w:rPr>
              <w:t>. They may include invitations to sporting, cultural or social events, access to discounts and loyalty programs, and promises of a new job.</w:t>
            </w:r>
          </w:p>
          <w:p w14:paraId="1B9F2647" w14:textId="77777777" w:rsidR="00A05596" w:rsidRPr="00481132" w:rsidRDefault="00A05596" w:rsidP="00741550">
            <w:pPr>
              <w:pStyle w:val="TableBody"/>
              <w:rPr>
                <w:b/>
                <w:bCs/>
              </w:rPr>
            </w:pPr>
          </w:p>
          <w:p w14:paraId="0FEBB7BB" w14:textId="15FBB58A" w:rsidR="00A05596" w:rsidRPr="00481132" w:rsidRDefault="00A05596" w:rsidP="00741550">
            <w:pPr>
              <w:pStyle w:val="TableBody"/>
            </w:pPr>
            <w:r w:rsidRPr="0D708708">
              <w:rPr>
                <w:lang w:val="en-AU"/>
              </w:rPr>
              <w:t>The v</w:t>
            </w:r>
            <w:r w:rsidR="0096216D" w:rsidRPr="0D708708">
              <w:rPr>
                <w:lang w:val="en-AU"/>
              </w:rPr>
              <w:t xml:space="preserve">alue of a benefit may be difficult to determine </w:t>
            </w:r>
            <w:r w:rsidR="00FE612E" w:rsidRPr="0D708708">
              <w:rPr>
                <w:lang w:val="en-AU"/>
              </w:rPr>
              <w:t xml:space="preserve">but as they are valued by the </w:t>
            </w:r>
            <w:r w:rsidR="009F0B21" w:rsidRPr="0D708708">
              <w:rPr>
                <w:lang w:val="en-AU"/>
              </w:rPr>
              <w:t>individual</w:t>
            </w:r>
            <w:r w:rsidR="00FE612E" w:rsidRPr="0D708708">
              <w:rPr>
                <w:lang w:val="en-AU"/>
              </w:rPr>
              <w:t xml:space="preserve">, they may be used to influence the </w:t>
            </w:r>
            <w:r w:rsidR="009F0B21" w:rsidRPr="0D708708">
              <w:rPr>
                <w:lang w:val="en-AU"/>
              </w:rPr>
              <w:t>individual’s behaviour</w:t>
            </w:r>
            <w:r w:rsidR="00FE612E" w:rsidRPr="0D708708">
              <w:rPr>
                <w:lang w:val="en-AU"/>
              </w:rPr>
              <w:t>.</w:t>
            </w:r>
          </w:p>
        </w:tc>
      </w:tr>
      <w:tr w:rsidR="00097EE5" w:rsidRPr="00481132" w14:paraId="4BAC96FD" w14:textId="77777777" w:rsidTr="00B13E43">
        <w:trPr>
          <w:cnfStyle w:val="000000010000" w:firstRow="0" w:lastRow="0" w:firstColumn="0" w:lastColumn="0" w:oddVBand="0" w:evenVBand="0" w:oddHBand="0" w:evenHBand="1" w:firstRowFirstColumn="0" w:firstRowLastColumn="0" w:lastRowFirstColumn="0" w:lastRowLastColumn="0"/>
        </w:trPr>
        <w:tc>
          <w:tcPr>
            <w:tcW w:w="2694" w:type="dxa"/>
          </w:tcPr>
          <w:p w14:paraId="069A7679" w14:textId="5BDC94DD" w:rsidR="00097EE5" w:rsidRPr="00481132" w:rsidRDefault="00D02676" w:rsidP="00097EE5">
            <w:pPr>
              <w:pStyle w:val="TableBody"/>
            </w:pPr>
            <w:r w:rsidRPr="00481132">
              <w:t>C</w:t>
            </w:r>
            <w:r w:rsidR="00097EE5" w:rsidRPr="00481132">
              <w:t>ommission</w:t>
            </w:r>
          </w:p>
        </w:tc>
        <w:tc>
          <w:tcPr>
            <w:tcW w:w="7086" w:type="dxa"/>
          </w:tcPr>
          <w:p w14:paraId="6EBFB5C1" w14:textId="75CF7967" w:rsidR="00097EE5" w:rsidRPr="00481132" w:rsidRDefault="00097EE5" w:rsidP="00097EE5">
            <w:pPr>
              <w:pStyle w:val="TableBody"/>
            </w:pPr>
            <w:r w:rsidRPr="00481132">
              <w:t>The Essential Services Commission</w:t>
            </w:r>
          </w:p>
        </w:tc>
      </w:tr>
      <w:tr w:rsidR="00097EE5" w:rsidRPr="00481132" w14:paraId="0016B565" w14:textId="77777777" w:rsidTr="00B13E43">
        <w:trPr>
          <w:cnfStyle w:val="000000100000" w:firstRow="0" w:lastRow="0" w:firstColumn="0" w:lastColumn="0" w:oddVBand="0" w:evenVBand="0" w:oddHBand="1" w:evenHBand="0" w:firstRowFirstColumn="0" w:firstRowLastColumn="0" w:lastRowFirstColumn="0" w:lastRowLastColumn="0"/>
        </w:trPr>
        <w:tc>
          <w:tcPr>
            <w:tcW w:w="2694" w:type="dxa"/>
          </w:tcPr>
          <w:p w14:paraId="140EE1B1" w14:textId="7ABBBCC8" w:rsidR="00097EE5" w:rsidRPr="00481132" w:rsidRDefault="00FE612E" w:rsidP="00097EE5">
            <w:pPr>
              <w:pStyle w:val="TableBody"/>
            </w:pPr>
            <w:r w:rsidRPr="00481132">
              <w:t>Conflict of interest</w:t>
            </w:r>
          </w:p>
        </w:tc>
        <w:tc>
          <w:tcPr>
            <w:tcW w:w="7086" w:type="dxa"/>
          </w:tcPr>
          <w:p w14:paraId="68BAE39F" w14:textId="1EABD9E6" w:rsidR="00097EE5" w:rsidRPr="00481132" w:rsidRDefault="00D02676" w:rsidP="00097EE5">
            <w:pPr>
              <w:pStyle w:val="TableBody"/>
            </w:pPr>
            <w:proofErr w:type="gramStart"/>
            <w:r w:rsidRPr="00481132">
              <w:t>Actual</w:t>
            </w:r>
            <w:proofErr w:type="gramEnd"/>
            <w:r w:rsidRPr="00481132">
              <w:t xml:space="preserve">: There is a real conflict between the </w:t>
            </w:r>
            <w:r w:rsidR="009F0B21">
              <w:t>individual’s</w:t>
            </w:r>
            <w:r w:rsidR="00E12FE4">
              <w:t xml:space="preserve"> </w:t>
            </w:r>
            <w:r w:rsidRPr="00481132">
              <w:t>public duties and private interests</w:t>
            </w:r>
            <w:r w:rsidR="00243112" w:rsidRPr="00481132">
              <w:t>.</w:t>
            </w:r>
          </w:p>
          <w:p w14:paraId="6B89AD2F" w14:textId="77777777" w:rsidR="00AD1175" w:rsidRPr="00481132" w:rsidRDefault="00AD1175" w:rsidP="00097EE5">
            <w:pPr>
              <w:pStyle w:val="TableBody"/>
            </w:pPr>
          </w:p>
          <w:p w14:paraId="0CB7A439" w14:textId="058A893E" w:rsidR="00243112" w:rsidRPr="00481132" w:rsidRDefault="00243112" w:rsidP="00097EE5">
            <w:pPr>
              <w:pStyle w:val="TableBody"/>
            </w:pPr>
            <w:r w:rsidRPr="0D708708">
              <w:rPr>
                <w:lang w:val="en-AU"/>
              </w:rPr>
              <w:t xml:space="preserve">Potential: An </w:t>
            </w:r>
            <w:r w:rsidR="009F0B21" w:rsidRPr="0D708708">
              <w:rPr>
                <w:lang w:val="en-AU"/>
              </w:rPr>
              <w:t>individual</w:t>
            </w:r>
            <w:r w:rsidR="00E12FE4" w:rsidRPr="0D708708">
              <w:rPr>
                <w:lang w:val="en-AU"/>
              </w:rPr>
              <w:t xml:space="preserve"> </w:t>
            </w:r>
            <w:r w:rsidRPr="0D708708">
              <w:rPr>
                <w:lang w:val="en-AU"/>
              </w:rPr>
              <w:t>has private interests that could conflict with their public duties.  This refers to circumstances where it is forese</w:t>
            </w:r>
            <w:r w:rsidR="00AC338F" w:rsidRPr="0D708708">
              <w:rPr>
                <w:lang w:val="en-AU"/>
              </w:rPr>
              <w:t>eable that a conflict may arise in the future an</w:t>
            </w:r>
            <w:r w:rsidR="00AD1175" w:rsidRPr="0D708708">
              <w:rPr>
                <w:lang w:val="en-AU"/>
              </w:rPr>
              <w:t>d</w:t>
            </w:r>
            <w:r w:rsidR="00AC338F" w:rsidRPr="0D708708">
              <w:rPr>
                <w:lang w:val="en-AU"/>
              </w:rPr>
              <w:t xml:space="preserve"> steps should be taken now to mitigate that future risk.</w:t>
            </w:r>
          </w:p>
          <w:p w14:paraId="0D63DC8D" w14:textId="77777777" w:rsidR="00AD1175" w:rsidRPr="00481132" w:rsidRDefault="00AD1175" w:rsidP="00097EE5">
            <w:pPr>
              <w:pStyle w:val="TableBody"/>
            </w:pPr>
          </w:p>
          <w:p w14:paraId="675BFE19" w14:textId="182CEF6B" w:rsidR="00AD1175" w:rsidRPr="00481132" w:rsidRDefault="00AD1175" w:rsidP="00097EE5">
            <w:pPr>
              <w:pStyle w:val="TableBody"/>
            </w:pPr>
            <w:r w:rsidRPr="00481132">
              <w:t xml:space="preserve">Perceived: The public or a third party could form the view </w:t>
            </w:r>
            <w:proofErr w:type="gramStart"/>
            <w:r w:rsidRPr="00481132">
              <w:t>than</w:t>
            </w:r>
            <w:proofErr w:type="gramEnd"/>
            <w:r w:rsidRPr="00481132">
              <w:t xml:space="preserve"> an </w:t>
            </w:r>
            <w:r w:rsidR="009F0B21">
              <w:t>individual’s</w:t>
            </w:r>
            <w:r w:rsidRPr="00481132">
              <w:t xml:space="preserve"> private interests could improperly influence their decisions or actions, </w:t>
            </w:r>
            <w:proofErr w:type="gramStart"/>
            <w:r w:rsidRPr="00481132">
              <w:t>not or</w:t>
            </w:r>
            <w:proofErr w:type="gramEnd"/>
            <w:r w:rsidRPr="00481132">
              <w:t xml:space="preserve"> in the future.</w:t>
            </w:r>
          </w:p>
        </w:tc>
      </w:tr>
      <w:tr w:rsidR="0057451B" w:rsidRPr="00481132" w14:paraId="461F4CA8" w14:textId="77777777" w:rsidTr="00B13E43">
        <w:trPr>
          <w:cnfStyle w:val="000000010000" w:firstRow="0" w:lastRow="0" w:firstColumn="0" w:lastColumn="0" w:oddVBand="0" w:evenVBand="0" w:oddHBand="0" w:evenHBand="1" w:firstRowFirstColumn="0" w:firstRowLastColumn="0" w:lastRowFirstColumn="0" w:lastRowLastColumn="0"/>
        </w:trPr>
        <w:tc>
          <w:tcPr>
            <w:tcW w:w="2694" w:type="dxa"/>
          </w:tcPr>
          <w:p w14:paraId="463737C9" w14:textId="4F7376F4" w:rsidR="0057451B" w:rsidRPr="00481132" w:rsidRDefault="0057451B" w:rsidP="00097EE5">
            <w:pPr>
              <w:pStyle w:val="TableBody"/>
            </w:pPr>
            <w:r w:rsidRPr="00481132">
              <w:t>Gifts</w:t>
            </w:r>
          </w:p>
        </w:tc>
        <w:tc>
          <w:tcPr>
            <w:tcW w:w="7086" w:type="dxa"/>
          </w:tcPr>
          <w:p w14:paraId="4F63E399" w14:textId="1571D4D1" w:rsidR="0057451B" w:rsidRPr="00481132" w:rsidRDefault="00E91486" w:rsidP="00097EE5">
            <w:pPr>
              <w:pStyle w:val="TableBody"/>
            </w:pPr>
            <w:r w:rsidRPr="0D708708">
              <w:rPr>
                <w:lang w:val="en-AU"/>
              </w:rPr>
              <w:t>Free or discounted items and any item that would generally be seen by the public as a gift. These include items of high value (e.g., artwork, jewellery), low value (e.g., small bunch of flowers), consumables (e.g., chocolates) or door prizes.</w:t>
            </w:r>
          </w:p>
        </w:tc>
      </w:tr>
      <w:tr w:rsidR="00957334" w:rsidRPr="00481132" w14:paraId="3C763523" w14:textId="77777777" w:rsidTr="00B13E43">
        <w:trPr>
          <w:cnfStyle w:val="000000100000" w:firstRow="0" w:lastRow="0" w:firstColumn="0" w:lastColumn="0" w:oddVBand="0" w:evenVBand="0" w:oddHBand="1" w:evenHBand="0" w:firstRowFirstColumn="0" w:firstRowLastColumn="0" w:lastRowFirstColumn="0" w:lastRowLastColumn="0"/>
        </w:trPr>
        <w:tc>
          <w:tcPr>
            <w:tcW w:w="2694" w:type="dxa"/>
          </w:tcPr>
          <w:p w14:paraId="73635B2E" w14:textId="4CFD12E2" w:rsidR="00957334" w:rsidRPr="00481132" w:rsidRDefault="00D209FC" w:rsidP="00097EE5">
            <w:pPr>
              <w:pStyle w:val="TableBody"/>
            </w:pPr>
            <w:r w:rsidRPr="00481132">
              <w:t>Hospitality</w:t>
            </w:r>
          </w:p>
        </w:tc>
        <w:tc>
          <w:tcPr>
            <w:tcW w:w="7086" w:type="dxa"/>
          </w:tcPr>
          <w:p w14:paraId="45ADED52" w14:textId="046C69AE" w:rsidR="00957334" w:rsidRPr="00481132" w:rsidRDefault="00376D6C" w:rsidP="00097EE5">
            <w:pPr>
              <w:pStyle w:val="TableBody"/>
            </w:pPr>
            <w:r w:rsidRPr="00481132">
              <w:t>The friendly reception and entertainment of guests. Hospitality may include light refreshments at a business meeting, expensive restaurant meals, or sponsored travel and accommodation.</w:t>
            </w:r>
          </w:p>
        </w:tc>
      </w:tr>
      <w:tr w:rsidR="00097EE5" w:rsidRPr="00481132" w14:paraId="4FC09013" w14:textId="77777777" w:rsidTr="00B13E43">
        <w:trPr>
          <w:cnfStyle w:val="000000010000" w:firstRow="0" w:lastRow="0" w:firstColumn="0" w:lastColumn="0" w:oddVBand="0" w:evenVBand="0" w:oddHBand="0" w:evenHBand="1" w:firstRowFirstColumn="0" w:firstRowLastColumn="0" w:lastRowFirstColumn="0" w:lastRowLastColumn="0"/>
        </w:trPr>
        <w:tc>
          <w:tcPr>
            <w:tcW w:w="2694" w:type="dxa"/>
          </w:tcPr>
          <w:p w14:paraId="0912FA45" w14:textId="5AA5780E" w:rsidR="00097EE5" w:rsidRPr="00481132" w:rsidRDefault="008342E1" w:rsidP="00097EE5">
            <w:pPr>
              <w:pStyle w:val="TableBody"/>
              <w:rPr>
                <w:bCs/>
              </w:rPr>
            </w:pPr>
            <w:r w:rsidRPr="00481132">
              <w:rPr>
                <w:bCs/>
              </w:rPr>
              <w:lastRenderedPageBreak/>
              <w:t>Legitimate business benefit</w:t>
            </w:r>
          </w:p>
        </w:tc>
        <w:tc>
          <w:tcPr>
            <w:tcW w:w="7086" w:type="dxa"/>
          </w:tcPr>
          <w:p w14:paraId="4491E4AA" w14:textId="4B285A73" w:rsidR="00097EE5" w:rsidRPr="00481132" w:rsidRDefault="0051284F" w:rsidP="00097EE5">
            <w:pPr>
              <w:pStyle w:val="TableBody"/>
            </w:pPr>
            <w:r w:rsidRPr="0D708708">
              <w:rPr>
                <w:lang w:val="en-AU"/>
              </w:rPr>
              <w:t>Gifts, benefits and hospitality accepted or provided for a business purpose, in that it furthers the conduct of official business or other legitimate goals of the organisation, public sector or State.</w:t>
            </w:r>
          </w:p>
        </w:tc>
      </w:tr>
      <w:tr w:rsidR="0057451B" w:rsidRPr="00481132" w14:paraId="6E157832" w14:textId="77777777" w:rsidTr="00B13E43">
        <w:trPr>
          <w:cnfStyle w:val="000000100000" w:firstRow="0" w:lastRow="0" w:firstColumn="0" w:lastColumn="0" w:oddVBand="0" w:evenVBand="0" w:oddHBand="1" w:evenHBand="0" w:firstRowFirstColumn="0" w:firstRowLastColumn="0" w:lastRowFirstColumn="0" w:lastRowLastColumn="0"/>
        </w:trPr>
        <w:tc>
          <w:tcPr>
            <w:tcW w:w="2694" w:type="dxa"/>
          </w:tcPr>
          <w:p w14:paraId="7B1C0E22" w14:textId="6C5EB399" w:rsidR="0057451B" w:rsidRPr="00481132" w:rsidRDefault="0051284F" w:rsidP="00097EE5">
            <w:pPr>
              <w:pStyle w:val="TableBody"/>
            </w:pPr>
            <w:r w:rsidRPr="00481132">
              <w:t>Non-token offer</w:t>
            </w:r>
          </w:p>
        </w:tc>
        <w:tc>
          <w:tcPr>
            <w:tcW w:w="7086" w:type="dxa"/>
          </w:tcPr>
          <w:p w14:paraId="7E5716E0" w14:textId="13DBBD13" w:rsidR="0057451B" w:rsidRPr="00481132" w:rsidRDefault="00CD677D" w:rsidP="00097EE5">
            <w:pPr>
              <w:pStyle w:val="TableBody"/>
            </w:pPr>
            <w:r w:rsidRPr="00481132">
              <w:t>An offer of a gift, benefit or hospitality that is, or may be perceived to be by the recipient, the person making the offer or by the wider community, of more than inconsequential value. All offers worth more than $50 are non-token offers.</w:t>
            </w:r>
          </w:p>
        </w:tc>
      </w:tr>
      <w:tr w:rsidR="00E27855" w:rsidRPr="00481132" w14:paraId="11F2E2FF" w14:textId="77777777" w:rsidTr="00B13E43">
        <w:trPr>
          <w:cnfStyle w:val="000000010000" w:firstRow="0" w:lastRow="0" w:firstColumn="0" w:lastColumn="0" w:oddVBand="0" w:evenVBand="0" w:oddHBand="0" w:evenHBand="1" w:firstRowFirstColumn="0" w:firstRowLastColumn="0" w:lastRowFirstColumn="0" w:lastRowLastColumn="0"/>
        </w:trPr>
        <w:tc>
          <w:tcPr>
            <w:tcW w:w="2694" w:type="dxa"/>
          </w:tcPr>
          <w:p w14:paraId="0BD45471" w14:textId="5DBD3E82" w:rsidR="00E27855" w:rsidRPr="00481132" w:rsidRDefault="00E27855" w:rsidP="00097EE5">
            <w:pPr>
              <w:pStyle w:val="TableBody"/>
            </w:pPr>
            <w:r w:rsidRPr="00481132">
              <w:t>Register</w:t>
            </w:r>
          </w:p>
        </w:tc>
        <w:tc>
          <w:tcPr>
            <w:tcW w:w="7086" w:type="dxa"/>
          </w:tcPr>
          <w:p w14:paraId="6BB821BB" w14:textId="53F07E15" w:rsidR="00E27855" w:rsidRPr="00481132" w:rsidRDefault="00C96761" w:rsidP="00097EE5">
            <w:pPr>
              <w:pStyle w:val="TableBody"/>
            </w:pPr>
            <w:r w:rsidRPr="0D708708">
              <w:rPr>
                <w:lang w:val="en-AU"/>
              </w:rPr>
              <w:t>A record of all declared gifts, benefits and hospitality for the financial year.  A de-identified version is published on the commission’s website</w:t>
            </w:r>
            <w:r w:rsidR="002D20D5" w:rsidRPr="0D708708">
              <w:rPr>
                <w:lang w:val="en-AU"/>
              </w:rPr>
              <w:t>.</w:t>
            </w:r>
          </w:p>
        </w:tc>
      </w:tr>
      <w:tr w:rsidR="0057451B" w:rsidRPr="00481132" w14:paraId="26280A82" w14:textId="77777777" w:rsidTr="00B13E43">
        <w:trPr>
          <w:cnfStyle w:val="000000100000" w:firstRow="0" w:lastRow="0" w:firstColumn="0" w:lastColumn="0" w:oddVBand="0" w:evenVBand="0" w:oddHBand="1" w:evenHBand="0" w:firstRowFirstColumn="0" w:firstRowLastColumn="0" w:lastRowFirstColumn="0" w:lastRowLastColumn="0"/>
        </w:trPr>
        <w:tc>
          <w:tcPr>
            <w:tcW w:w="2694" w:type="dxa"/>
          </w:tcPr>
          <w:p w14:paraId="4FD869B2" w14:textId="55AC8344" w:rsidR="0057451B" w:rsidRPr="00481132" w:rsidRDefault="00C708E1" w:rsidP="00097EE5">
            <w:pPr>
              <w:pStyle w:val="TableBody"/>
            </w:pPr>
            <w:r w:rsidRPr="00481132">
              <w:t>Token offer</w:t>
            </w:r>
          </w:p>
        </w:tc>
        <w:tc>
          <w:tcPr>
            <w:tcW w:w="7086" w:type="dxa"/>
          </w:tcPr>
          <w:p w14:paraId="3C5BBB2A" w14:textId="62446D14" w:rsidR="0057451B" w:rsidRPr="00481132" w:rsidRDefault="009F3C0C" w:rsidP="00097EE5">
            <w:pPr>
              <w:pStyle w:val="TableBody"/>
            </w:pPr>
            <w:r w:rsidRPr="0D708708">
              <w:rPr>
                <w:lang w:val="en-AU"/>
              </w:rPr>
              <w:t>An offer of a gift, benefit or hospitality that is offered as a courtesy or is of inconsequential or trivial value to both the person making the offer and the</w:t>
            </w:r>
            <w:r w:rsidR="009F0B21" w:rsidRPr="0D708708">
              <w:rPr>
                <w:lang w:val="en-AU"/>
              </w:rPr>
              <w:t xml:space="preserve"> individual</w:t>
            </w:r>
            <w:r w:rsidRPr="0D708708">
              <w:rPr>
                <w:lang w:val="en-AU"/>
              </w:rPr>
              <w:t xml:space="preserve">. Whilst the primary determinant of a token offer is that it would not be reasonably perceived within or outside the organisation as influencing an </w:t>
            </w:r>
            <w:r w:rsidR="009F0B21" w:rsidRPr="0D708708">
              <w:rPr>
                <w:lang w:val="en-AU"/>
              </w:rPr>
              <w:t xml:space="preserve">individual </w:t>
            </w:r>
            <w:r w:rsidRPr="0D708708">
              <w:rPr>
                <w:lang w:val="en-AU"/>
              </w:rPr>
              <w:t>or raising an actual, potential or perceived conflict of interest, it cannot be worth more than $50</w:t>
            </w:r>
            <w:r w:rsidR="00E3595F" w:rsidRPr="0D708708">
              <w:rPr>
                <w:lang w:val="en-AU"/>
              </w:rPr>
              <w:t>.</w:t>
            </w:r>
            <w:r w:rsidRPr="0D708708">
              <w:rPr>
                <w:lang w:val="en-AU"/>
              </w:rPr>
              <w:t xml:space="preserve"> </w:t>
            </w:r>
          </w:p>
        </w:tc>
      </w:tr>
    </w:tbl>
    <w:p w14:paraId="0556AC02" w14:textId="50D5F74C" w:rsidR="00A526EF" w:rsidRPr="00741550" w:rsidRDefault="00741550" w:rsidP="00C915F5">
      <w:pPr>
        <w:pStyle w:val="Heading2"/>
      </w:pPr>
      <w:r w:rsidRPr="00741550">
        <w:t xml:space="preserve">Policy </w:t>
      </w:r>
      <w:r w:rsidR="0080308E">
        <w:t>m</w:t>
      </w:r>
      <w:r w:rsidRPr="00741550">
        <w:t>anagement</w:t>
      </w:r>
    </w:p>
    <w:tbl>
      <w:tblPr>
        <w:tblStyle w:val="TableGrid"/>
        <w:tblW w:w="9780" w:type="dxa"/>
        <w:tblLook w:val="0480" w:firstRow="0" w:lastRow="0" w:firstColumn="1" w:lastColumn="0" w:noHBand="0" w:noVBand="1"/>
      </w:tblPr>
      <w:tblGrid>
        <w:gridCol w:w="2087"/>
        <w:gridCol w:w="2805"/>
        <w:gridCol w:w="2497"/>
        <w:gridCol w:w="2391"/>
      </w:tblGrid>
      <w:tr w:rsidR="00741550" w:rsidRPr="00741550" w14:paraId="07D02A19" w14:textId="0DECF6B5" w:rsidTr="00741550">
        <w:trPr>
          <w:cnfStyle w:val="000000100000" w:firstRow="0" w:lastRow="0" w:firstColumn="0" w:lastColumn="0" w:oddVBand="0" w:evenVBand="0" w:oddHBand="1" w:evenHBand="0" w:firstRowFirstColumn="0" w:firstRowLastColumn="0" w:lastRowFirstColumn="0" w:lastRowLastColumn="0"/>
        </w:trPr>
        <w:tc>
          <w:tcPr>
            <w:tcW w:w="2087" w:type="dxa"/>
          </w:tcPr>
          <w:p w14:paraId="2A080FBA" w14:textId="4D44AACD" w:rsidR="00741550" w:rsidRPr="00741550" w:rsidRDefault="00741550" w:rsidP="00741550">
            <w:pPr>
              <w:pStyle w:val="TableBold"/>
              <w:rPr>
                <w:lang w:val="en-AU"/>
              </w:rPr>
            </w:pPr>
            <w:r w:rsidRPr="00741550">
              <w:rPr>
                <w:lang w:val="en-AU"/>
              </w:rPr>
              <w:t>Date effective</w:t>
            </w:r>
          </w:p>
        </w:tc>
        <w:tc>
          <w:tcPr>
            <w:tcW w:w="2805" w:type="dxa"/>
          </w:tcPr>
          <w:p w14:paraId="33A7C39A" w14:textId="1DD72D8C" w:rsidR="00741550" w:rsidRPr="00741550" w:rsidRDefault="00042508" w:rsidP="007C76A3">
            <w:pPr>
              <w:pStyle w:val="TableBody"/>
            </w:pPr>
            <w:r>
              <w:t>June</w:t>
            </w:r>
            <w:r w:rsidR="00585426">
              <w:t xml:space="preserve"> 2024</w:t>
            </w:r>
          </w:p>
        </w:tc>
        <w:tc>
          <w:tcPr>
            <w:tcW w:w="2497" w:type="dxa"/>
          </w:tcPr>
          <w:p w14:paraId="07EB0FAE" w14:textId="73007C2B" w:rsidR="00741550" w:rsidRPr="00741550" w:rsidRDefault="00741550" w:rsidP="00741550">
            <w:pPr>
              <w:pStyle w:val="TableBold"/>
              <w:rPr>
                <w:lang w:val="en-AU"/>
              </w:rPr>
            </w:pPr>
            <w:r w:rsidRPr="00741550">
              <w:rPr>
                <w:lang w:val="en-AU"/>
              </w:rPr>
              <w:t>Policy owner</w:t>
            </w:r>
          </w:p>
        </w:tc>
        <w:tc>
          <w:tcPr>
            <w:tcW w:w="2391" w:type="dxa"/>
          </w:tcPr>
          <w:p w14:paraId="699165B4" w14:textId="6AAE4EB0" w:rsidR="00741550" w:rsidRPr="00741550" w:rsidRDefault="00585426" w:rsidP="007C76A3">
            <w:pPr>
              <w:pStyle w:val="TableBody"/>
            </w:pPr>
            <w:r>
              <w:t>Executive Director, Governance Legal Operations and Engagement</w:t>
            </w:r>
          </w:p>
        </w:tc>
      </w:tr>
      <w:tr w:rsidR="00741550" w:rsidRPr="00741550" w14:paraId="7AD5F71C" w14:textId="63E00B5B" w:rsidTr="00741550">
        <w:trPr>
          <w:cnfStyle w:val="000000010000" w:firstRow="0" w:lastRow="0" w:firstColumn="0" w:lastColumn="0" w:oddVBand="0" w:evenVBand="0" w:oddHBand="0" w:evenHBand="1" w:firstRowFirstColumn="0" w:firstRowLastColumn="0" w:lastRowFirstColumn="0" w:lastRowLastColumn="0"/>
        </w:trPr>
        <w:tc>
          <w:tcPr>
            <w:tcW w:w="2087" w:type="dxa"/>
          </w:tcPr>
          <w:p w14:paraId="6882D3C9" w14:textId="5E5945ED" w:rsidR="00741550" w:rsidRPr="00741550" w:rsidRDefault="00741550" w:rsidP="00741550">
            <w:pPr>
              <w:pStyle w:val="TableBold"/>
              <w:rPr>
                <w:lang w:val="en-AU"/>
              </w:rPr>
            </w:pPr>
            <w:r w:rsidRPr="00741550">
              <w:rPr>
                <w:lang w:val="en-AU"/>
              </w:rPr>
              <w:t>Next review date</w:t>
            </w:r>
          </w:p>
        </w:tc>
        <w:tc>
          <w:tcPr>
            <w:tcW w:w="2805" w:type="dxa"/>
          </w:tcPr>
          <w:p w14:paraId="0F3C6613" w14:textId="5F7DF22D" w:rsidR="00741550" w:rsidRPr="00741550" w:rsidRDefault="00042508" w:rsidP="007C76A3">
            <w:pPr>
              <w:pStyle w:val="TableBody"/>
            </w:pPr>
            <w:r>
              <w:t>June</w:t>
            </w:r>
            <w:r w:rsidR="00B51BE5">
              <w:t xml:space="preserve"> </w:t>
            </w:r>
            <w:r w:rsidR="0028269C">
              <w:t>202</w:t>
            </w:r>
            <w:r w:rsidR="00667619">
              <w:t>6</w:t>
            </w:r>
          </w:p>
        </w:tc>
        <w:tc>
          <w:tcPr>
            <w:tcW w:w="2497" w:type="dxa"/>
          </w:tcPr>
          <w:p w14:paraId="23CF1C18" w14:textId="74A86F0F" w:rsidR="00741550" w:rsidRPr="00741550" w:rsidRDefault="00741550" w:rsidP="00741550">
            <w:pPr>
              <w:pStyle w:val="TableBold"/>
              <w:rPr>
                <w:lang w:val="en-AU"/>
              </w:rPr>
            </w:pPr>
            <w:r w:rsidRPr="00741550">
              <w:rPr>
                <w:lang w:val="en-AU"/>
              </w:rPr>
              <w:t>Content enquiries</w:t>
            </w:r>
          </w:p>
        </w:tc>
        <w:tc>
          <w:tcPr>
            <w:tcW w:w="2391" w:type="dxa"/>
          </w:tcPr>
          <w:p w14:paraId="7E9C0C96" w14:textId="06FC63FC" w:rsidR="00741550" w:rsidRPr="00741550" w:rsidRDefault="0028269C" w:rsidP="00741550">
            <w:r>
              <w:t>Claire Lane</w:t>
            </w:r>
          </w:p>
        </w:tc>
      </w:tr>
      <w:tr w:rsidR="00741550" w:rsidRPr="00741550" w14:paraId="6BB87FAE" w14:textId="552176DB" w:rsidTr="00741550">
        <w:trPr>
          <w:cnfStyle w:val="000000100000" w:firstRow="0" w:lastRow="0" w:firstColumn="0" w:lastColumn="0" w:oddVBand="0" w:evenVBand="0" w:oddHBand="1" w:evenHBand="0" w:firstRowFirstColumn="0" w:firstRowLastColumn="0" w:lastRowFirstColumn="0" w:lastRowLastColumn="0"/>
        </w:trPr>
        <w:tc>
          <w:tcPr>
            <w:tcW w:w="2087" w:type="dxa"/>
          </w:tcPr>
          <w:p w14:paraId="063A965E" w14:textId="21DC6B91" w:rsidR="00741550" w:rsidRPr="00741550" w:rsidRDefault="00741550" w:rsidP="00741550">
            <w:pPr>
              <w:pStyle w:val="TableBold"/>
              <w:rPr>
                <w:lang w:val="en-AU"/>
              </w:rPr>
            </w:pPr>
            <w:r w:rsidRPr="00741550">
              <w:rPr>
                <w:lang w:val="en-AU"/>
              </w:rPr>
              <w:t>Approved by</w:t>
            </w:r>
          </w:p>
        </w:tc>
        <w:tc>
          <w:tcPr>
            <w:tcW w:w="2805" w:type="dxa"/>
          </w:tcPr>
          <w:p w14:paraId="45039725" w14:textId="048BD3FD" w:rsidR="00741550" w:rsidRPr="00741550" w:rsidRDefault="00B51BE5" w:rsidP="00741550">
            <w:pPr>
              <w:pStyle w:val="TableBody"/>
              <w:rPr>
                <w:lang w:val="en-AU"/>
              </w:rPr>
            </w:pPr>
            <w:r>
              <w:rPr>
                <w:lang w:val="en-AU"/>
              </w:rPr>
              <w:t>Sarah Sheppard</w:t>
            </w:r>
          </w:p>
          <w:p w14:paraId="52FC78E5" w14:textId="7A3BB814" w:rsidR="00741550" w:rsidRPr="00741550" w:rsidRDefault="00741550" w:rsidP="007C76A3">
            <w:pPr>
              <w:pStyle w:val="TableBody"/>
              <w:rPr>
                <w:lang w:val="en-AU"/>
              </w:rPr>
            </w:pPr>
            <w:r w:rsidRPr="00741550">
              <w:rPr>
                <w:lang w:val="en-AU"/>
              </w:rPr>
              <w:t xml:space="preserve">CEO  </w:t>
            </w:r>
          </w:p>
        </w:tc>
        <w:tc>
          <w:tcPr>
            <w:tcW w:w="2497" w:type="dxa"/>
          </w:tcPr>
          <w:p w14:paraId="176E4F9F" w14:textId="7CB992F3" w:rsidR="00741550" w:rsidRPr="00741550" w:rsidRDefault="00741550" w:rsidP="00741550">
            <w:pPr>
              <w:pStyle w:val="TableBold"/>
              <w:rPr>
                <w:lang w:val="en-AU"/>
              </w:rPr>
            </w:pPr>
            <w:r w:rsidRPr="00741550">
              <w:rPr>
                <w:lang w:val="en-AU"/>
              </w:rPr>
              <w:t>Scope</w:t>
            </w:r>
          </w:p>
        </w:tc>
        <w:tc>
          <w:tcPr>
            <w:tcW w:w="2391" w:type="dxa"/>
          </w:tcPr>
          <w:p w14:paraId="664D68C8" w14:textId="6011C4BC" w:rsidR="00741550" w:rsidRPr="00741550" w:rsidRDefault="00741550" w:rsidP="007C76A3">
            <w:pPr>
              <w:pStyle w:val="TableBody"/>
            </w:pPr>
            <w:r w:rsidRPr="00072C8C">
              <w:rPr>
                <w:lang w:val="en-AU"/>
              </w:rPr>
              <w:t>Organisation</w:t>
            </w:r>
          </w:p>
        </w:tc>
      </w:tr>
      <w:tr w:rsidR="00741550" w:rsidRPr="00741550" w14:paraId="265F9A9D" w14:textId="55D1E2F6" w:rsidTr="00741550">
        <w:trPr>
          <w:cnfStyle w:val="000000010000" w:firstRow="0" w:lastRow="0" w:firstColumn="0" w:lastColumn="0" w:oddVBand="0" w:evenVBand="0" w:oddHBand="0" w:evenHBand="1" w:firstRowFirstColumn="0" w:firstRowLastColumn="0" w:lastRowFirstColumn="0" w:lastRowLastColumn="0"/>
        </w:trPr>
        <w:tc>
          <w:tcPr>
            <w:tcW w:w="2087" w:type="dxa"/>
          </w:tcPr>
          <w:p w14:paraId="17ABDCE1" w14:textId="07D626CB" w:rsidR="00741550" w:rsidRPr="00741550" w:rsidRDefault="00741550" w:rsidP="00741550">
            <w:pPr>
              <w:pStyle w:val="TableBold"/>
              <w:rPr>
                <w:lang w:val="en-AU"/>
              </w:rPr>
            </w:pPr>
            <w:r w:rsidRPr="00741550">
              <w:rPr>
                <w:lang w:val="en-AU"/>
              </w:rPr>
              <w:t xml:space="preserve">RM </w:t>
            </w:r>
            <w:r w:rsidR="00C0070F">
              <w:rPr>
                <w:lang w:val="en-AU"/>
              </w:rPr>
              <w:t>r</w:t>
            </w:r>
            <w:r w:rsidRPr="00741550">
              <w:rPr>
                <w:lang w:val="en-AU"/>
              </w:rPr>
              <w:t>eference</w:t>
            </w:r>
          </w:p>
        </w:tc>
        <w:tc>
          <w:tcPr>
            <w:tcW w:w="2805" w:type="dxa"/>
          </w:tcPr>
          <w:p w14:paraId="7CAC23E5" w14:textId="15C16E98" w:rsidR="00741550" w:rsidRPr="00741550" w:rsidRDefault="00741550" w:rsidP="007C76A3">
            <w:pPr>
              <w:pStyle w:val="TableBody"/>
            </w:pPr>
          </w:p>
        </w:tc>
        <w:tc>
          <w:tcPr>
            <w:tcW w:w="2497" w:type="dxa"/>
          </w:tcPr>
          <w:p w14:paraId="5F75122F" w14:textId="764761E5" w:rsidR="00741550" w:rsidRPr="00741550" w:rsidRDefault="00741550" w:rsidP="00741550">
            <w:pPr>
              <w:pStyle w:val="TableBold"/>
              <w:rPr>
                <w:lang w:val="en-AU"/>
              </w:rPr>
            </w:pPr>
            <w:r w:rsidRPr="00741550">
              <w:rPr>
                <w:lang w:val="en-AU"/>
              </w:rPr>
              <w:t>Category</w:t>
            </w:r>
          </w:p>
        </w:tc>
        <w:tc>
          <w:tcPr>
            <w:tcW w:w="2391" w:type="dxa"/>
          </w:tcPr>
          <w:p w14:paraId="5C03CEC5" w14:textId="64D42005" w:rsidR="00741550" w:rsidRPr="00741550" w:rsidRDefault="00741550" w:rsidP="007C76A3">
            <w:pPr>
              <w:pStyle w:val="TableBody"/>
            </w:pPr>
            <w:r w:rsidRPr="00741550">
              <w:t>Operational</w:t>
            </w:r>
          </w:p>
        </w:tc>
      </w:tr>
    </w:tbl>
    <w:p w14:paraId="4BC0C75F" w14:textId="018CA722" w:rsidR="00767304" w:rsidRDefault="00767304" w:rsidP="008D6ADF">
      <w:pPr>
        <w:rPr>
          <w:rFonts w:ascii="Tahoma" w:eastAsiaTheme="majorEastAsia" w:hAnsi="Tahoma" w:cstheme="majorBidi"/>
          <w:sz w:val="26"/>
          <w:szCs w:val="26"/>
        </w:rPr>
      </w:pPr>
    </w:p>
    <w:p w14:paraId="0BF4690B" w14:textId="77777777" w:rsidR="00417421" w:rsidRDefault="00417421">
      <w:pPr>
        <w:spacing w:before="0" w:after="160" w:line="259" w:lineRule="auto"/>
        <w:rPr>
          <w:rFonts w:ascii="Tahoma" w:eastAsiaTheme="majorEastAsia" w:hAnsi="Tahoma" w:cstheme="majorBidi"/>
          <w:sz w:val="26"/>
          <w:szCs w:val="26"/>
        </w:rPr>
      </w:pPr>
      <w:r>
        <w:rPr>
          <w:rFonts w:ascii="Tahoma" w:eastAsiaTheme="majorEastAsia" w:hAnsi="Tahoma" w:cstheme="majorBidi"/>
          <w:sz w:val="26"/>
          <w:szCs w:val="26"/>
        </w:rPr>
        <w:br w:type="page"/>
      </w:r>
    </w:p>
    <w:p w14:paraId="7CDCDCDB" w14:textId="4B77F007" w:rsidR="00125380" w:rsidRDefault="00B900D0" w:rsidP="008444BF">
      <w:pPr>
        <w:pStyle w:val="Heading2"/>
        <w:spacing w:before="0"/>
      </w:pPr>
      <w:r>
        <w:lastRenderedPageBreak/>
        <w:t>Appendix A:  Gift and Host Tests</w:t>
      </w:r>
    </w:p>
    <w:p w14:paraId="410F9BF2" w14:textId="259A61C5" w:rsidR="00B900D0" w:rsidRDefault="004073CC" w:rsidP="004073CC">
      <w:pPr>
        <w:pStyle w:val="Heading3"/>
      </w:pPr>
      <w:bookmarkStart w:id="6" w:name="_Table_1._Gift"/>
      <w:bookmarkEnd w:id="6"/>
      <w:r>
        <w:t>Table 1. Gift test</w:t>
      </w:r>
    </w:p>
    <w:tbl>
      <w:tblPr>
        <w:tblStyle w:val="TableGrid"/>
        <w:tblW w:w="9639" w:type="dxa"/>
        <w:tblLook w:val="04A0" w:firstRow="1" w:lastRow="0" w:firstColumn="1" w:lastColumn="0" w:noHBand="0" w:noVBand="1"/>
      </w:tblPr>
      <w:tblGrid>
        <w:gridCol w:w="426"/>
        <w:gridCol w:w="1134"/>
        <w:gridCol w:w="8079"/>
      </w:tblGrid>
      <w:tr w:rsidR="002D70AF" w:rsidRPr="00CC157D" w14:paraId="06DD09D2" w14:textId="77777777" w:rsidTr="00CC157D">
        <w:trPr>
          <w:cnfStyle w:val="100000000000" w:firstRow="1" w:lastRow="0" w:firstColumn="0" w:lastColumn="0" w:oddVBand="0" w:evenVBand="0" w:oddHBand="0" w:evenHBand="0" w:firstRowFirstColumn="0" w:firstRowLastColumn="0" w:lastRowFirstColumn="0" w:lastRowLastColumn="0"/>
        </w:trPr>
        <w:tc>
          <w:tcPr>
            <w:tcW w:w="426" w:type="dxa"/>
            <w:shd w:val="clear" w:color="auto" w:fill="8CB8CB" w:themeFill="text2" w:themeFillTint="99"/>
          </w:tcPr>
          <w:p w14:paraId="79B365E8" w14:textId="77777777" w:rsidR="002D70AF" w:rsidRPr="00CC157D" w:rsidRDefault="002D70AF" w:rsidP="00BE5617">
            <w:pPr>
              <w:spacing w:before="60" w:after="60" w:line="276" w:lineRule="auto"/>
              <w:rPr>
                <w:rFonts w:ascii="Arial" w:eastAsia="Calibri" w:hAnsi="Arial" w:cs="Arial"/>
                <w:i/>
                <w:iCs/>
                <w:color w:val="auto"/>
                <w:sz w:val="20"/>
                <w:szCs w:val="20"/>
              </w:rPr>
            </w:pPr>
            <w:r w:rsidRPr="00CC157D">
              <w:rPr>
                <w:rFonts w:ascii="Arial" w:eastAsia="Calibri" w:hAnsi="Arial" w:cs="Arial"/>
                <w:color w:val="auto"/>
                <w:sz w:val="20"/>
                <w:szCs w:val="20"/>
              </w:rPr>
              <w:t>G</w:t>
            </w:r>
          </w:p>
        </w:tc>
        <w:tc>
          <w:tcPr>
            <w:tcW w:w="1134" w:type="dxa"/>
            <w:shd w:val="clear" w:color="auto" w:fill="8CB8CB" w:themeFill="text2" w:themeFillTint="99"/>
          </w:tcPr>
          <w:p w14:paraId="72595B42" w14:textId="77777777" w:rsidR="002D70AF" w:rsidRPr="00CC157D" w:rsidRDefault="002D70AF" w:rsidP="00BE5617">
            <w:pPr>
              <w:spacing w:before="60" w:after="60" w:line="276" w:lineRule="auto"/>
              <w:rPr>
                <w:rFonts w:ascii="Arial" w:eastAsia="Calibri" w:hAnsi="Arial" w:cs="Arial"/>
                <w:b w:val="0"/>
                <w:color w:val="auto"/>
                <w:sz w:val="20"/>
                <w:szCs w:val="20"/>
              </w:rPr>
            </w:pPr>
            <w:r w:rsidRPr="00CC157D">
              <w:rPr>
                <w:rFonts w:ascii="Arial" w:eastAsia="Calibri" w:hAnsi="Arial" w:cs="Arial"/>
                <w:b w:val="0"/>
                <w:color w:val="auto"/>
                <w:sz w:val="20"/>
                <w:szCs w:val="20"/>
              </w:rPr>
              <w:t>Giver</w:t>
            </w:r>
          </w:p>
        </w:tc>
        <w:tc>
          <w:tcPr>
            <w:tcW w:w="8079" w:type="dxa"/>
            <w:shd w:val="clear" w:color="auto" w:fill="F2F2F2" w:themeFill="background1" w:themeFillShade="F2"/>
          </w:tcPr>
          <w:p w14:paraId="690ED50E" w14:textId="296DA5A8" w:rsidR="002D70AF" w:rsidRPr="00CC157D" w:rsidRDefault="002D70AF" w:rsidP="00BE5617">
            <w:pPr>
              <w:spacing w:before="60" w:after="60" w:line="276" w:lineRule="auto"/>
              <w:rPr>
                <w:rFonts w:ascii="Arial" w:eastAsia="Calibri" w:hAnsi="Arial" w:cs="Arial"/>
                <w:color w:val="auto"/>
                <w:sz w:val="20"/>
                <w:szCs w:val="20"/>
              </w:rPr>
            </w:pPr>
            <w:r w:rsidRPr="00CC157D">
              <w:rPr>
                <w:rFonts w:ascii="Arial" w:eastAsia="Calibri" w:hAnsi="Arial" w:cs="Arial"/>
                <w:color w:val="auto"/>
                <w:sz w:val="20"/>
                <w:szCs w:val="20"/>
              </w:rPr>
              <w:t xml:space="preserve">Who is providing the gift, </w:t>
            </w:r>
            <w:r w:rsidR="00FA6984" w:rsidRPr="00CC157D">
              <w:rPr>
                <w:rFonts w:ascii="Arial" w:eastAsia="Calibri" w:hAnsi="Arial" w:cs="Arial"/>
                <w:color w:val="auto"/>
                <w:sz w:val="20"/>
                <w:szCs w:val="20"/>
              </w:rPr>
              <w:t>benefit,</w:t>
            </w:r>
            <w:r w:rsidRPr="00CC157D">
              <w:rPr>
                <w:rFonts w:ascii="Arial" w:eastAsia="Calibri" w:hAnsi="Arial" w:cs="Arial"/>
                <w:color w:val="auto"/>
                <w:sz w:val="20"/>
                <w:szCs w:val="20"/>
              </w:rPr>
              <w:t xml:space="preserve"> or hospitality and what is their relationship to me?</w:t>
            </w:r>
          </w:p>
          <w:p w14:paraId="79107172" w14:textId="77777777" w:rsidR="002D70AF" w:rsidRPr="00CC157D" w:rsidRDefault="002D70AF" w:rsidP="00BE5617">
            <w:pPr>
              <w:spacing w:before="60" w:after="60" w:line="276" w:lineRule="auto"/>
              <w:rPr>
                <w:rFonts w:ascii="Arial" w:eastAsia="Calibri" w:hAnsi="Arial" w:cs="Arial"/>
                <w:b w:val="0"/>
                <w:color w:val="auto"/>
                <w:sz w:val="20"/>
                <w:szCs w:val="20"/>
              </w:rPr>
            </w:pPr>
            <w:r w:rsidRPr="00CC157D">
              <w:rPr>
                <w:rFonts w:ascii="Arial" w:eastAsia="Calibri" w:hAnsi="Arial" w:cs="Arial"/>
                <w:b w:val="0"/>
                <w:color w:val="auto"/>
                <w:sz w:val="20"/>
                <w:szCs w:val="20"/>
              </w:rPr>
              <w:t>Does my role require me to select suppliers, award grants, regulate industries or determine government policies? Could the person or organisation benefit from a decision I make?</w:t>
            </w:r>
          </w:p>
        </w:tc>
      </w:tr>
      <w:tr w:rsidR="002D70AF" w:rsidRPr="00CC157D" w14:paraId="26AC8740" w14:textId="77777777" w:rsidTr="00CC157D">
        <w:trPr>
          <w:cnfStyle w:val="000000100000" w:firstRow="0" w:lastRow="0" w:firstColumn="0" w:lastColumn="0" w:oddVBand="0" w:evenVBand="0" w:oddHBand="1" w:evenHBand="0" w:firstRowFirstColumn="0" w:firstRowLastColumn="0" w:lastRowFirstColumn="0" w:lastRowLastColumn="0"/>
        </w:trPr>
        <w:tc>
          <w:tcPr>
            <w:tcW w:w="426" w:type="dxa"/>
            <w:shd w:val="clear" w:color="auto" w:fill="8CB8CB" w:themeFill="text2" w:themeFillTint="99"/>
          </w:tcPr>
          <w:p w14:paraId="68CE63E0" w14:textId="77777777" w:rsidR="002D70AF" w:rsidRPr="00CC157D" w:rsidRDefault="002D70AF" w:rsidP="00BE5617">
            <w:pPr>
              <w:spacing w:before="60" w:after="60" w:line="276" w:lineRule="auto"/>
              <w:rPr>
                <w:rFonts w:ascii="Arial" w:eastAsia="Calibri" w:hAnsi="Arial" w:cs="Arial"/>
                <w:b/>
                <w:i/>
                <w:iCs/>
                <w:sz w:val="20"/>
                <w:szCs w:val="20"/>
              </w:rPr>
            </w:pPr>
            <w:r w:rsidRPr="00CC157D">
              <w:rPr>
                <w:rFonts w:ascii="Arial" w:eastAsia="Calibri" w:hAnsi="Arial" w:cs="Arial"/>
                <w:b/>
                <w:sz w:val="20"/>
                <w:szCs w:val="20"/>
              </w:rPr>
              <w:t>I</w:t>
            </w:r>
          </w:p>
        </w:tc>
        <w:tc>
          <w:tcPr>
            <w:tcW w:w="1134" w:type="dxa"/>
            <w:shd w:val="clear" w:color="auto" w:fill="8CB8CB" w:themeFill="text2" w:themeFillTint="99"/>
          </w:tcPr>
          <w:p w14:paraId="50DA771E" w14:textId="77777777" w:rsidR="002D70AF" w:rsidRPr="00CC157D" w:rsidRDefault="002D70AF" w:rsidP="00BE5617">
            <w:pPr>
              <w:spacing w:before="60" w:after="60" w:line="276" w:lineRule="auto"/>
              <w:rPr>
                <w:rFonts w:ascii="Arial" w:eastAsia="Calibri" w:hAnsi="Arial" w:cs="Arial"/>
                <w:sz w:val="20"/>
                <w:szCs w:val="20"/>
              </w:rPr>
            </w:pPr>
            <w:r w:rsidRPr="00CC157D">
              <w:rPr>
                <w:rFonts w:ascii="Arial" w:eastAsia="Calibri" w:hAnsi="Arial" w:cs="Arial"/>
                <w:sz w:val="20"/>
                <w:szCs w:val="20"/>
              </w:rPr>
              <w:t>Influence</w:t>
            </w:r>
          </w:p>
        </w:tc>
        <w:tc>
          <w:tcPr>
            <w:tcW w:w="8079" w:type="dxa"/>
            <w:shd w:val="clear" w:color="auto" w:fill="auto"/>
          </w:tcPr>
          <w:p w14:paraId="6818A591" w14:textId="77777777" w:rsidR="002D70AF" w:rsidRPr="00CC157D" w:rsidRDefault="002D70AF" w:rsidP="00BE5617">
            <w:pPr>
              <w:spacing w:before="60" w:after="60" w:line="276" w:lineRule="auto"/>
              <w:rPr>
                <w:rFonts w:ascii="Arial" w:eastAsia="Calibri" w:hAnsi="Arial" w:cs="Arial"/>
                <w:b/>
                <w:sz w:val="20"/>
                <w:szCs w:val="20"/>
              </w:rPr>
            </w:pPr>
            <w:r w:rsidRPr="00CC157D">
              <w:rPr>
                <w:rFonts w:ascii="Arial" w:eastAsia="Calibri" w:hAnsi="Arial" w:cs="Arial"/>
                <w:b/>
                <w:sz w:val="20"/>
                <w:szCs w:val="20"/>
              </w:rPr>
              <w:t>Are they seeking to gain an advantage or influence my decisions or actions?</w:t>
            </w:r>
          </w:p>
          <w:p w14:paraId="1494AC8E" w14:textId="77777777" w:rsidR="002D70AF" w:rsidRPr="00CC157D" w:rsidRDefault="002D70AF" w:rsidP="00BE5617">
            <w:pPr>
              <w:spacing w:before="60" w:after="60" w:line="276" w:lineRule="auto"/>
              <w:rPr>
                <w:rFonts w:ascii="Arial" w:eastAsia="Calibri" w:hAnsi="Arial" w:cs="Arial"/>
                <w:sz w:val="20"/>
                <w:szCs w:val="20"/>
              </w:rPr>
            </w:pPr>
            <w:r w:rsidRPr="00CC157D">
              <w:rPr>
                <w:rFonts w:ascii="Arial" w:eastAsia="Calibri" w:hAnsi="Arial" w:cs="Arial"/>
                <w:sz w:val="20"/>
                <w:szCs w:val="20"/>
              </w:rPr>
              <w:t>Has the gift, benefit or hospitality been offered to me publicly or privately? Is it a courtesy or a token of appreciation or valuable non-token offer? Does its timing coincide with a decision I am about to make or endorse a product or service?</w:t>
            </w:r>
          </w:p>
        </w:tc>
      </w:tr>
      <w:tr w:rsidR="002D70AF" w:rsidRPr="00CC157D" w14:paraId="083CAA0C" w14:textId="77777777" w:rsidTr="00CC157D">
        <w:trPr>
          <w:cnfStyle w:val="000000010000" w:firstRow="0" w:lastRow="0" w:firstColumn="0" w:lastColumn="0" w:oddVBand="0" w:evenVBand="0" w:oddHBand="0" w:evenHBand="1" w:firstRowFirstColumn="0" w:firstRowLastColumn="0" w:lastRowFirstColumn="0" w:lastRowLastColumn="0"/>
        </w:trPr>
        <w:tc>
          <w:tcPr>
            <w:tcW w:w="426" w:type="dxa"/>
            <w:shd w:val="clear" w:color="auto" w:fill="8CB8CB" w:themeFill="text2" w:themeFillTint="99"/>
          </w:tcPr>
          <w:p w14:paraId="43CD568D" w14:textId="77777777" w:rsidR="002D70AF" w:rsidRPr="00CC157D" w:rsidRDefault="002D70AF" w:rsidP="00BE5617">
            <w:pPr>
              <w:spacing w:before="60" w:after="60" w:line="276" w:lineRule="auto"/>
              <w:rPr>
                <w:rFonts w:ascii="Arial" w:eastAsia="Calibri" w:hAnsi="Arial" w:cs="Arial"/>
                <w:b/>
                <w:i/>
                <w:iCs/>
                <w:sz w:val="20"/>
                <w:szCs w:val="20"/>
              </w:rPr>
            </w:pPr>
            <w:r w:rsidRPr="00CC157D">
              <w:rPr>
                <w:rFonts w:ascii="Arial" w:eastAsia="Calibri" w:hAnsi="Arial" w:cs="Arial"/>
                <w:b/>
                <w:sz w:val="20"/>
                <w:szCs w:val="20"/>
              </w:rPr>
              <w:t>F</w:t>
            </w:r>
          </w:p>
        </w:tc>
        <w:tc>
          <w:tcPr>
            <w:tcW w:w="1134" w:type="dxa"/>
            <w:shd w:val="clear" w:color="auto" w:fill="8CB8CB" w:themeFill="text2" w:themeFillTint="99"/>
          </w:tcPr>
          <w:p w14:paraId="377E30D2" w14:textId="77777777" w:rsidR="002D70AF" w:rsidRPr="00CC157D" w:rsidRDefault="002D70AF" w:rsidP="00BE5617">
            <w:pPr>
              <w:spacing w:before="60" w:after="60" w:line="276" w:lineRule="auto"/>
              <w:rPr>
                <w:rFonts w:ascii="Arial" w:eastAsia="Calibri" w:hAnsi="Arial" w:cs="Arial"/>
                <w:sz w:val="20"/>
                <w:szCs w:val="20"/>
              </w:rPr>
            </w:pPr>
            <w:r w:rsidRPr="00CC157D">
              <w:rPr>
                <w:rFonts w:ascii="Arial" w:eastAsia="Calibri" w:hAnsi="Arial" w:cs="Arial"/>
                <w:sz w:val="20"/>
                <w:szCs w:val="20"/>
              </w:rPr>
              <w:t>Favour</w:t>
            </w:r>
          </w:p>
        </w:tc>
        <w:tc>
          <w:tcPr>
            <w:tcW w:w="8079" w:type="dxa"/>
            <w:shd w:val="clear" w:color="auto" w:fill="F2F2F2" w:themeFill="background1" w:themeFillShade="F2"/>
          </w:tcPr>
          <w:p w14:paraId="7F23BAB5" w14:textId="77777777" w:rsidR="002D70AF" w:rsidRPr="00CC157D" w:rsidRDefault="002D70AF" w:rsidP="00BE5617">
            <w:pPr>
              <w:spacing w:before="60" w:after="60" w:line="276" w:lineRule="auto"/>
              <w:rPr>
                <w:rFonts w:ascii="Arial" w:eastAsia="Calibri" w:hAnsi="Arial" w:cs="Arial"/>
                <w:b/>
                <w:sz w:val="20"/>
                <w:szCs w:val="20"/>
              </w:rPr>
            </w:pPr>
            <w:r w:rsidRPr="00CC157D">
              <w:rPr>
                <w:rFonts w:ascii="Arial" w:eastAsia="Calibri" w:hAnsi="Arial" w:cs="Arial"/>
                <w:b/>
                <w:sz w:val="20"/>
                <w:szCs w:val="20"/>
              </w:rPr>
              <w:t>Are they seeking a favour in return for the gift, benefit or hospitality?</w:t>
            </w:r>
          </w:p>
          <w:p w14:paraId="18BEAA77" w14:textId="77777777" w:rsidR="002D70AF" w:rsidRPr="00CC157D" w:rsidRDefault="002D70AF" w:rsidP="00BE5617">
            <w:pPr>
              <w:spacing w:before="60" w:after="60" w:line="276" w:lineRule="auto"/>
              <w:rPr>
                <w:rFonts w:ascii="Arial" w:eastAsia="Calibri" w:hAnsi="Arial" w:cs="Arial"/>
                <w:sz w:val="20"/>
                <w:szCs w:val="20"/>
              </w:rPr>
            </w:pPr>
            <w:r w:rsidRPr="00CC157D">
              <w:rPr>
                <w:rFonts w:ascii="Arial" w:eastAsia="Calibri" w:hAnsi="Arial" w:cs="Arial"/>
                <w:sz w:val="20"/>
                <w:szCs w:val="20"/>
              </w:rPr>
              <w:t>Has the gift, benefit or hospitality been offered honestly? Has the person or organisation made several offers over the last 12 months?</w:t>
            </w:r>
          </w:p>
          <w:p w14:paraId="659E62AE" w14:textId="77777777" w:rsidR="002D70AF" w:rsidRPr="00CC157D" w:rsidRDefault="002D70AF" w:rsidP="00BE5617">
            <w:pPr>
              <w:spacing w:before="60" w:after="60" w:line="276" w:lineRule="auto"/>
              <w:rPr>
                <w:rFonts w:ascii="Arial" w:eastAsia="Calibri" w:hAnsi="Arial" w:cs="Arial"/>
                <w:sz w:val="20"/>
                <w:szCs w:val="20"/>
              </w:rPr>
            </w:pPr>
            <w:r w:rsidRPr="00CC157D">
              <w:rPr>
                <w:rFonts w:ascii="Arial" w:eastAsia="Calibri" w:hAnsi="Arial" w:cs="Arial"/>
                <w:sz w:val="20"/>
                <w:szCs w:val="20"/>
              </w:rPr>
              <w:t>Would accepting it create an obligation to return a favour?</w:t>
            </w:r>
          </w:p>
        </w:tc>
      </w:tr>
      <w:tr w:rsidR="002D70AF" w:rsidRPr="00CC157D" w14:paraId="1AF4955A" w14:textId="77777777" w:rsidTr="00CC157D">
        <w:trPr>
          <w:cnfStyle w:val="000000100000" w:firstRow="0" w:lastRow="0" w:firstColumn="0" w:lastColumn="0" w:oddVBand="0" w:evenVBand="0" w:oddHBand="1" w:evenHBand="0" w:firstRowFirstColumn="0" w:firstRowLastColumn="0" w:lastRowFirstColumn="0" w:lastRowLastColumn="0"/>
        </w:trPr>
        <w:tc>
          <w:tcPr>
            <w:tcW w:w="426" w:type="dxa"/>
            <w:shd w:val="clear" w:color="auto" w:fill="8CB8CB" w:themeFill="text2" w:themeFillTint="99"/>
          </w:tcPr>
          <w:p w14:paraId="1A543300" w14:textId="77777777" w:rsidR="002D70AF" w:rsidRPr="00CC157D" w:rsidRDefault="002D70AF" w:rsidP="00BE5617">
            <w:pPr>
              <w:spacing w:before="60" w:after="60" w:line="276" w:lineRule="auto"/>
              <w:rPr>
                <w:rFonts w:ascii="Arial" w:eastAsia="Calibri" w:hAnsi="Arial" w:cs="Arial"/>
                <w:b/>
                <w:i/>
                <w:iCs/>
                <w:sz w:val="20"/>
                <w:szCs w:val="20"/>
              </w:rPr>
            </w:pPr>
            <w:r w:rsidRPr="00CC157D">
              <w:rPr>
                <w:rFonts w:ascii="Arial" w:eastAsia="Calibri" w:hAnsi="Arial" w:cs="Arial"/>
                <w:b/>
                <w:sz w:val="20"/>
                <w:szCs w:val="20"/>
              </w:rPr>
              <w:t>T</w:t>
            </w:r>
          </w:p>
        </w:tc>
        <w:tc>
          <w:tcPr>
            <w:tcW w:w="1134" w:type="dxa"/>
            <w:shd w:val="clear" w:color="auto" w:fill="8CB8CB" w:themeFill="text2" w:themeFillTint="99"/>
          </w:tcPr>
          <w:p w14:paraId="2B355A06" w14:textId="77777777" w:rsidR="002D70AF" w:rsidRPr="00CC157D" w:rsidRDefault="002D70AF" w:rsidP="00BE5617">
            <w:pPr>
              <w:spacing w:before="60" w:after="60" w:line="276" w:lineRule="auto"/>
              <w:rPr>
                <w:rFonts w:ascii="Arial" w:eastAsia="Calibri" w:hAnsi="Arial" w:cs="Arial"/>
                <w:sz w:val="20"/>
                <w:szCs w:val="20"/>
              </w:rPr>
            </w:pPr>
            <w:r w:rsidRPr="00CC157D">
              <w:rPr>
                <w:rFonts w:ascii="Arial" w:eastAsia="Calibri" w:hAnsi="Arial" w:cs="Arial"/>
                <w:sz w:val="20"/>
                <w:szCs w:val="20"/>
              </w:rPr>
              <w:t>Trust</w:t>
            </w:r>
          </w:p>
        </w:tc>
        <w:tc>
          <w:tcPr>
            <w:tcW w:w="8079" w:type="dxa"/>
            <w:shd w:val="clear" w:color="auto" w:fill="auto"/>
          </w:tcPr>
          <w:p w14:paraId="38CB558C" w14:textId="77777777" w:rsidR="002D70AF" w:rsidRPr="00CC157D" w:rsidRDefault="002D70AF" w:rsidP="00BE5617">
            <w:pPr>
              <w:spacing w:before="60" w:after="60" w:line="276" w:lineRule="auto"/>
              <w:rPr>
                <w:rFonts w:ascii="Arial" w:eastAsia="Calibri" w:hAnsi="Arial" w:cs="Arial"/>
                <w:b/>
                <w:sz w:val="20"/>
                <w:szCs w:val="20"/>
              </w:rPr>
            </w:pPr>
            <w:r w:rsidRPr="00CC157D">
              <w:rPr>
                <w:rFonts w:ascii="Arial" w:eastAsia="Calibri" w:hAnsi="Arial" w:cs="Arial"/>
                <w:b/>
                <w:sz w:val="20"/>
                <w:szCs w:val="20"/>
              </w:rPr>
              <w:t>Would accepting the gift, benefit or hospitality diminish public trust?</w:t>
            </w:r>
          </w:p>
          <w:p w14:paraId="6B9DACA1" w14:textId="77777777" w:rsidR="002D70AF" w:rsidRPr="00CC157D" w:rsidRDefault="002D70AF" w:rsidP="00BE5617">
            <w:pPr>
              <w:spacing w:before="60" w:after="60" w:line="276" w:lineRule="auto"/>
              <w:rPr>
                <w:rFonts w:ascii="Arial" w:eastAsia="Calibri" w:hAnsi="Arial" w:cs="Arial"/>
                <w:sz w:val="20"/>
                <w:szCs w:val="20"/>
              </w:rPr>
            </w:pPr>
            <w:r w:rsidRPr="00CC157D">
              <w:rPr>
                <w:rFonts w:ascii="Arial" w:eastAsia="Calibri" w:hAnsi="Arial" w:cs="Arial"/>
                <w:sz w:val="20"/>
                <w:szCs w:val="20"/>
              </w:rPr>
              <w:t>How would the public view acceptance of this gift, benefit or hospitality? What would my colleagues, family, friends or associates think?</w:t>
            </w:r>
          </w:p>
        </w:tc>
      </w:tr>
    </w:tbl>
    <w:p w14:paraId="2EA58ACC" w14:textId="36C6A653" w:rsidR="004073CC" w:rsidRDefault="002D70AF" w:rsidP="002D70AF">
      <w:pPr>
        <w:pStyle w:val="Heading3"/>
      </w:pPr>
      <w:bookmarkStart w:id="7" w:name="_Table_2:_"/>
      <w:bookmarkEnd w:id="7"/>
      <w:r>
        <w:t>Table 2:  Host test</w:t>
      </w:r>
    </w:p>
    <w:tbl>
      <w:tblPr>
        <w:tblStyle w:val="TableGrid"/>
        <w:tblpPr w:leftFromText="180" w:rightFromText="180" w:vertAnchor="text" w:tblpY="1"/>
        <w:tblOverlap w:val="never"/>
        <w:tblW w:w="9639" w:type="dxa"/>
        <w:tblLook w:val="04A0" w:firstRow="1" w:lastRow="0" w:firstColumn="1" w:lastColumn="0" w:noHBand="0" w:noVBand="1"/>
      </w:tblPr>
      <w:tblGrid>
        <w:gridCol w:w="426"/>
        <w:gridCol w:w="1134"/>
        <w:gridCol w:w="8079"/>
      </w:tblGrid>
      <w:tr w:rsidR="00797E51" w:rsidRPr="00CC157D" w14:paraId="58EB341A" w14:textId="77777777" w:rsidTr="00CC157D">
        <w:trPr>
          <w:cnfStyle w:val="100000000000" w:firstRow="1" w:lastRow="0" w:firstColumn="0" w:lastColumn="0" w:oddVBand="0" w:evenVBand="0" w:oddHBand="0" w:evenHBand="0" w:firstRowFirstColumn="0" w:firstRowLastColumn="0" w:lastRowFirstColumn="0" w:lastRowLastColumn="0"/>
        </w:trPr>
        <w:tc>
          <w:tcPr>
            <w:tcW w:w="426" w:type="dxa"/>
            <w:shd w:val="clear" w:color="auto" w:fill="8CB8CB" w:themeFill="text2" w:themeFillTint="99"/>
          </w:tcPr>
          <w:p w14:paraId="52AECD96" w14:textId="77777777" w:rsidR="00797E51" w:rsidRPr="00CC157D" w:rsidRDefault="00797E51" w:rsidP="00CC157D">
            <w:pPr>
              <w:keepNext/>
              <w:spacing w:before="60" w:after="60" w:line="276" w:lineRule="auto"/>
              <w:ind w:left="-40" w:firstLine="27"/>
              <w:rPr>
                <w:rFonts w:ascii="Arial" w:eastAsia="Calibri" w:hAnsi="Arial" w:cs="Arial"/>
                <w:b w:val="0"/>
                <w:i/>
                <w:iCs/>
                <w:color w:val="auto"/>
                <w:sz w:val="20"/>
                <w:szCs w:val="20"/>
              </w:rPr>
            </w:pPr>
            <w:r w:rsidRPr="00CC157D">
              <w:rPr>
                <w:rFonts w:ascii="Arial" w:eastAsia="Calibri" w:hAnsi="Arial" w:cs="Arial"/>
                <w:color w:val="auto"/>
                <w:sz w:val="20"/>
                <w:szCs w:val="20"/>
              </w:rPr>
              <w:t>H</w:t>
            </w:r>
          </w:p>
        </w:tc>
        <w:tc>
          <w:tcPr>
            <w:tcW w:w="1134" w:type="dxa"/>
            <w:shd w:val="clear" w:color="auto" w:fill="8CB8CB" w:themeFill="text2" w:themeFillTint="99"/>
          </w:tcPr>
          <w:p w14:paraId="1711E430" w14:textId="77777777" w:rsidR="00797E51" w:rsidRPr="00CC157D" w:rsidRDefault="00797E51" w:rsidP="00CC157D">
            <w:pPr>
              <w:keepNext/>
              <w:spacing w:before="60" w:after="60" w:line="276" w:lineRule="auto"/>
              <w:ind w:left="-40" w:firstLine="27"/>
              <w:rPr>
                <w:rFonts w:ascii="Arial" w:eastAsia="Calibri" w:hAnsi="Arial" w:cs="Arial"/>
                <w:b w:val="0"/>
                <w:color w:val="auto"/>
                <w:sz w:val="20"/>
                <w:szCs w:val="20"/>
              </w:rPr>
            </w:pPr>
            <w:r w:rsidRPr="00CC157D">
              <w:rPr>
                <w:rFonts w:ascii="Arial" w:eastAsia="Calibri" w:hAnsi="Arial" w:cs="Arial"/>
                <w:b w:val="0"/>
                <w:color w:val="auto"/>
                <w:sz w:val="20"/>
                <w:szCs w:val="20"/>
              </w:rPr>
              <w:t>Hospitality</w:t>
            </w:r>
          </w:p>
        </w:tc>
        <w:tc>
          <w:tcPr>
            <w:tcW w:w="8079" w:type="dxa"/>
            <w:shd w:val="clear" w:color="auto" w:fill="F2F2F2" w:themeFill="background1" w:themeFillShade="F2"/>
          </w:tcPr>
          <w:p w14:paraId="246BC01C" w14:textId="77777777" w:rsidR="00797E51" w:rsidRPr="00CC157D" w:rsidRDefault="00797E51" w:rsidP="00CC157D">
            <w:pPr>
              <w:keepNext/>
              <w:spacing w:before="60" w:after="60" w:line="276" w:lineRule="auto"/>
              <w:ind w:left="-40" w:firstLine="27"/>
              <w:rPr>
                <w:rFonts w:ascii="Arial" w:eastAsia="Calibri" w:hAnsi="Arial" w:cs="Arial"/>
                <w:color w:val="auto"/>
                <w:sz w:val="20"/>
                <w:szCs w:val="20"/>
              </w:rPr>
            </w:pPr>
            <w:r w:rsidRPr="00CC157D">
              <w:rPr>
                <w:rFonts w:ascii="Arial" w:eastAsia="Calibri" w:hAnsi="Arial" w:cs="Arial"/>
                <w:color w:val="auto"/>
                <w:sz w:val="20"/>
                <w:szCs w:val="20"/>
              </w:rPr>
              <w:t>To whom is the gift or hospitality being provided?</w:t>
            </w:r>
          </w:p>
          <w:p w14:paraId="54B5AE43" w14:textId="77777777" w:rsidR="00797E51" w:rsidRPr="00CC157D" w:rsidRDefault="00797E51" w:rsidP="00CC157D">
            <w:pPr>
              <w:keepNext/>
              <w:spacing w:before="60" w:after="60" w:line="276" w:lineRule="auto"/>
              <w:ind w:left="-40" w:firstLine="27"/>
              <w:rPr>
                <w:rFonts w:ascii="Arial" w:eastAsia="Calibri" w:hAnsi="Arial" w:cs="Arial"/>
                <w:b w:val="0"/>
                <w:color w:val="auto"/>
                <w:sz w:val="20"/>
                <w:szCs w:val="20"/>
              </w:rPr>
            </w:pPr>
            <w:r w:rsidRPr="00CC157D">
              <w:rPr>
                <w:rFonts w:ascii="Arial" w:eastAsia="Calibri" w:hAnsi="Arial" w:cs="Arial"/>
                <w:b w:val="0"/>
                <w:color w:val="auto"/>
                <w:sz w:val="20"/>
                <w:szCs w:val="20"/>
              </w:rPr>
              <w:t>Will recipients be external business partners, or individuals of the host organisation?</w:t>
            </w:r>
          </w:p>
        </w:tc>
      </w:tr>
      <w:tr w:rsidR="00797E51" w:rsidRPr="00CC157D" w14:paraId="29B7674C" w14:textId="77777777" w:rsidTr="00CC157D">
        <w:trPr>
          <w:cnfStyle w:val="000000100000" w:firstRow="0" w:lastRow="0" w:firstColumn="0" w:lastColumn="0" w:oddVBand="0" w:evenVBand="0" w:oddHBand="1" w:evenHBand="0" w:firstRowFirstColumn="0" w:firstRowLastColumn="0" w:lastRowFirstColumn="0" w:lastRowLastColumn="0"/>
        </w:trPr>
        <w:tc>
          <w:tcPr>
            <w:tcW w:w="426" w:type="dxa"/>
            <w:shd w:val="clear" w:color="auto" w:fill="8CB8CB" w:themeFill="text2" w:themeFillTint="99"/>
          </w:tcPr>
          <w:p w14:paraId="523ABBA3" w14:textId="77777777" w:rsidR="00797E51" w:rsidRPr="00CC157D" w:rsidRDefault="00797E51" w:rsidP="00CC157D">
            <w:pPr>
              <w:keepNext/>
              <w:spacing w:before="60" w:after="60" w:line="276" w:lineRule="auto"/>
              <w:ind w:left="-40" w:firstLine="27"/>
              <w:rPr>
                <w:rFonts w:ascii="Arial" w:eastAsia="Calibri" w:hAnsi="Arial" w:cs="Arial"/>
                <w:b/>
                <w:i/>
                <w:iCs/>
                <w:sz w:val="20"/>
                <w:szCs w:val="20"/>
              </w:rPr>
            </w:pPr>
            <w:r w:rsidRPr="00CC157D">
              <w:rPr>
                <w:rFonts w:ascii="Arial" w:eastAsia="Calibri" w:hAnsi="Arial" w:cs="Arial"/>
                <w:b/>
                <w:sz w:val="20"/>
                <w:szCs w:val="20"/>
              </w:rPr>
              <w:t>O</w:t>
            </w:r>
          </w:p>
        </w:tc>
        <w:tc>
          <w:tcPr>
            <w:tcW w:w="1134" w:type="dxa"/>
            <w:shd w:val="clear" w:color="auto" w:fill="8CB8CB" w:themeFill="text2" w:themeFillTint="99"/>
          </w:tcPr>
          <w:p w14:paraId="323D2F29" w14:textId="77777777" w:rsidR="00797E51" w:rsidRPr="00CC157D" w:rsidRDefault="00797E51" w:rsidP="00CC157D">
            <w:pPr>
              <w:keepNext/>
              <w:spacing w:before="60" w:after="60" w:line="276" w:lineRule="auto"/>
              <w:ind w:left="-40" w:firstLine="27"/>
              <w:rPr>
                <w:rFonts w:ascii="Arial" w:eastAsia="Calibri" w:hAnsi="Arial" w:cs="Arial"/>
                <w:sz w:val="20"/>
                <w:szCs w:val="20"/>
              </w:rPr>
            </w:pPr>
            <w:r w:rsidRPr="00CC157D">
              <w:rPr>
                <w:rFonts w:ascii="Arial" w:eastAsia="Calibri" w:hAnsi="Arial" w:cs="Arial"/>
                <w:sz w:val="20"/>
                <w:szCs w:val="20"/>
              </w:rPr>
              <w:t>Objectives</w:t>
            </w:r>
          </w:p>
        </w:tc>
        <w:tc>
          <w:tcPr>
            <w:tcW w:w="8079" w:type="dxa"/>
            <w:shd w:val="clear" w:color="auto" w:fill="auto"/>
          </w:tcPr>
          <w:p w14:paraId="704714A7" w14:textId="77777777" w:rsidR="00797E51" w:rsidRPr="00CC157D" w:rsidRDefault="00797E51" w:rsidP="00CC157D">
            <w:pPr>
              <w:keepNext/>
              <w:spacing w:before="60" w:after="60" w:line="276" w:lineRule="auto"/>
              <w:ind w:left="-40" w:firstLine="27"/>
              <w:rPr>
                <w:rFonts w:ascii="Arial" w:eastAsia="Calibri" w:hAnsi="Arial" w:cs="Arial"/>
                <w:b/>
                <w:sz w:val="20"/>
                <w:szCs w:val="20"/>
              </w:rPr>
            </w:pPr>
            <w:r w:rsidRPr="00CC157D">
              <w:rPr>
                <w:rFonts w:ascii="Arial" w:eastAsia="Calibri" w:hAnsi="Arial" w:cs="Arial"/>
                <w:b/>
                <w:sz w:val="20"/>
                <w:szCs w:val="20"/>
              </w:rPr>
              <w:t>For what purpose will hospitality be provided?</w:t>
            </w:r>
          </w:p>
          <w:p w14:paraId="71F045EC" w14:textId="77777777" w:rsidR="00797E51" w:rsidRPr="00CC157D" w:rsidRDefault="00797E51" w:rsidP="00CC157D">
            <w:pPr>
              <w:keepNext/>
              <w:spacing w:before="60" w:after="60" w:line="276" w:lineRule="auto"/>
              <w:ind w:left="-40" w:firstLine="27"/>
              <w:rPr>
                <w:rFonts w:ascii="Arial" w:eastAsia="Calibri" w:hAnsi="Arial" w:cs="Arial"/>
                <w:sz w:val="20"/>
                <w:szCs w:val="20"/>
              </w:rPr>
            </w:pPr>
            <w:r w:rsidRPr="00CC157D">
              <w:rPr>
                <w:rFonts w:ascii="Arial" w:eastAsia="Calibri" w:hAnsi="Arial" w:cs="Arial"/>
                <w:sz w:val="20"/>
                <w:szCs w:val="20"/>
              </w:rPr>
              <w:t>Is the hospitality being provided to further the conduct of official business? Will it promote and support government policy objectives and priorities? Will it contribute to staff wellbeing and workplace satisfaction?</w:t>
            </w:r>
          </w:p>
        </w:tc>
      </w:tr>
      <w:tr w:rsidR="00797E51" w:rsidRPr="00CC157D" w14:paraId="36A8181B" w14:textId="77777777" w:rsidTr="00CC157D">
        <w:trPr>
          <w:cnfStyle w:val="000000010000" w:firstRow="0" w:lastRow="0" w:firstColumn="0" w:lastColumn="0" w:oddVBand="0" w:evenVBand="0" w:oddHBand="0" w:evenHBand="1" w:firstRowFirstColumn="0" w:firstRowLastColumn="0" w:lastRowFirstColumn="0" w:lastRowLastColumn="0"/>
        </w:trPr>
        <w:tc>
          <w:tcPr>
            <w:tcW w:w="426" w:type="dxa"/>
            <w:shd w:val="clear" w:color="auto" w:fill="8CB8CB" w:themeFill="text2" w:themeFillTint="99"/>
          </w:tcPr>
          <w:p w14:paraId="7C028C1F" w14:textId="77777777" w:rsidR="00797E51" w:rsidRPr="00CC157D" w:rsidRDefault="00797E51" w:rsidP="00CC157D">
            <w:pPr>
              <w:keepNext/>
              <w:spacing w:before="60" w:after="60" w:line="276" w:lineRule="auto"/>
              <w:ind w:left="-40" w:firstLine="27"/>
              <w:rPr>
                <w:rFonts w:ascii="Arial" w:eastAsia="Calibri" w:hAnsi="Arial" w:cs="Arial"/>
                <w:b/>
                <w:i/>
                <w:iCs/>
                <w:sz w:val="20"/>
                <w:szCs w:val="20"/>
              </w:rPr>
            </w:pPr>
            <w:r w:rsidRPr="00CC157D">
              <w:rPr>
                <w:rFonts w:ascii="Arial" w:eastAsia="Calibri" w:hAnsi="Arial" w:cs="Arial"/>
                <w:b/>
                <w:sz w:val="20"/>
                <w:szCs w:val="20"/>
              </w:rPr>
              <w:t>S</w:t>
            </w:r>
          </w:p>
        </w:tc>
        <w:tc>
          <w:tcPr>
            <w:tcW w:w="1134" w:type="dxa"/>
            <w:shd w:val="clear" w:color="auto" w:fill="8CB8CB" w:themeFill="text2" w:themeFillTint="99"/>
          </w:tcPr>
          <w:p w14:paraId="08C68657" w14:textId="77777777" w:rsidR="00797E51" w:rsidRPr="00CC157D" w:rsidRDefault="00797E51" w:rsidP="00CC157D">
            <w:pPr>
              <w:keepNext/>
              <w:spacing w:before="60" w:after="60" w:line="276" w:lineRule="auto"/>
              <w:ind w:left="-40" w:firstLine="27"/>
              <w:rPr>
                <w:rFonts w:ascii="Arial" w:eastAsia="Calibri" w:hAnsi="Arial" w:cs="Arial"/>
                <w:sz w:val="20"/>
                <w:szCs w:val="20"/>
              </w:rPr>
            </w:pPr>
            <w:r w:rsidRPr="00CC157D">
              <w:rPr>
                <w:rFonts w:ascii="Arial" w:eastAsia="Calibri" w:hAnsi="Arial" w:cs="Arial"/>
                <w:sz w:val="20"/>
                <w:szCs w:val="20"/>
              </w:rPr>
              <w:t>Spend</w:t>
            </w:r>
          </w:p>
        </w:tc>
        <w:tc>
          <w:tcPr>
            <w:tcW w:w="8079" w:type="dxa"/>
            <w:shd w:val="clear" w:color="auto" w:fill="F2F2F2" w:themeFill="background1" w:themeFillShade="F2"/>
          </w:tcPr>
          <w:p w14:paraId="431C5B7F" w14:textId="77777777" w:rsidR="00797E51" w:rsidRPr="00CC157D" w:rsidRDefault="00797E51" w:rsidP="00CC157D">
            <w:pPr>
              <w:keepNext/>
              <w:spacing w:before="60" w:after="60" w:line="276" w:lineRule="auto"/>
              <w:ind w:left="-40" w:firstLine="27"/>
              <w:rPr>
                <w:rFonts w:ascii="Arial" w:eastAsia="Calibri" w:hAnsi="Arial" w:cs="Arial"/>
                <w:b/>
                <w:sz w:val="20"/>
                <w:szCs w:val="20"/>
              </w:rPr>
            </w:pPr>
            <w:r w:rsidRPr="00CC157D">
              <w:rPr>
                <w:rFonts w:ascii="Arial" w:eastAsia="Calibri" w:hAnsi="Arial" w:cs="Arial"/>
                <w:b/>
                <w:sz w:val="20"/>
                <w:szCs w:val="20"/>
              </w:rPr>
              <w:t>Will public funds be spent?</w:t>
            </w:r>
          </w:p>
          <w:p w14:paraId="31EEF134" w14:textId="77777777" w:rsidR="00797E51" w:rsidRPr="00CC157D" w:rsidRDefault="00797E51" w:rsidP="00CC157D">
            <w:pPr>
              <w:keepNext/>
              <w:spacing w:before="60" w:after="60" w:line="276" w:lineRule="auto"/>
              <w:ind w:left="-40" w:firstLine="27"/>
              <w:rPr>
                <w:rFonts w:ascii="Arial" w:eastAsia="Calibri" w:hAnsi="Arial" w:cs="Arial"/>
                <w:sz w:val="20"/>
                <w:szCs w:val="20"/>
              </w:rPr>
            </w:pPr>
            <w:r w:rsidRPr="00CC157D">
              <w:rPr>
                <w:rFonts w:ascii="Arial" w:eastAsia="Calibri" w:hAnsi="Arial" w:cs="Arial"/>
                <w:sz w:val="20"/>
                <w:szCs w:val="20"/>
              </w:rPr>
              <w:t>What type of hospitality will be provided? Will it be modest or expensive, and will alcohol be provided as a courtesy or an indulgence? Will the costs incurred be proportionate to the benefits obtained?</w:t>
            </w:r>
          </w:p>
        </w:tc>
      </w:tr>
      <w:tr w:rsidR="00797E51" w:rsidRPr="00CC157D" w14:paraId="0B13F120" w14:textId="77777777" w:rsidTr="00CC157D">
        <w:trPr>
          <w:cnfStyle w:val="000000100000" w:firstRow="0" w:lastRow="0" w:firstColumn="0" w:lastColumn="0" w:oddVBand="0" w:evenVBand="0" w:oddHBand="1" w:evenHBand="0" w:firstRowFirstColumn="0" w:firstRowLastColumn="0" w:lastRowFirstColumn="0" w:lastRowLastColumn="0"/>
        </w:trPr>
        <w:tc>
          <w:tcPr>
            <w:tcW w:w="426" w:type="dxa"/>
            <w:shd w:val="clear" w:color="auto" w:fill="8CB8CB" w:themeFill="text2" w:themeFillTint="99"/>
          </w:tcPr>
          <w:p w14:paraId="69B190D5" w14:textId="77777777" w:rsidR="00797E51" w:rsidRPr="00CC157D" w:rsidRDefault="00797E51" w:rsidP="00CC157D">
            <w:pPr>
              <w:spacing w:before="60" w:after="60" w:line="276" w:lineRule="auto"/>
              <w:ind w:left="-40" w:firstLine="27"/>
              <w:rPr>
                <w:rFonts w:ascii="Arial" w:eastAsia="Calibri" w:hAnsi="Arial" w:cs="Arial"/>
                <w:b/>
                <w:i/>
                <w:iCs/>
                <w:sz w:val="20"/>
                <w:szCs w:val="20"/>
              </w:rPr>
            </w:pPr>
            <w:r w:rsidRPr="00CC157D">
              <w:rPr>
                <w:rFonts w:ascii="Arial" w:eastAsia="Calibri" w:hAnsi="Arial" w:cs="Arial"/>
                <w:b/>
                <w:sz w:val="20"/>
                <w:szCs w:val="20"/>
              </w:rPr>
              <w:t>T</w:t>
            </w:r>
          </w:p>
        </w:tc>
        <w:tc>
          <w:tcPr>
            <w:tcW w:w="1134" w:type="dxa"/>
            <w:shd w:val="clear" w:color="auto" w:fill="8CB8CB" w:themeFill="text2" w:themeFillTint="99"/>
          </w:tcPr>
          <w:p w14:paraId="5C0E3117" w14:textId="77777777" w:rsidR="00797E51" w:rsidRPr="00CC157D" w:rsidRDefault="00797E51" w:rsidP="00CC157D">
            <w:pPr>
              <w:spacing w:before="60" w:after="60" w:line="276" w:lineRule="auto"/>
              <w:ind w:left="-40" w:firstLine="27"/>
              <w:rPr>
                <w:rFonts w:ascii="Arial" w:eastAsia="Calibri" w:hAnsi="Arial" w:cs="Arial"/>
                <w:sz w:val="20"/>
                <w:szCs w:val="20"/>
              </w:rPr>
            </w:pPr>
            <w:r w:rsidRPr="00CC157D">
              <w:rPr>
                <w:rFonts w:ascii="Arial" w:eastAsia="Calibri" w:hAnsi="Arial" w:cs="Arial"/>
                <w:sz w:val="20"/>
                <w:szCs w:val="20"/>
              </w:rPr>
              <w:t>Trust</w:t>
            </w:r>
          </w:p>
        </w:tc>
        <w:tc>
          <w:tcPr>
            <w:tcW w:w="8079" w:type="dxa"/>
            <w:shd w:val="clear" w:color="auto" w:fill="auto"/>
          </w:tcPr>
          <w:p w14:paraId="277E26E8" w14:textId="77777777" w:rsidR="00797E51" w:rsidRPr="00CC157D" w:rsidRDefault="00797E51" w:rsidP="00CC157D">
            <w:pPr>
              <w:spacing w:before="60" w:after="60" w:line="276" w:lineRule="auto"/>
              <w:ind w:left="-40" w:firstLine="27"/>
              <w:rPr>
                <w:rFonts w:ascii="Arial" w:eastAsia="Calibri" w:hAnsi="Arial" w:cs="Arial"/>
                <w:b/>
                <w:sz w:val="20"/>
                <w:szCs w:val="20"/>
              </w:rPr>
            </w:pPr>
            <w:r w:rsidRPr="00CC157D">
              <w:rPr>
                <w:rFonts w:ascii="Arial" w:eastAsia="Calibri" w:hAnsi="Arial" w:cs="Arial"/>
                <w:b/>
                <w:sz w:val="20"/>
                <w:szCs w:val="20"/>
              </w:rPr>
              <w:t>Will public trust be enhanced or diminished?</w:t>
            </w:r>
          </w:p>
          <w:p w14:paraId="2DA76D2C" w14:textId="77777777" w:rsidR="00797E51" w:rsidRPr="00CC157D" w:rsidRDefault="00797E51" w:rsidP="00CC157D">
            <w:pPr>
              <w:spacing w:before="60" w:after="60" w:line="276" w:lineRule="auto"/>
              <w:ind w:left="-40" w:firstLine="27"/>
              <w:rPr>
                <w:rFonts w:ascii="Arial" w:eastAsia="Calibri" w:hAnsi="Arial" w:cs="Arial"/>
                <w:b/>
                <w:sz w:val="20"/>
                <w:szCs w:val="20"/>
              </w:rPr>
            </w:pPr>
            <w:r w:rsidRPr="00CC157D">
              <w:rPr>
                <w:rFonts w:ascii="Arial" w:eastAsia="Calibri" w:hAnsi="Arial" w:cs="Arial"/>
                <w:sz w:val="20"/>
                <w:szCs w:val="20"/>
              </w:rPr>
              <w:t>Could you publicly explain the rationale for providing the gift or hospitality? Will the event be conducted in a manner which upholds the reputation of the public sector? Have records in relation to the gift or hospitality been kept in accordance with reporting and</w:t>
            </w:r>
            <w:r w:rsidRPr="00CC157D">
              <w:rPr>
                <w:rFonts w:ascii="Arial" w:eastAsia="Calibri" w:hAnsi="Arial" w:cs="Arial"/>
                <w:b/>
                <w:sz w:val="20"/>
                <w:szCs w:val="20"/>
              </w:rPr>
              <w:t xml:space="preserve"> </w:t>
            </w:r>
            <w:r w:rsidRPr="00CC157D">
              <w:rPr>
                <w:rFonts w:ascii="Arial" w:eastAsia="Calibri" w:hAnsi="Arial" w:cs="Arial"/>
                <w:sz w:val="20"/>
                <w:szCs w:val="20"/>
              </w:rPr>
              <w:t>recording procedures?</w:t>
            </w:r>
          </w:p>
        </w:tc>
      </w:tr>
    </w:tbl>
    <w:p w14:paraId="255009CE" w14:textId="77777777" w:rsidR="002D70AF" w:rsidRPr="004073CC" w:rsidRDefault="002D70AF" w:rsidP="004073CC"/>
    <w:sectPr w:rsidR="002D70AF" w:rsidRPr="004073CC" w:rsidSect="00FA6984">
      <w:headerReference w:type="even" r:id="rId14"/>
      <w:headerReference w:type="default" r:id="rId15"/>
      <w:footerReference w:type="default" r:id="rId16"/>
      <w:headerReference w:type="first" r:id="rId17"/>
      <w:footerReference w:type="first" r:id="rId18"/>
      <w:pgSz w:w="11906" w:h="16838" w:code="9"/>
      <w:pgMar w:top="95" w:right="1134" w:bottom="568" w:left="1134" w:header="404"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58E1" w14:textId="77777777" w:rsidR="008F2DA3" w:rsidRDefault="008F2DA3" w:rsidP="00AE03FA">
      <w:r>
        <w:separator/>
      </w:r>
    </w:p>
    <w:p w14:paraId="7DC08920" w14:textId="77777777" w:rsidR="008F2DA3" w:rsidRDefault="008F2DA3"/>
    <w:p w14:paraId="5E598536" w14:textId="77777777" w:rsidR="008F2DA3" w:rsidRDefault="008F2DA3"/>
  </w:endnote>
  <w:endnote w:type="continuationSeparator" w:id="0">
    <w:p w14:paraId="779DAA45" w14:textId="77777777" w:rsidR="008F2DA3" w:rsidRDefault="008F2DA3" w:rsidP="00AE03FA">
      <w:r>
        <w:continuationSeparator/>
      </w:r>
    </w:p>
    <w:p w14:paraId="769A204F" w14:textId="77777777" w:rsidR="008F2DA3" w:rsidRDefault="008F2DA3"/>
    <w:p w14:paraId="11D671A9" w14:textId="77777777" w:rsidR="008F2DA3" w:rsidRDefault="008F2DA3"/>
  </w:endnote>
  <w:endnote w:type="continuationNotice" w:id="1">
    <w:p w14:paraId="3F1B5EC5" w14:textId="77777777" w:rsidR="008F2DA3" w:rsidRDefault="008F2DA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Borders>
        <w:insideV w:val="none" w:sz="0" w:space="0" w:color="auto"/>
      </w:tblBorders>
      <w:tblLook w:val="04A0" w:firstRow="1" w:lastRow="0" w:firstColumn="1" w:lastColumn="0" w:noHBand="0" w:noVBand="1"/>
    </w:tblPr>
    <w:tblGrid>
      <w:gridCol w:w="720"/>
    </w:tblGrid>
    <w:tr w:rsidR="00440B1F" w14:paraId="3C09AC62" w14:textId="77777777" w:rsidTr="001C5534">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cPr>
        <w:p w14:paraId="3C09AC61" w14:textId="77777777" w:rsidR="00440B1F" w:rsidRPr="001C5534" w:rsidRDefault="00440B1F" w:rsidP="00952E22">
          <w:pPr>
            <w:pStyle w:val="Footer"/>
            <w:spacing w:before="0"/>
            <w:jc w:val="left"/>
            <w:rPr>
              <w:rStyle w:val="PageNumber"/>
              <w:rFonts w:ascii="Arial Bold" w:hAnsi="Arial Bold"/>
              <w:color w:val="auto"/>
            </w:rPr>
          </w:pPr>
        </w:p>
      </w:tc>
    </w:tr>
  </w:tbl>
  <w:p w14:paraId="18F5D40C" w14:textId="2EC9C468" w:rsidR="00952E22" w:rsidRPr="00440B1F" w:rsidRDefault="00441666" w:rsidP="0021362F">
    <w:pPr>
      <w:pStyle w:val="Footer"/>
      <w:ind w:right="707"/>
      <w:rPr>
        <w:b/>
      </w:rPr>
    </w:pPr>
    <w:r>
      <w:tab/>
    </w: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952E22" w14:paraId="58F7D8BB" w14:textId="77777777" w:rsidTr="00BE561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9D484D0" w14:textId="77777777" w:rsidR="00952E22" w:rsidRPr="009E15D6" w:rsidRDefault="00952E22" w:rsidP="00952E22">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w:t>
          </w:r>
          <w:r w:rsidRPr="009E15D6">
            <w:rPr>
              <w:rStyle w:val="PageNumber"/>
            </w:rPr>
            <w:fldChar w:fldCharType="end"/>
          </w:r>
        </w:p>
      </w:tc>
    </w:tr>
  </w:tbl>
  <w:p w14:paraId="3C09AC63" w14:textId="24786CE0" w:rsidR="00CF34A7" w:rsidRPr="00440B1F" w:rsidRDefault="005E61B1" w:rsidP="005B5CF5">
    <w:pPr>
      <w:pStyle w:val="Footer"/>
      <w:spacing w:before="0"/>
      <w:ind w:right="709"/>
      <w:rPr>
        <w:b/>
      </w:rPr>
    </w:pPr>
    <w:r>
      <w:t>E</w:t>
    </w:r>
    <w:r w:rsidR="00952E22">
      <w:t xml:space="preserve">ssential Services Commission </w:t>
    </w:r>
    <w:sdt>
      <w:sdtPr>
        <w:rPr>
          <w:b/>
        </w:rPr>
        <w:alias w:val="Title"/>
        <w:tag w:val=""/>
        <w:id w:val="368496955"/>
        <w:dataBinding w:prefixMappings="xmlns:ns0='http://purl.org/dc/elements/1.1/' xmlns:ns1='http://schemas.openxmlformats.org/package/2006/metadata/core-properties' " w:xpath="/ns1:coreProperties[1]/ns0:title[1]" w:storeItemID="{6C3C8BC8-F283-45AE-878A-BAB7291924A1}"/>
        <w:text/>
      </w:sdtPr>
      <w:sdtContent>
        <w:r w:rsidR="00962866">
          <w:rPr>
            <w:b/>
          </w:rPr>
          <w:t xml:space="preserve">Gifts Benefits and Hospitality </w:t>
        </w:r>
        <w:r w:rsidR="00952E22">
          <w:rPr>
            <w:b/>
          </w:rPr>
          <w:t>Policy</w:t>
        </w:r>
      </w:sdtContent>
    </w:sdt>
    <w:r w:rsidR="00952E22">
      <w:rPr>
        <w:b/>
      </w:rPr>
      <w:t xml:space="preserve">   </w:t>
    </w:r>
    <w:r w:rsidR="00952E22" w:rsidRPr="00CF2B15">
      <w:t xml:space="preserve"> </w:t>
    </w:r>
  </w:p>
  <w:p w14:paraId="0AA3B5A5" w14:textId="77777777" w:rsidR="00074B29" w:rsidRDefault="00074B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Borders>
        <w:insideV w:val="none" w:sz="0" w:space="0" w:color="auto"/>
      </w:tblBorders>
      <w:tblLook w:val="04A0" w:firstRow="1" w:lastRow="0" w:firstColumn="1" w:lastColumn="0" w:noHBand="0" w:noVBand="1"/>
    </w:tblPr>
    <w:tblGrid>
      <w:gridCol w:w="720"/>
    </w:tblGrid>
    <w:tr w:rsidR="008D6ADF" w14:paraId="3C09AC66" w14:textId="77777777" w:rsidTr="001C5534">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shd w:val="clear" w:color="auto" w:fill="auto"/>
        </w:tcPr>
        <w:p w14:paraId="3C09AC65" w14:textId="77777777" w:rsidR="008D6ADF" w:rsidRPr="001C5534" w:rsidRDefault="008D6ADF" w:rsidP="00BE5617">
          <w:pPr>
            <w:pStyle w:val="Footer"/>
            <w:spacing w:before="0"/>
            <w:rPr>
              <w:rStyle w:val="PageNumber"/>
              <w:rFonts w:ascii="Arial Bold" w:hAnsi="Arial Bold"/>
              <w:color w:val="auto"/>
            </w:rPr>
          </w:pPr>
        </w:p>
      </w:tc>
    </w:tr>
  </w:tbl>
  <w:p w14:paraId="3C09AC67" w14:textId="77777777" w:rsidR="00441666" w:rsidRDefault="00441666" w:rsidP="0021362F">
    <w:pPr>
      <w:pStyle w:val="Footer"/>
      <w:ind w:right="707"/>
    </w:pPr>
  </w:p>
  <w:p w14:paraId="3C09AC68" w14:textId="6520EE29" w:rsidR="0064367E" w:rsidRPr="008D6ADF" w:rsidRDefault="008D6ADF" w:rsidP="0021362F">
    <w:pPr>
      <w:pStyle w:val="Footer"/>
      <w:ind w:right="707"/>
      <w:rPr>
        <w:b/>
      </w:rPr>
    </w:pPr>
    <w:r>
      <w:t xml:space="preserve">Essential Services Commission </w:t>
    </w:r>
    <w:sdt>
      <w:sdtPr>
        <w:rPr>
          <w:b/>
        </w:rPr>
        <w:alias w:val="Title"/>
        <w:tag w:val=""/>
        <w:id w:val="442735702"/>
        <w:dataBinding w:prefixMappings="xmlns:ns0='http://purl.org/dc/elements/1.1/' xmlns:ns1='http://schemas.openxmlformats.org/package/2006/metadata/core-properties' " w:xpath="/ns1:coreProperties[1]/ns0:title[1]" w:storeItemID="{6C3C8BC8-F283-45AE-878A-BAB7291924A1}"/>
        <w:text/>
      </w:sdtPr>
      <w:sdtContent>
        <w:r w:rsidR="00962866">
          <w:rPr>
            <w:b/>
          </w:rPr>
          <w:t>Gifts Benefits and Hospitality Policy</w:t>
        </w:r>
      </w:sdtContent>
    </w:sdt>
    <w:r>
      <w:rPr>
        <w:b/>
      </w:rPr>
      <w:t xml:space="preserve"> </w:t>
    </w:r>
    <w:r w:rsidRPr="00CF2B15">
      <w:t xml:space="preserve"> </w:t>
    </w:r>
    <w:r w:rsidR="00441666">
      <w:tab/>
    </w:r>
    <w:r w:rsidR="00441666">
      <w:fldChar w:fldCharType="begin"/>
    </w:r>
    <w:r w:rsidR="00441666">
      <w:instrText xml:space="preserve"> PAGE   \* MERGEFORMAT </w:instrText>
    </w:r>
    <w:r w:rsidR="00441666">
      <w:fldChar w:fldCharType="separate"/>
    </w:r>
    <w:r w:rsidR="00A20EB3">
      <w:rPr>
        <w:noProof/>
      </w:rPr>
      <w:t>1</w:t>
    </w:r>
    <w:r w:rsidR="00441666">
      <w:rPr>
        <w:noProof/>
      </w:rPr>
      <w:fldChar w:fldCharType="end"/>
    </w:r>
  </w:p>
  <w:p w14:paraId="0B5EC2CF" w14:textId="77777777" w:rsidR="00074B29" w:rsidRDefault="00074B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E1D76" w14:textId="77777777" w:rsidR="008F2DA3" w:rsidRPr="00CF33F6" w:rsidRDefault="008F2DA3" w:rsidP="00AE03FA">
      <w:pPr>
        <w:rPr>
          <w:color w:val="75787B" w:themeColor="background2"/>
        </w:rPr>
      </w:pPr>
      <w:bookmarkStart w:id="0" w:name="_Hlk480978878"/>
      <w:bookmarkEnd w:id="0"/>
      <w:r w:rsidRPr="00CF33F6">
        <w:rPr>
          <w:color w:val="75787B" w:themeColor="background2"/>
        </w:rPr>
        <w:separator/>
      </w:r>
    </w:p>
    <w:p w14:paraId="0B3CEBDF" w14:textId="77777777" w:rsidR="008F2DA3" w:rsidRDefault="008F2DA3" w:rsidP="00CF33F6">
      <w:pPr>
        <w:pStyle w:val="NoSpacing"/>
      </w:pPr>
    </w:p>
    <w:p w14:paraId="3B317FBC" w14:textId="77777777" w:rsidR="008F2DA3" w:rsidRDefault="008F2DA3"/>
  </w:footnote>
  <w:footnote w:type="continuationSeparator" w:id="0">
    <w:p w14:paraId="56D8C5BD" w14:textId="77777777" w:rsidR="008F2DA3" w:rsidRDefault="008F2DA3" w:rsidP="00AE03FA">
      <w:r>
        <w:continuationSeparator/>
      </w:r>
    </w:p>
    <w:p w14:paraId="5526BD33" w14:textId="77777777" w:rsidR="008F2DA3" w:rsidRDefault="008F2DA3"/>
    <w:p w14:paraId="4A3529B0" w14:textId="77777777" w:rsidR="008F2DA3" w:rsidRDefault="008F2DA3"/>
  </w:footnote>
  <w:footnote w:type="continuationNotice" w:id="1">
    <w:p w14:paraId="6749AE49" w14:textId="77777777" w:rsidR="008F2DA3" w:rsidRDefault="008F2DA3">
      <w:pPr>
        <w:spacing w:before="0" w:line="240" w:lineRule="auto"/>
      </w:pPr>
    </w:p>
  </w:footnote>
  <w:footnote w:id="2">
    <w:p w14:paraId="7DEAEE31" w14:textId="2891DFC8" w:rsidR="00DD02D8" w:rsidRPr="00DD02D8" w:rsidRDefault="00DD02D8">
      <w:pPr>
        <w:pStyle w:val="FootnoteText"/>
        <w:rPr>
          <w:lang w:val="en-GB"/>
        </w:rPr>
      </w:pPr>
      <w:r>
        <w:rPr>
          <w:rStyle w:val="FootnoteReference"/>
        </w:rPr>
        <w:footnoteRef/>
      </w:r>
      <w:r>
        <w:t xml:space="preserve"> </w:t>
      </w:r>
      <w:r w:rsidR="00F41A31">
        <w:rPr>
          <w:lang w:val="en-GB"/>
        </w:rPr>
        <w:t>The commission recognises that there will be instances where initially refusing the offer may not be possible or will cause offence.</w:t>
      </w:r>
    </w:p>
  </w:footnote>
  <w:footnote w:id="3">
    <w:p w14:paraId="2F72F927" w14:textId="73759FEA" w:rsidR="00F67AF6" w:rsidRDefault="00F67AF6">
      <w:pPr>
        <w:pStyle w:val="FootnoteText"/>
      </w:pPr>
      <w:r>
        <w:rPr>
          <w:rStyle w:val="FootnoteReference"/>
        </w:rPr>
        <w:footnoteRef/>
      </w:r>
      <w:r w:rsidR="00D81FBC">
        <w:t xml:space="preserve"> A</w:t>
      </w:r>
      <w:r w:rsidR="00315E62">
        <w:t xml:space="preserve">n invitation to an event of a </w:t>
      </w:r>
      <w:r w:rsidR="009B6F67">
        <w:t>potential</w:t>
      </w:r>
      <w:r w:rsidR="00315E62">
        <w:t xml:space="preserve"> supplier where there is no current or imminent </w:t>
      </w:r>
      <w:r w:rsidR="00D81FBC">
        <w:t xml:space="preserve">engagement </w:t>
      </w:r>
      <w:r w:rsidR="002763EF">
        <w:t xml:space="preserve">decision to be made </w:t>
      </w:r>
      <w:r w:rsidR="005F6A7E">
        <w:t xml:space="preserve">will not </w:t>
      </w:r>
      <w:r w:rsidR="002763EF">
        <w:t>ordinarily</w:t>
      </w:r>
      <w:r w:rsidR="005F6A7E">
        <w:t xml:space="preserve"> raise a perception of bias or preferential treatment</w:t>
      </w:r>
      <w:r>
        <w:t xml:space="preserve"> </w:t>
      </w:r>
      <w:r w:rsidR="005F6A7E">
        <w:t xml:space="preserve">such that the invitation needs to be declined if there is a legitimate business </w:t>
      </w:r>
      <w:r w:rsidR="006D2E2F">
        <w:t>reason</w:t>
      </w:r>
      <w:r w:rsidR="005F6A7E">
        <w:t xml:space="preserve"> to attend.</w:t>
      </w:r>
    </w:p>
  </w:footnote>
  <w:footnote w:id="4">
    <w:p w14:paraId="40C7A4E3" w14:textId="77777777" w:rsidR="00842970" w:rsidRPr="00EE7ABA" w:rsidRDefault="00842970" w:rsidP="00842970">
      <w:pPr>
        <w:pStyle w:val="FootnoteText"/>
        <w:rPr>
          <w:lang w:val="en-GB"/>
        </w:rPr>
      </w:pPr>
      <w:r>
        <w:rPr>
          <w:rStyle w:val="FootnoteReference"/>
        </w:rPr>
        <w:footnoteRef/>
      </w:r>
      <w:r>
        <w:t xml:space="preserve"> The above examples largely occur during or after an event/occasion and do not require prior management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102C" w14:textId="74B46053" w:rsidR="00C13BCF" w:rsidRDefault="007B2F1B">
    <w:pPr>
      <w:pStyle w:val="Header"/>
    </w:pPr>
    <w:r>
      <w:rPr>
        <w:noProof/>
      </w:rPr>
      <mc:AlternateContent>
        <mc:Choice Requires="wps">
          <w:drawing>
            <wp:anchor distT="0" distB="0" distL="0" distR="0" simplePos="0" relativeHeight="251658247" behindDoc="0" locked="0" layoutInCell="1" allowOverlap="1" wp14:anchorId="46E0420B" wp14:editId="6A97421F">
              <wp:simplePos x="635" y="635"/>
              <wp:positionH relativeFrom="page">
                <wp:align>center</wp:align>
              </wp:positionH>
              <wp:positionV relativeFrom="page">
                <wp:align>top</wp:align>
              </wp:positionV>
              <wp:extent cx="552450" cy="523875"/>
              <wp:effectExtent l="0" t="0" r="0" b="9525"/>
              <wp:wrapNone/>
              <wp:docPr id="5334495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523875"/>
                      </a:xfrm>
                      <a:prstGeom prst="rect">
                        <a:avLst/>
                      </a:prstGeom>
                      <a:noFill/>
                      <a:ln>
                        <a:noFill/>
                      </a:ln>
                    </wps:spPr>
                    <wps:txbx>
                      <w:txbxContent>
                        <w:p w14:paraId="00670EA7" w14:textId="0CA9D684" w:rsidR="007B2F1B" w:rsidRPr="007B2F1B" w:rsidRDefault="007B2F1B" w:rsidP="007B2F1B">
                          <w:pPr>
                            <w:rPr>
                              <w:rFonts w:ascii="Calibri" w:eastAsia="Calibri" w:hAnsi="Calibri" w:cs="Calibri"/>
                              <w:noProof/>
                              <w:color w:val="FF0000"/>
                              <w:sz w:val="24"/>
                              <w:szCs w:val="24"/>
                            </w:rPr>
                          </w:pPr>
                          <w:r w:rsidRPr="007B2F1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6E0420B">
              <v:stroke joinstyle="miter"/>
              <v:path gradientshapeok="t" o:connecttype="rect"/>
            </v:shapetype>
            <v:shape id="Text Box 2" style="position:absolute;margin-left:0;margin-top:0;width:43.5pt;height:41.25pt;z-index:251660293;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">
              <v:fill o:detectmouseclick="t"/>
              <v:textbox style="mso-fit-shape-to-text:t" inset="0,15pt,0,0">
                <w:txbxContent>
                  <w:p w:rsidRPr="007B2F1B" w:rsidR="007B2F1B" w:rsidP="007B2F1B" w:rsidRDefault="007B2F1B" w14:paraId="00670EA7" w14:textId="0CA9D684">
                    <w:pPr>
                      <w:rPr>
                        <w:rFonts w:ascii="Calibri" w:hAnsi="Calibri" w:eastAsia="Calibri" w:cs="Calibri"/>
                        <w:noProof/>
                        <w:color w:val="FF0000"/>
                        <w:sz w:val="24"/>
                        <w:szCs w:val="24"/>
                      </w:rPr>
                    </w:pPr>
                    <w:r w:rsidRPr="007B2F1B">
                      <w:rPr>
                        <w:rFonts w:ascii="Calibri" w:hAnsi="Calibri" w:eastAsia="Calibri" w:cs="Calibri"/>
                        <w:noProof/>
                        <w:color w:val="FF0000"/>
                        <w:sz w:val="24"/>
                        <w:szCs w:val="24"/>
                      </w:rPr>
                      <w:t>OFFICIAL</w:t>
                    </w:r>
                  </w:p>
                </w:txbxContent>
              </v:textbox>
              <w10:wrap anchorx="page" anchory="page"/>
            </v:shape>
          </w:pict>
        </mc:Fallback>
      </mc:AlternateContent>
    </w:r>
    <w:r w:rsidR="00511EF0">
      <w:rPr>
        <w:noProof/>
      </w:rPr>
      <mc:AlternateContent>
        <mc:Choice Requires="wps">
          <w:drawing>
            <wp:anchor distT="0" distB="0" distL="114300" distR="114300" simplePos="0" relativeHeight="251658245" behindDoc="0" locked="1" layoutInCell="0" allowOverlap="1" wp14:anchorId="14961797" wp14:editId="13C0C5E5">
              <wp:simplePos x="0" y="0"/>
              <wp:positionH relativeFrom="margin">
                <wp:align>center</wp:align>
              </wp:positionH>
              <wp:positionV relativeFrom="topMargin">
                <wp:align>center</wp:align>
              </wp:positionV>
              <wp:extent cx="892175" cy="342900"/>
              <wp:effectExtent l="0" t="0" r="22225" b="19050"/>
              <wp:wrapNone/>
              <wp:docPr id="2010536332" name="janusSEAL SC H_EvenPage"/>
              <wp:cNvGraphicFramePr/>
              <a:graphic xmlns:a="http://schemas.openxmlformats.org/drawingml/2006/main">
                <a:graphicData uri="http://schemas.microsoft.com/office/word/2010/wordprocessingShape">
                  <wps:wsp>
                    <wps:cNvSpPr txBox="1"/>
                    <wps:spPr>
                      <a:xfrm>
                        <a:off x="0" y="0"/>
                        <a:ext cx="892175" cy="342900"/>
                      </a:xfrm>
                      <a:prstGeom prst="rect">
                        <a:avLst/>
                      </a:prstGeom>
                      <a:noFill/>
                      <a:ln w="6350">
                        <a:solidFill>
                          <a:prstClr val="black"/>
                        </a:solidFill>
                      </a:ln>
                    </wps:spPr>
                    <wps:txbx>
                      <w:txbxContent>
                        <w:p w14:paraId="2C9CF538" w14:textId="44CC90B9" w:rsidR="00511EF0" w:rsidRPr="00511EF0" w:rsidRDefault="00511EF0" w:rsidP="00511EF0">
                          <w:pPr>
                            <w:spacing w:before="0"/>
                            <w:jc w:val="center"/>
                            <w:rPr>
                              <w:b/>
                              <w:color w:val="FF0000"/>
                              <w:sz w:val="24"/>
                            </w:rPr>
                          </w:pPr>
                          <w:r w:rsidRPr="00511EF0">
                            <w:rPr>
                              <w:b/>
                              <w:color w:val="FF0000"/>
                              <w:sz w:val="24"/>
                            </w:rPr>
                            <w:fldChar w:fldCharType="begin"/>
                          </w:r>
                          <w:r w:rsidRPr="00511EF0">
                            <w:rPr>
                              <w:b/>
                              <w:color w:val="FF0000"/>
                              <w:sz w:val="24"/>
                            </w:rPr>
                            <w:instrText xml:space="preserve"> DOCPROPERTY PM_ProtectiveMarkingValue_Header \* MERGEFORMAT </w:instrText>
                          </w:r>
                          <w:r w:rsidRPr="00511EF0">
                            <w:rPr>
                              <w:b/>
                              <w:color w:val="FF0000"/>
                              <w:sz w:val="24"/>
                            </w:rPr>
                            <w:fldChar w:fldCharType="separate"/>
                          </w:r>
                          <w:r>
                            <w:rPr>
                              <w:b/>
                              <w:color w:val="FF0000"/>
                              <w:sz w:val="24"/>
                            </w:rPr>
                            <w:t>OFFICIAL</w:t>
                          </w:r>
                          <w:r w:rsidRPr="00511EF0">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14961797">
              <v:stroke joinstyle="miter"/>
              <v:path gradientshapeok="t" o:connecttype="rect"/>
            </v:shapetype>
            <v:shape id="janusSEAL SC H_EvenPage" style="position:absolute;margin-left:0;margin-top:0;width:70.25pt;height:27pt;z-index:251658245;visibility:visible;mso-wrap-style:none;mso-wrap-distance-left:9pt;mso-wrap-distance-top:0;mso-wrap-distance-right:9pt;mso-wrap-distance-bottom:0;mso-position-horizontal:center;mso-position-horizontal-relative:margin;mso-position-vertical:center;mso-position-vertical-relative:top-margin-area;v-text-anchor:top" o:spid="_x0000_s1026"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">
              <v:textbox style="mso-fit-shape-to-text:t">
                <w:txbxContent>
                  <w:p w:rsidRPr="00511EF0" w:rsidR="00511EF0" w:rsidP="00511EF0" w:rsidRDefault="00511EF0" w14:paraId="2C9CF538" w14:textId="44CC90B9">
                    <w:pPr>
                      <w:spacing w:before="0"/>
                      <w:jc w:val="center"/>
                      <w:rPr>
                        <w:b/>
                        <w:color w:val="FF0000"/>
                        <w:sz w:val="24"/>
                      </w:rPr>
                    </w:pPr>
                    <w:r w:rsidRPr="00511EF0">
                      <w:rPr>
                        <w:b/>
                        <w:color w:val="FF0000"/>
                        <w:sz w:val="24"/>
                      </w:rPr>
                      <w:fldChar w:fldCharType="begin"/>
                    </w:r>
                    <w:r w:rsidRPr="00511EF0">
                      <w:rPr>
                        <w:b/>
                        <w:color w:val="FF0000"/>
                        <w:sz w:val="24"/>
                      </w:rPr>
                      <w:instrText xml:space="preserve"> DOCPROPERTY PM_ProtectiveMarkingValue_Header \* MERGEFORMAT </w:instrText>
                    </w:r>
                    <w:r w:rsidRPr="00511EF0">
                      <w:rPr>
                        <w:b/>
                        <w:color w:val="FF0000"/>
                        <w:sz w:val="24"/>
                      </w:rPr>
                      <w:fldChar w:fldCharType="separate"/>
                    </w:r>
                    <w:r>
                      <w:rPr>
                        <w:b/>
                        <w:color w:val="FF0000"/>
                        <w:sz w:val="24"/>
                      </w:rPr>
                      <w:t>OFFICIAL</w:t>
                    </w:r>
                    <w:r w:rsidRPr="00511EF0">
                      <w:rPr>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AC60" w14:textId="44B1F93F" w:rsidR="003A30F3" w:rsidRPr="00633068" w:rsidRDefault="007B2F1B" w:rsidP="005B5CF5">
    <w:pPr>
      <w:pStyle w:val="Header"/>
      <w:tabs>
        <w:tab w:val="clear" w:pos="4680"/>
        <w:tab w:val="clear" w:pos="9360"/>
        <w:tab w:val="left" w:pos="2236"/>
      </w:tabs>
      <w:spacing w:before="0" w:line="288" w:lineRule="auto"/>
    </w:pPr>
    <w:r>
      <w:rPr>
        <w:noProof/>
        <w:lang w:eastAsia="en-AU"/>
      </w:rPr>
      <mc:AlternateContent>
        <mc:Choice Requires="wps">
          <w:drawing>
            <wp:anchor distT="0" distB="0" distL="0" distR="0" simplePos="0" relativeHeight="251658248" behindDoc="0" locked="0" layoutInCell="1" allowOverlap="1" wp14:anchorId="33432C17" wp14:editId="4728C6B7">
              <wp:simplePos x="635" y="635"/>
              <wp:positionH relativeFrom="page">
                <wp:align>center</wp:align>
              </wp:positionH>
              <wp:positionV relativeFrom="page">
                <wp:align>top</wp:align>
              </wp:positionV>
              <wp:extent cx="552450" cy="523875"/>
              <wp:effectExtent l="0" t="0" r="0" b="9525"/>
              <wp:wrapNone/>
              <wp:docPr id="7757242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523875"/>
                      </a:xfrm>
                      <a:prstGeom prst="rect">
                        <a:avLst/>
                      </a:prstGeom>
                      <a:noFill/>
                      <a:ln>
                        <a:noFill/>
                      </a:ln>
                    </wps:spPr>
                    <wps:txbx>
                      <w:txbxContent>
                        <w:p w14:paraId="37F72AD1" w14:textId="20325D0F" w:rsidR="007B2F1B" w:rsidRPr="007B2F1B" w:rsidRDefault="007B2F1B" w:rsidP="007B2F1B">
                          <w:pPr>
                            <w:rPr>
                              <w:rFonts w:ascii="Calibri" w:eastAsia="Calibri" w:hAnsi="Calibri" w:cs="Calibri"/>
                              <w:noProof/>
                              <w:color w:val="FF0000"/>
                              <w:sz w:val="24"/>
                              <w:szCs w:val="24"/>
                            </w:rPr>
                          </w:pPr>
                          <w:r w:rsidRPr="007B2F1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pic="http://schemas.openxmlformats.org/drawingml/2006/picture" xmlns:a14="http://schemas.microsoft.com/office/drawing/2010/main" xmlns:aclsh="http://schemas.microsoft.com/office/drawing/2020/classificationShape" xmlns:a="http://schemas.openxmlformats.org/drawingml/2006/main">
          <w:pict>
            <v:shapetype id="_x0000_t202" coordsize="21600,21600" o:spt="202" path="m,l,21600r21600,l21600,xe" w14:anchorId="33432C17">
              <v:stroke joinstyle="miter"/>
              <v:path gradientshapeok="t" o:connecttype="rect"/>
            </v:shapetype>
            <v:shape id="Text Box 3" style="position:absolute;margin-left:0;margin-top:0;width:43.5pt;height:41.25pt;z-index:251661317;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">
              <v:fill o:detectmouseclick="t"/>
              <v:textbox style="mso-fit-shape-to-text:t" inset="0,15pt,0,0">
                <w:txbxContent>
                  <w:p w:rsidRPr="007B2F1B" w:rsidR="007B2F1B" w:rsidP="007B2F1B" w:rsidRDefault="007B2F1B" w14:paraId="37F72AD1" w14:textId="20325D0F">
                    <w:pPr>
                      <w:rPr>
                        <w:rFonts w:ascii="Calibri" w:hAnsi="Calibri" w:eastAsia="Calibri" w:cs="Calibri"/>
                        <w:noProof/>
                        <w:color w:val="FF0000"/>
                        <w:sz w:val="24"/>
                        <w:szCs w:val="24"/>
                      </w:rPr>
                    </w:pPr>
                    <w:r w:rsidRPr="007B2F1B">
                      <w:rPr>
                        <w:rFonts w:ascii="Calibri" w:hAnsi="Calibri" w:eastAsia="Calibri" w:cs="Calibri"/>
                        <w:noProof/>
                        <w:color w:val="FF0000"/>
                        <w:sz w:val="24"/>
                        <w:szCs w:val="24"/>
                      </w:rPr>
                      <w:t>OFFICIAL</w:t>
                    </w:r>
                  </w:p>
                </w:txbxContent>
              </v:textbox>
              <w10:wrap anchorx="page" anchory="page"/>
            </v:shape>
          </w:pict>
        </mc:Fallback>
      </mc:AlternateContent>
    </w:r>
    <w:r w:rsidR="00CF75AD">
      <w:rPr>
        <w:noProof/>
        <w:lang w:eastAsia="en-AU"/>
      </w:rPr>
      <w:drawing>
        <wp:anchor distT="0" distB="180340" distL="114300" distR="114300" simplePos="0" relativeHeight="251658241" behindDoc="0" locked="0" layoutInCell="1" allowOverlap="1" wp14:anchorId="182628D1" wp14:editId="0E9AEB30">
          <wp:simplePos x="0" y="0"/>
          <wp:positionH relativeFrom="column">
            <wp:posOffset>-111592</wp:posOffset>
          </wp:positionH>
          <wp:positionV relativeFrom="paragraph">
            <wp:posOffset>197162</wp:posOffset>
          </wp:positionV>
          <wp:extent cx="2143760" cy="665480"/>
          <wp:effectExtent l="0" t="0" r="8890" b="1270"/>
          <wp:wrapTopAndBottom/>
          <wp:docPr id="177" name="Picture 177" descr="Essential Service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descr="Essential Services Commissi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43760" cy="665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AC64" w14:textId="4F52D2F4" w:rsidR="0064367E" w:rsidRDefault="007B2F1B">
    <w:pPr>
      <w:pStyle w:val="Header"/>
    </w:pPr>
    <w:r>
      <w:rPr>
        <w:noProof/>
        <w:lang w:eastAsia="en-AU"/>
      </w:rPr>
      <mc:AlternateContent>
        <mc:Choice Requires="wps">
          <w:drawing>
            <wp:anchor distT="0" distB="0" distL="0" distR="0" simplePos="0" relativeHeight="251658246" behindDoc="0" locked="0" layoutInCell="1" allowOverlap="1" wp14:anchorId="3773B288" wp14:editId="2681FD34">
              <wp:simplePos x="635" y="635"/>
              <wp:positionH relativeFrom="page">
                <wp:align>center</wp:align>
              </wp:positionH>
              <wp:positionV relativeFrom="page">
                <wp:align>top</wp:align>
              </wp:positionV>
              <wp:extent cx="552450" cy="523875"/>
              <wp:effectExtent l="0" t="0" r="0" b="9525"/>
              <wp:wrapNone/>
              <wp:docPr id="13342982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523875"/>
                      </a:xfrm>
                      <a:prstGeom prst="rect">
                        <a:avLst/>
                      </a:prstGeom>
                      <a:noFill/>
                      <a:ln>
                        <a:noFill/>
                      </a:ln>
                    </wps:spPr>
                    <wps:txbx>
                      <w:txbxContent>
                        <w:p w14:paraId="0010B4CF" w14:textId="1BF52465" w:rsidR="007B2F1B" w:rsidRPr="007B2F1B" w:rsidRDefault="007B2F1B" w:rsidP="007B2F1B">
                          <w:pPr>
                            <w:rPr>
                              <w:rFonts w:ascii="Calibri" w:eastAsia="Calibri" w:hAnsi="Calibri" w:cs="Calibri"/>
                              <w:noProof/>
                              <w:color w:val="FF0000"/>
                              <w:sz w:val="24"/>
                              <w:szCs w:val="24"/>
                            </w:rPr>
                          </w:pPr>
                          <w:r w:rsidRPr="007B2F1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3773B288">
              <v:stroke joinstyle="miter"/>
              <v:path gradientshapeok="t" o:connecttype="rect"/>
            </v:shapetype>
            <v:shape id="_x0000_s1031" style="position:absolute;margin-left:0;margin-top:0;width:43.5pt;height:41.25pt;z-index:251659269;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">
              <v:fill o:detectmouseclick="t"/>
              <v:textbox style="mso-fit-shape-to-text:t" inset="0,15pt,0,0">
                <w:txbxContent>
                  <w:p w:rsidRPr="007B2F1B" w:rsidR="007B2F1B" w:rsidP="007B2F1B" w:rsidRDefault="007B2F1B" w14:paraId="0010B4CF" w14:textId="1BF52465">
                    <w:pPr>
                      <w:rPr>
                        <w:rFonts w:ascii="Calibri" w:hAnsi="Calibri" w:eastAsia="Calibri" w:cs="Calibri"/>
                        <w:noProof/>
                        <w:color w:val="FF0000"/>
                        <w:sz w:val="24"/>
                        <w:szCs w:val="24"/>
                      </w:rPr>
                    </w:pPr>
                    <w:r w:rsidRPr="007B2F1B">
                      <w:rPr>
                        <w:rFonts w:ascii="Calibri" w:hAnsi="Calibri" w:eastAsia="Calibri" w:cs="Calibri"/>
                        <w:noProof/>
                        <w:color w:val="FF0000"/>
                        <w:sz w:val="24"/>
                        <w:szCs w:val="24"/>
                      </w:rPr>
                      <w:t>OFFICIAL</w:t>
                    </w:r>
                  </w:p>
                </w:txbxContent>
              </v:textbox>
              <w10:wrap anchorx="page" anchory="page"/>
            </v:shape>
          </w:pict>
        </mc:Fallback>
      </mc:AlternateContent>
    </w:r>
    <w:r w:rsidR="00511EF0">
      <w:rPr>
        <w:noProof/>
        <w:lang w:eastAsia="en-AU"/>
      </w:rPr>
      <mc:AlternateContent>
        <mc:Choice Requires="wps">
          <w:drawing>
            <wp:anchor distT="0" distB="0" distL="114300" distR="114300" simplePos="0" relativeHeight="251658244" behindDoc="0" locked="1" layoutInCell="0" allowOverlap="1" wp14:anchorId="1A250C0F" wp14:editId="750576AB">
              <wp:simplePos x="0" y="0"/>
              <wp:positionH relativeFrom="margin">
                <wp:align>center</wp:align>
              </wp:positionH>
              <wp:positionV relativeFrom="topMargin">
                <wp:align>center</wp:align>
              </wp:positionV>
              <wp:extent cx="892175" cy="342900"/>
              <wp:effectExtent l="0" t="0" r="22225" b="19050"/>
              <wp:wrapNone/>
              <wp:docPr id="1387863368" name="janusSEAL SC H_FirstPage"/>
              <wp:cNvGraphicFramePr/>
              <a:graphic xmlns:a="http://schemas.openxmlformats.org/drawingml/2006/main">
                <a:graphicData uri="http://schemas.microsoft.com/office/word/2010/wordprocessingShape">
                  <wps:wsp>
                    <wps:cNvSpPr txBox="1"/>
                    <wps:spPr>
                      <a:xfrm>
                        <a:off x="0" y="0"/>
                        <a:ext cx="892175" cy="342900"/>
                      </a:xfrm>
                      <a:prstGeom prst="rect">
                        <a:avLst/>
                      </a:prstGeom>
                      <a:noFill/>
                      <a:ln w="6350">
                        <a:solidFill>
                          <a:prstClr val="black"/>
                        </a:solidFill>
                      </a:ln>
                    </wps:spPr>
                    <wps:txbx>
                      <w:txbxContent>
                        <w:p w14:paraId="0E73B118" w14:textId="271B09F8" w:rsidR="00511EF0" w:rsidRPr="00511EF0" w:rsidRDefault="00511EF0" w:rsidP="00511EF0">
                          <w:pPr>
                            <w:spacing w:before="0"/>
                            <w:jc w:val="center"/>
                            <w:rPr>
                              <w:b/>
                              <w:color w:val="FF0000"/>
                              <w:sz w:val="24"/>
                            </w:rPr>
                          </w:pPr>
                          <w:r w:rsidRPr="00511EF0">
                            <w:rPr>
                              <w:b/>
                              <w:color w:val="FF0000"/>
                              <w:sz w:val="24"/>
                            </w:rPr>
                            <w:fldChar w:fldCharType="begin"/>
                          </w:r>
                          <w:r w:rsidRPr="00511EF0">
                            <w:rPr>
                              <w:b/>
                              <w:color w:val="FF0000"/>
                              <w:sz w:val="24"/>
                            </w:rPr>
                            <w:instrText xml:space="preserve"> DOCPROPERTY PM_ProtectiveMarkingValue_Header \* MERGEFORMAT </w:instrText>
                          </w:r>
                          <w:r w:rsidRPr="00511EF0">
                            <w:rPr>
                              <w:b/>
                              <w:color w:val="FF0000"/>
                              <w:sz w:val="24"/>
                            </w:rPr>
                            <w:fldChar w:fldCharType="separate"/>
                          </w:r>
                          <w:r>
                            <w:rPr>
                              <w:b/>
                              <w:color w:val="FF0000"/>
                              <w:sz w:val="24"/>
                            </w:rPr>
                            <w:t>OFFICIAL</w:t>
                          </w:r>
                          <w:r w:rsidRPr="00511EF0">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xmlns:aclsh="http://schemas.microsoft.com/office/drawing/2020/classificationShape">
          <w:pict>
            <v:shapetype id="_x0000_t202" coordsize="21600,21600" o:spt="202" path="m,l,21600r21600,l21600,xe" w14:anchorId="1A250C0F">
              <v:stroke joinstyle="miter"/>
              <v:path gradientshapeok="t" o:connecttype="rect"/>
            </v:shapetype>
            <v:shape id="janusSEAL SC H_FirstPage" style="position:absolute;margin-left:0;margin-top:0;width:70.25pt;height:27pt;z-index:251658244;visibility:visible;mso-wrap-style:none;mso-wrap-distance-left:9pt;mso-wrap-distance-top:0;mso-wrap-distance-right:9pt;mso-wrap-distance-bottom:0;mso-position-horizontal:center;mso-position-horizontal-relative:margin;mso-position-vertical:center;mso-position-vertical-relative:top-margin-area;v-text-anchor:top" o:spid="_x0000_s1029" o:allowincell="f"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">
              <v:textbox style="mso-fit-shape-to-text:t">
                <w:txbxContent>
                  <w:p w:rsidRPr="00511EF0" w:rsidR="00511EF0" w:rsidP="00511EF0" w:rsidRDefault="00511EF0" w14:paraId="0E73B118" w14:textId="271B09F8">
                    <w:pPr>
                      <w:spacing w:before="0"/>
                      <w:jc w:val="center"/>
                      <w:rPr>
                        <w:b/>
                        <w:color w:val="FF0000"/>
                        <w:sz w:val="24"/>
                      </w:rPr>
                    </w:pPr>
                    <w:r w:rsidRPr="00511EF0">
                      <w:rPr>
                        <w:b/>
                        <w:color w:val="FF0000"/>
                        <w:sz w:val="24"/>
                      </w:rPr>
                      <w:fldChar w:fldCharType="begin"/>
                    </w:r>
                    <w:r w:rsidRPr="00511EF0">
                      <w:rPr>
                        <w:b/>
                        <w:color w:val="FF0000"/>
                        <w:sz w:val="24"/>
                      </w:rPr>
                      <w:instrText xml:space="preserve"> DOCPROPERTY PM_ProtectiveMarkingValue_Header \* MERGEFORMAT </w:instrText>
                    </w:r>
                    <w:r w:rsidRPr="00511EF0">
                      <w:rPr>
                        <w:b/>
                        <w:color w:val="FF0000"/>
                        <w:sz w:val="24"/>
                      </w:rPr>
                      <w:fldChar w:fldCharType="separate"/>
                    </w:r>
                    <w:r>
                      <w:rPr>
                        <w:b/>
                        <w:color w:val="FF0000"/>
                        <w:sz w:val="24"/>
                      </w:rPr>
                      <w:t>OFFICIAL</w:t>
                    </w:r>
                    <w:r w:rsidRPr="00511EF0">
                      <w:rPr>
                        <w:b/>
                        <w:color w:val="FF0000"/>
                        <w:sz w:val="24"/>
                      </w:rPr>
                      <w:fldChar w:fldCharType="end"/>
                    </w:r>
                  </w:p>
                </w:txbxContent>
              </v:textbox>
              <w10:wrap anchorx="margin" anchory="margin"/>
              <w10:anchorlock/>
            </v:shape>
          </w:pict>
        </mc:Fallback>
      </mc:AlternateContent>
    </w:r>
    <w:r w:rsidR="0064367E">
      <w:rPr>
        <w:noProof/>
        <w:lang w:eastAsia="en-AU"/>
      </w:rPr>
      <w:drawing>
        <wp:anchor distT="0" distB="180340" distL="114300" distR="114300" simplePos="0" relativeHeight="251658242" behindDoc="0" locked="0" layoutInCell="1" allowOverlap="1" wp14:anchorId="3C09AC69" wp14:editId="6A0422B0">
          <wp:simplePos x="0" y="0"/>
          <wp:positionH relativeFrom="column">
            <wp:posOffset>-16510</wp:posOffset>
          </wp:positionH>
          <wp:positionV relativeFrom="paragraph">
            <wp:posOffset>-116840</wp:posOffset>
          </wp:positionV>
          <wp:extent cx="2143760" cy="665480"/>
          <wp:effectExtent l="0" t="0" r="8890" b="1270"/>
          <wp:wrapTopAndBottom/>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43760" cy="665480"/>
                  </a:xfrm>
                  <a:prstGeom prst="rect">
                    <a:avLst/>
                  </a:prstGeom>
                </pic:spPr>
              </pic:pic>
            </a:graphicData>
          </a:graphic>
          <wp14:sizeRelH relativeFrom="margin">
            <wp14:pctWidth>0</wp14:pctWidth>
          </wp14:sizeRelH>
          <wp14:sizeRelV relativeFrom="margin">
            <wp14:pctHeight>0</wp14:pctHeight>
          </wp14:sizeRelV>
        </wp:anchor>
      </w:drawing>
    </w:r>
  </w:p>
  <w:p w14:paraId="64168E66" w14:textId="77777777" w:rsidR="00074B29" w:rsidRDefault="00074B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75D"/>
    <w:multiLevelType w:val="hybridMultilevel"/>
    <w:tmpl w:val="90BE677E"/>
    <w:lvl w:ilvl="0" w:tplc="0C090001">
      <w:start w:val="1"/>
      <w:numFmt w:val="bullet"/>
      <w:lvlText w:val=""/>
      <w:lvlJc w:val="left"/>
      <w:pPr>
        <w:ind w:left="1353"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683766"/>
    <w:multiLevelType w:val="hybridMultilevel"/>
    <w:tmpl w:val="67AEF6E4"/>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4636" w:hanging="360"/>
      </w:pPr>
      <w:rPr>
        <w:rFonts w:ascii="Courier New" w:hAnsi="Courier New" w:cs="Courier New" w:hint="default"/>
      </w:rPr>
    </w:lvl>
    <w:lvl w:ilvl="2" w:tplc="FFFFFFFF" w:tentative="1">
      <w:start w:val="1"/>
      <w:numFmt w:val="bullet"/>
      <w:lvlText w:val=""/>
      <w:lvlJc w:val="left"/>
      <w:pPr>
        <w:ind w:left="5356" w:hanging="360"/>
      </w:pPr>
      <w:rPr>
        <w:rFonts w:ascii="Wingdings" w:hAnsi="Wingdings" w:hint="default"/>
      </w:rPr>
    </w:lvl>
    <w:lvl w:ilvl="3" w:tplc="FFFFFFFF" w:tentative="1">
      <w:start w:val="1"/>
      <w:numFmt w:val="bullet"/>
      <w:lvlText w:val=""/>
      <w:lvlJc w:val="left"/>
      <w:pPr>
        <w:ind w:left="6076" w:hanging="360"/>
      </w:pPr>
      <w:rPr>
        <w:rFonts w:ascii="Symbol" w:hAnsi="Symbol" w:hint="default"/>
      </w:rPr>
    </w:lvl>
    <w:lvl w:ilvl="4" w:tplc="FFFFFFFF" w:tentative="1">
      <w:start w:val="1"/>
      <w:numFmt w:val="bullet"/>
      <w:lvlText w:val="o"/>
      <w:lvlJc w:val="left"/>
      <w:pPr>
        <w:ind w:left="6796" w:hanging="360"/>
      </w:pPr>
      <w:rPr>
        <w:rFonts w:ascii="Courier New" w:hAnsi="Courier New" w:cs="Courier New" w:hint="default"/>
      </w:rPr>
    </w:lvl>
    <w:lvl w:ilvl="5" w:tplc="FFFFFFFF" w:tentative="1">
      <w:start w:val="1"/>
      <w:numFmt w:val="bullet"/>
      <w:lvlText w:val=""/>
      <w:lvlJc w:val="left"/>
      <w:pPr>
        <w:ind w:left="7516" w:hanging="360"/>
      </w:pPr>
      <w:rPr>
        <w:rFonts w:ascii="Wingdings" w:hAnsi="Wingdings" w:hint="default"/>
      </w:rPr>
    </w:lvl>
    <w:lvl w:ilvl="6" w:tplc="FFFFFFFF" w:tentative="1">
      <w:start w:val="1"/>
      <w:numFmt w:val="bullet"/>
      <w:lvlText w:val=""/>
      <w:lvlJc w:val="left"/>
      <w:pPr>
        <w:ind w:left="8236" w:hanging="360"/>
      </w:pPr>
      <w:rPr>
        <w:rFonts w:ascii="Symbol" w:hAnsi="Symbol" w:hint="default"/>
      </w:rPr>
    </w:lvl>
    <w:lvl w:ilvl="7" w:tplc="FFFFFFFF" w:tentative="1">
      <w:start w:val="1"/>
      <w:numFmt w:val="bullet"/>
      <w:lvlText w:val="o"/>
      <w:lvlJc w:val="left"/>
      <w:pPr>
        <w:ind w:left="8956" w:hanging="360"/>
      </w:pPr>
      <w:rPr>
        <w:rFonts w:ascii="Courier New" w:hAnsi="Courier New" w:cs="Courier New" w:hint="default"/>
      </w:rPr>
    </w:lvl>
    <w:lvl w:ilvl="8" w:tplc="FFFFFFFF" w:tentative="1">
      <w:start w:val="1"/>
      <w:numFmt w:val="bullet"/>
      <w:lvlText w:val=""/>
      <w:lvlJc w:val="left"/>
      <w:pPr>
        <w:ind w:left="9676" w:hanging="360"/>
      </w:pPr>
      <w:rPr>
        <w:rFonts w:ascii="Wingdings" w:hAnsi="Wingdings" w:hint="default"/>
      </w:rPr>
    </w:lvl>
  </w:abstractNum>
  <w:abstractNum w:abstractNumId="2"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5B3788"/>
    <w:multiLevelType w:val="hybridMultilevel"/>
    <w:tmpl w:val="151EA43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354192"/>
    <w:multiLevelType w:val="hybridMultilevel"/>
    <w:tmpl w:val="7A9AD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3932232"/>
    <w:multiLevelType w:val="hybridMultilevel"/>
    <w:tmpl w:val="0DB2D0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916" w:hanging="360"/>
      </w:pPr>
      <w:rPr>
        <w:rFonts w:ascii="Courier New" w:hAnsi="Courier New" w:cs="Courier New" w:hint="default"/>
      </w:rPr>
    </w:lvl>
    <w:lvl w:ilvl="2" w:tplc="0C090005" w:tentative="1">
      <w:start w:val="1"/>
      <w:numFmt w:val="bullet"/>
      <w:lvlText w:val=""/>
      <w:lvlJc w:val="left"/>
      <w:pPr>
        <w:ind w:left="4636" w:hanging="360"/>
      </w:pPr>
      <w:rPr>
        <w:rFonts w:ascii="Wingdings" w:hAnsi="Wingdings" w:hint="default"/>
      </w:rPr>
    </w:lvl>
    <w:lvl w:ilvl="3" w:tplc="0C090001" w:tentative="1">
      <w:start w:val="1"/>
      <w:numFmt w:val="bullet"/>
      <w:lvlText w:val=""/>
      <w:lvlJc w:val="left"/>
      <w:pPr>
        <w:ind w:left="5356" w:hanging="360"/>
      </w:pPr>
      <w:rPr>
        <w:rFonts w:ascii="Symbol" w:hAnsi="Symbol" w:hint="default"/>
      </w:rPr>
    </w:lvl>
    <w:lvl w:ilvl="4" w:tplc="0C090003" w:tentative="1">
      <w:start w:val="1"/>
      <w:numFmt w:val="bullet"/>
      <w:lvlText w:val="o"/>
      <w:lvlJc w:val="left"/>
      <w:pPr>
        <w:ind w:left="6076" w:hanging="360"/>
      </w:pPr>
      <w:rPr>
        <w:rFonts w:ascii="Courier New" w:hAnsi="Courier New" w:cs="Courier New" w:hint="default"/>
      </w:rPr>
    </w:lvl>
    <w:lvl w:ilvl="5" w:tplc="0C090005" w:tentative="1">
      <w:start w:val="1"/>
      <w:numFmt w:val="bullet"/>
      <w:lvlText w:val=""/>
      <w:lvlJc w:val="left"/>
      <w:pPr>
        <w:ind w:left="6796" w:hanging="360"/>
      </w:pPr>
      <w:rPr>
        <w:rFonts w:ascii="Wingdings" w:hAnsi="Wingdings" w:hint="default"/>
      </w:rPr>
    </w:lvl>
    <w:lvl w:ilvl="6" w:tplc="0C090001" w:tentative="1">
      <w:start w:val="1"/>
      <w:numFmt w:val="bullet"/>
      <w:lvlText w:val=""/>
      <w:lvlJc w:val="left"/>
      <w:pPr>
        <w:ind w:left="7516" w:hanging="360"/>
      </w:pPr>
      <w:rPr>
        <w:rFonts w:ascii="Symbol" w:hAnsi="Symbol" w:hint="default"/>
      </w:rPr>
    </w:lvl>
    <w:lvl w:ilvl="7" w:tplc="0C090003" w:tentative="1">
      <w:start w:val="1"/>
      <w:numFmt w:val="bullet"/>
      <w:lvlText w:val="o"/>
      <w:lvlJc w:val="left"/>
      <w:pPr>
        <w:ind w:left="8236" w:hanging="360"/>
      </w:pPr>
      <w:rPr>
        <w:rFonts w:ascii="Courier New" w:hAnsi="Courier New" w:cs="Courier New" w:hint="default"/>
      </w:rPr>
    </w:lvl>
    <w:lvl w:ilvl="8" w:tplc="0C090005" w:tentative="1">
      <w:start w:val="1"/>
      <w:numFmt w:val="bullet"/>
      <w:lvlText w:val=""/>
      <w:lvlJc w:val="left"/>
      <w:pPr>
        <w:ind w:left="8956" w:hanging="360"/>
      </w:pPr>
      <w:rPr>
        <w:rFonts w:ascii="Wingdings" w:hAnsi="Wingdings" w:hint="default"/>
      </w:rPr>
    </w:lvl>
  </w:abstractNum>
  <w:abstractNum w:abstractNumId="6" w15:restartNumberingAfterBreak="0">
    <w:nsid w:val="185B1153"/>
    <w:multiLevelType w:val="hybridMultilevel"/>
    <w:tmpl w:val="990CDF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3C049B"/>
    <w:multiLevelType w:val="multilevel"/>
    <w:tmpl w:val="6D9A2BC2"/>
    <w:numStyleLink w:val="NumberedHeadings"/>
  </w:abstractNum>
  <w:abstractNum w:abstractNumId="8"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0A7197"/>
    <w:multiLevelType w:val="hybridMultilevel"/>
    <w:tmpl w:val="E3E0B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526CD0"/>
    <w:multiLevelType w:val="hybridMultilevel"/>
    <w:tmpl w:val="CE4A9C5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6186897"/>
    <w:multiLevelType w:val="hybridMultilevel"/>
    <w:tmpl w:val="845C4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B57943"/>
    <w:multiLevelType w:val="hybridMultilevel"/>
    <w:tmpl w:val="A7E232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8B0109"/>
    <w:multiLevelType w:val="multilevel"/>
    <w:tmpl w:val="3D66CBA2"/>
    <w:numStyleLink w:val="CustomNumberlist"/>
  </w:abstractNum>
  <w:abstractNum w:abstractNumId="16" w15:restartNumberingAfterBreak="0">
    <w:nsid w:val="4B5A0B60"/>
    <w:multiLevelType w:val="hybridMultilevel"/>
    <w:tmpl w:val="3BBE34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002E79"/>
    <w:multiLevelType w:val="hybridMultilevel"/>
    <w:tmpl w:val="9416A6FE"/>
    <w:lvl w:ilvl="0" w:tplc="DD06DEC4">
      <w:start w:val="1"/>
      <w:numFmt w:val="bullet"/>
      <w:pStyle w:val="DefnBullet"/>
      <w:lvlText w:val=""/>
      <w:lvlJc w:val="left"/>
      <w:pPr>
        <w:tabs>
          <w:tab w:val="num" w:pos="648"/>
        </w:tabs>
        <w:ind w:left="648" w:hanging="288"/>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cs="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cs="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FBE7344"/>
    <w:multiLevelType w:val="hybridMultilevel"/>
    <w:tmpl w:val="ACACE41A"/>
    <w:lvl w:ilvl="0" w:tplc="C3646C0C">
      <w:start w:val="1"/>
      <w:numFmt w:val="decimal"/>
      <w:lvlText w:val="%1."/>
      <w:lvlJc w:val="left"/>
      <w:pPr>
        <w:ind w:left="360" w:hanging="360"/>
      </w:pPr>
      <w:rPr>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4160892"/>
    <w:multiLevelType w:val="hybridMultilevel"/>
    <w:tmpl w:val="995A7710"/>
    <w:lvl w:ilvl="0" w:tplc="46B04D0E">
      <w:start w:val="1"/>
      <w:numFmt w:val="decimal"/>
      <w:pStyle w:val="Listnumber1"/>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5684D32"/>
    <w:multiLevelType w:val="hybridMultilevel"/>
    <w:tmpl w:val="8A345C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AB9384F"/>
    <w:multiLevelType w:val="hybridMultilevel"/>
    <w:tmpl w:val="FCFAB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9212008">
    <w:abstractNumId w:val="13"/>
  </w:num>
  <w:num w:numId="2" w16cid:durableId="829714685">
    <w:abstractNumId w:val="8"/>
  </w:num>
  <w:num w:numId="3" w16cid:durableId="1012682012">
    <w:abstractNumId w:val="14"/>
  </w:num>
  <w:num w:numId="4" w16cid:durableId="1900633533">
    <w:abstractNumId w:val="22"/>
  </w:num>
  <w:num w:numId="5" w16cid:durableId="1808208147">
    <w:abstractNumId w:val="7"/>
  </w:num>
  <w:num w:numId="6" w16cid:durableId="682167137">
    <w:abstractNumId w:val="15"/>
  </w:num>
  <w:num w:numId="7" w16cid:durableId="1900699956">
    <w:abstractNumId w:val="2"/>
  </w:num>
  <w:num w:numId="8" w16cid:durableId="205027915">
    <w:abstractNumId w:val="23"/>
  </w:num>
  <w:num w:numId="9" w16cid:durableId="1554273783">
    <w:abstractNumId w:val="17"/>
  </w:num>
  <w:num w:numId="10" w16cid:durableId="235633880">
    <w:abstractNumId w:val="18"/>
  </w:num>
  <w:num w:numId="11" w16cid:durableId="1804804818">
    <w:abstractNumId w:val="9"/>
  </w:num>
  <w:num w:numId="12" w16cid:durableId="707991871">
    <w:abstractNumId w:val="21"/>
  </w:num>
  <w:num w:numId="13" w16cid:durableId="140735826">
    <w:abstractNumId w:val="19"/>
  </w:num>
  <w:num w:numId="14" w16cid:durableId="1641226893">
    <w:abstractNumId w:val="19"/>
    <w:lvlOverride w:ilvl="0">
      <w:startOverride w:val="1"/>
    </w:lvlOverride>
  </w:num>
  <w:num w:numId="15" w16cid:durableId="2129540272">
    <w:abstractNumId w:val="19"/>
    <w:lvlOverride w:ilvl="0">
      <w:startOverride w:val="1"/>
    </w:lvlOverride>
  </w:num>
  <w:num w:numId="16" w16cid:durableId="2066289850">
    <w:abstractNumId w:val="5"/>
  </w:num>
  <w:num w:numId="17" w16cid:durableId="1040276623">
    <w:abstractNumId w:val="6"/>
  </w:num>
  <w:num w:numId="18" w16cid:durableId="2067794878">
    <w:abstractNumId w:val="0"/>
  </w:num>
  <w:num w:numId="19" w16cid:durableId="686365838">
    <w:abstractNumId w:val="1"/>
  </w:num>
  <w:num w:numId="20" w16cid:durableId="793141051">
    <w:abstractNumId w:val="11"/>
  </w:num>
  <w:num w:numId="21" w16cid:durableId="1152792791">
    <w:abstractNumId w:val="20"/>
  </w:num>
  <w:num w:numId="22" w16cid:durableId="243689248">
    <w:abstractNumId w:val="3"/>
  </w:num>
  <w:num w:numId="23" w16cid:durableId="820737551">
    <w:abstractNumId w:val="10"/>
  </w:num>
  <w:num w:numId="24" w16cid:durableId="1393043705">
    <w:abstractNumId w:val="4"/>
  </w:num>
  <w:num w:numId="25" w16cid:durableId="47455838">
    <w:abstractNumId w:val="12"/>
  </w:num>
  <w:num w:numId="26" w16cid:durableId="1804692879">
    <w:abstractNumId w:val="16"/>
  </w:num>
  <w:num w:numId="27" w16cid:durableId="1633706791">
    <w:abstractNumId w:val="13"/>
  </w:num>
  <w:num w:numId="28" w16cid:durableId="634334903">
    <w:abstractNumId w:val="13"/>
  </w:num>
  <w:num w:numId="29" w16cid:durableId="131125355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F2"/>
    <w:rsid w:val="000008C4"/>
    <w:rsid w:val="00001B45"/>
    <w:rsid w:val="00001DED"/>
    <w:rsid w:val="00002342"/>
    <w:rsid w:val="00002B9F"/>
    <w:rsid w:val="0000453D"/>
    <w:rsid w:val="000046BD"/>
    <w:rsid w:val="000049AC"/>
    <w:rsid w:val="00006AE3"/>
    <w:rsid w:val="00014B35"/>
    <w:rsid w:val="00014E0C"/>
    <w:rsid w:val="00015588"/>
    <w:rsid w:val="00016924"/>
    <w:rsid w:val="000217B6"/>
    <w:rsid w:val="0002261B"/>
    <w:rsid w:val="000227FF"/>
    <w:rsid w:val="0002366A"/>
    <w:rsid w:val="00023A17"/>
    <w:rsid w:val="00024190"/>
    <w:rsid w:val="0002779B"/>
    <w:rsid w:val="00030629"/>
    <w:rsid w:val="0003101D"/>
    <w:rsid w:val="00032E17"/>
    <w:rsid w:val="000345B4"/>
    <w:rsid w:val="000360DC"/>
    <w:rsid w:val="00037E7B"/>
    <w:rsid w:val="000407C9"/>
    <w:rsid w:val="0004203C"/>
    <w:rsid w:val="00042508"/>
    <w:rsid w:val="00046328"/>
    <w:rsid w:val="00047259"/>
    <w:rsid w:val="00047BA2"/>
    <w:rsid w:val="000514A0"/>
    <w:rsid w:val="000518F3"/>
    <w:rsid w:val="00051C4E"/>
    <w:rsid w:val="000566E0"/>
    <w:rsid w:val="00057804"/>
    <w:rsid w:val="00062418"/>
    <w:rsid w:val="00062AE4"/>
    <w:rsid w:val="00062E7C"/>
    <w:rsid w:val="00063843"/>
    <w:rsid w:val="00064878"/>
    <w:rsid w:val="00066A5F"/>
    <w:rsid w:val="00067DD9"/>
    <w:rsid w:val="00067E73"/>
    <w:rsid w:val="00072C8C"/>
    <w:rsid w:val="0007356A"/>
    <w:rsid w:val="000740B8"/>
    <w:rsid w:val="00074B29"/>
    <w:rsid w:val="00075A53"/>
    <w:rsid w:val="00075A94"/>
    <w:rsid w:val="000805AD"/>
    <w:rsid w:val="00090755"/>
    <w:rsid w:val="000921C4"/>
    <w:rsid w:val="00092383"/>
    <w:rsid w:val="00092A3C"/>
    <w:rsid w:val="0009327C"/>
    <w:rsid w:val="0009476F"/>
    <w:rsid w:val="00097EE5"/>
    <w:rsid w:val="000A1292"/>
    <w:rsid w:val="000A380C"/>
    <w:rsid w:val="000A5C79"/>
    <w:rsid w:val="000A759D"/>
    <w:rsid w:val="000A78E8"/>
    <w:rsid w:val="000A7FD9"/>
    <w:rsid w:val="000B03E7"/>
    <w:rsid w:val="000B1215"/>
    <w:rsid w:val="000B186D"/>
    <w:rsid w:val="000B300A"/>
    <w:rsid w:val="000B32A9"/>
    <w:rsid w:val="000B5DED"/>
    <w:rsid w:val="000B6CE4"/>
    <w:rsid w:val="000B79CB"/>
    <w:rsid w:val="000C21EB"/>
    <w:rsid w:val="000C29FB"/>
    <w:rsid w:val="000C2CA7"/>
    <w:rsid w:val="000C2D91"/>
    <w:rsid w:val="000C3C83"/>
    <w:rsid w:val="000C40AE"/>
    <w:rsid w:val="000C444F"/>
    <w:rsid w:val="000C4F30"/>
    <w:rsid w:val="000C546F"/>
    <w:rsid w:val="000D27C2"/>
    <w:rsid w:val="000D32F0"/>
    <w:rsid w:val="000D4547"/>
    <w:rsid w:val="000D6197"/>
    <w:rsid w:val="000D6BD3"/>
    <w:rsid w:val="000D7957"/>
    <w:rsid w:val="000E2786"/>
    <w:rsid w:val="000E5FD8"/>
    <w:rsid w:val="000F451B"/>
    <w:rsid w:val="000F64C8"/>
    <w:rsid w:val="0010093E"/>
    <w:rsid w:val="00100CFB"/>
    <w:rsid w:val="00102C0A"/>
    <w:rsid w:val="00102C12"/>
    <w:rsid w:val="001050FE"/>
    <w:rsid w:val="00106608"/>
    <w:rsid w:val="00107807"/>
    <w:rsid w:val="00110657"/>
    <w:rsid w:val="001134AC"/>
    <w:rsid w:val="001208CE"/>
    <w:rsid w:val="001215A7"/>
    <w:rsid w:val="00121D19"/>
    <w:rsid w:val="0012228F"/>
    <w:rsid w:val="001224D1"/>
    <w:rsid w:val="001232C8"/>
    <w:rsid w:val="00125380"/>
    <w:rsid w:val="00125D2E"/>
    <w:rsid w:val="001271DF"/>
    <w:rsid w:val="0013447E"/>
    <w:rsid w:val="0013681E"/>
    <w:rsid w:val="00136CCC"/>
    <w:rsid w:val="00141893"/>
    <w:rsid w:val="00142751"/>
    <w:rsid w:val="001450FC"/>
    <w:rsid w:val="00153081"/>
    <w:rsid w:val="0015349C"/>
    <w:rsid w:val="001536FB"/>
    <w:rsid w:val="0015529F"/>
    <w:rsid w:val="001566DE"/>
    <w:rsid w:val="00157CD5"/>
    <w:rsid w:val="0016022B"/>
    <w:rsid w:val="001604B5"/>
    <w:rsid w:val="00160F48"/>
    <w:rsid w:val="001616E7"/>
    <w:rsid w:val="001661B7"/>
    <w:rsid w:val="00166625"/>
    <w:rsid w:val="001710CB"/>
    <w:rsid w:val="00176B96"/>
    <w:rsid w:val="001775CA"/>
    <w:rsid w:val="00180413"/>
    <w:rsid w:val="00184482"/>
    <w:rsid w:val="00184CEF"/>
    <w:rsid w:val="00185425"/>
    <w:rsid w:val="00185B07"/>
    <w:rsid w:val="001869B0"/>
    <w:rsid w:val="00187ACF"/>
    <w:rsid w:val="001936FB"/>
    <w:rsid w:val="001964F2"/>
    <w:rsid w:val="001A0BE7"/>
    <w:rsid w:val="001A3315"/>
    <w:rsid w:val="001A4ACF"/>
    <w:rsid w:val="001A5A02"/>
    <w:rsid w:val="001A7B79"/>
    <w:rsid w:val="001B220E"/>
    <w:rsid w:val="001B2231"/>
    <w:rsid w:val="001B2C83"/>
    <w:rsid w:val="001B408F"/>
    <w:rsid w:val="001B4381"/>
    <w:rsid w:val="001B723A"/>
    <w:rsid w:val="001B7A53"/>
    <w:rsid w:val="001C5534"/>
    <w:rsid w:val="001C5DA0"/>
    <w:rsid w:val="001C626C"/>
    <w:rsid w:val="001C6D51"/>
    <w:rsid w:val="001C6F3F"/>
    <w:rsid w:val="001C750A"/>
    <w:rsid w:val="001D04AB"/>
    <w:rsid w:val="001D07CD"/>
    <w:rsid w:val="001D13D9"/>
    <w:rsid w:val="001D2EE4"/>
    <w:rsid w:val="001D3A87"/>
    <w:rsid w:val="001D3BD1"/>
    <w:rsid w:val="001E2102"/>
    <w:rsid w:val="001E33F4"/>
    <w:rsid w:val="001E35F1"/>
    <w:rsid w:val="001E3CE3"/>
    <w:rsid w:val="001E4B4D"/>
    <w:rsid w:val="001E5506"/>
    <w:rsid w:val="001E6E73"/>
    <w:rsid w:val="001E7982"/>
    <w:rsid w:val="001E7BB0"/>
    <w:rsid w:val="001F3997"/>
    <w:rsid w:val="001F5750"/>
    <w:rsid w:val="001F5FD1"/>
    <w:rsid w:val="001F64A3"/>
    <w:rsid w:val="001F7FC1"/>
    <w:rsid w:val="0020035A"/>
    <w:rsid w:val="00204C88"/>
    <w:rsid w:val="00204E4D"/>
    <w:rsid w:val="002056BA"/>
    <w:rsid w:val="00205991"/>
    <w:rsid w:val="00206A80"/>
    <w:rsid w:val="0021023B"/>
    <w:rsid w:val="0021042C"/>
    <w:rsid w:val="00210724"/>
    <w:rsid w:val="00210F48"/>
    <w:rsid w:val="00211341"/>
    <w:rsid w:val="00212D08"/>
    <w:rsid w:val="002135F6"/>
    <w:rsid w:val="0021362F"/>
    <w:rsid w:val="0021394B"/>
    <w:rsid w:val="0021532C"/>
    <w:rsid w:val="00216F6E"/>
    <w:rsid w:val="00220AEA"/>
    <w:rsid w:val="00220B29"/>
    <w:rsid w:val="002215EF"/>
    <w:rsid w:val="00223FD9"/>
    <w:rsid w:val="002251B2"/>
    <w:rsid w:val="0022708E"/>
    <w:rsid w:val="00230F5B"/>
    <w:rsid w:val="00232581"/>
    <w:rsid w:val="0023271C"/>
    <w:rsid w:val="0023654C"/>
    <w:rsid w:val="0024226C"/>
    <w:rsid w:val="00243112"/>
    <w:rsid w:val="0024321C"/>
    <w:rsid w:val="002450FE"/>
    <w:rsid w:val="00250ACB"/>
    <w:rsid w:val="00251145"/>
    <w:rsid w:val="00251DF7"/>
    <w:rsid w:val="00261B3F"/>
    <w:rsid w:val="00262FC8"/>
    <w:rsid w:val="00263537"/>
    <w:rsid w:val="002635DF"/>
    <w:rsid w:val="00263DB5"/>
    <w:rsid w:val="00264CDF"/>
    <w:rsid w:val="00264F3B"/>
    <w:rsid w:val="0027311C"/>
    <w:rsid w:val="002750C4"/>
    <w:rsid w:val="00275558"/>
    <w:rsid w:val="002761BA"/>
    <w:rsid w:val="002763EF"/>
    <w:rsid w:val="0028012E"/>
    <w:rsid w:val="0028269C"/>
    <w:rsid w:val="00283C9E"/>
    <w:rsid w:val="00285F27"/>
    <w:rsid w:val="002966CE"/>
    <w:rsid w:val="002A059D"/>
    <w:rsid w:val="002A50D2"/>
    <w:rsid w:val="002A74A1"/>
    <w:rsid w:val="002B1632"/>
    <w:rsid w:val="002B1A8D"/>
    <w:rsid w:val="002B24E7"/>
    <w:rsid w:val="002B2A02"/>
    <w:rsid w:val="002B323E"/>
    <w:rsid w:val="002B54DF"/>
    <w:rsid w:val="002C0190"/>
    <w:rsid w:val="002C061F"/>
    <w:rsid w:val="002C0C66"/>
    <w:rsid w:val="002C1135"/>
    <w:rsid w:val="002C2ADF"/>
    <w:rsid w:val="002C58B9"/>
    <w:rsid w:val="002D01D2"/>
    <w:rsid w:val="002D056E"/>
    <w:rsid w:val="002D18B5"/>
    <w:rsid w:val="002D1D20"/>
    <w:rsid w:val="002D20D5"/>
    <w:rsid w:val="002D3559"/>
    <w:rsid w:val="002D3B02"/>
    <w:rsid w:val="002D682B"/>
    <w:rsid w:val="002D70AF"/>
    <w:rsid w:val="002E01C6"/>
    <w:rsid w:val="002E36DB"/>
    <w:rsid w:val="002E48AC"/>
    <w:rsid w:val="002E7CC7"/>
    <w:rsid w:val="002F358C"/>
    <w:rsid w:val="00300074"/>
    <w:rsid w:val="00303204"/>
    <w:rsid w:val="003107CE"/>
    <w:rsid w:val="0031193E"/>
    <w:rsid w:val="00311F84"/>
    <w:rsid w:val="00315E62"/>
    <w:rsid w:val="003170B3"/>
    <w:rsid w:val="00317C67"/>
    <w:rsid w:val="00322461"/>
    <w:rsid w:val="003243A2"/>
    <w:rsid w:val="0032726B"/>
    <w:rsid w:val="00330FA9"/>
    <w:rsid w:val="00332D2F"/>
    <w:rsid w:val="0033317E"/>
    <w:rsid w:val="003417C1"/>
    <w:rsid w:val="00341D87"/>
    <w:rsid w:val="00342429"/>
    <w:rsid w:val="00344D56"/>
    <w:rsid w:val="00345366"/>
    <w:rsid w:val="00345B4C"/>
    <w:rsid w:val="00350769"/>
    <w:rsid w:val="0035209C"/>
    <w:rsid w:val="00353663"/>
    <w:rsid w:val="00353ED5"/>
    <w:rsid w:val="00354BE0"/>
    <w:rsid w:val="0035651D"/>
    <w:rsid w:val="00357D80"/>
    <w:rsid w:val="00357D99"/>
    <w:rsid w:val="00357E11"/>
    <w:rsid w:val="0036013E"/>
    <w:rsid w:val="00360763"/>
    <w:rsid w:val="0036641E"/>
    <w:rsid w:val="00371681"/>
    <w:rsid w:val="00372159"/>
    <w:rsid w:val="0037361B"/>
    <w:rsid w:val="00374858"/>
    <w:rsid w:val="00375CBF"/>
    <w:rsid w:val="00375EFC"/>
    <w:rsid w:val="0037661F"/>
    <w:rsid w:val="00376D6C"/>
    <w:rsid w:val="00380576"/>
    <w:rsid w:val="00380709"/>
    <w:rsid w:val="0038093F"/>
    <w:rsid w:val="00381913"/>
    <w:rsid w:val="0038209E"/>
    <w:rsid w:val="003837CC"/>
    <w:rsid w:val="00383ABB"/>
    <w:rsid w:val="003843D4"/>
    <w:rsid w:val="00386E80"/>
    <w:rsid w:val="003904B9"/>
    <w:rsid w:val="00390925"/>
    <w:rsid w:val="00390E17"/>
    <w:rsid w:val="0039308A"/>
    <w:rsid w:val="00394187"/>
    <w:rsid w:val="00395CFE"/>
    <w:rsid w:val="003A16E1"/>
    <w:rsid w:val="003A2748"/>
    <w:rsid w:val="003A2B61"/>
    <w:rsid w:val="003A30F3"/>
    <w:rsid w:val="003A7532"/>
    <w:rsid w:val="003B7C71"/>
    <w:rsid w:val="003C22E5"/>
    <w:rsid w:val="003C39F4"/>
    <w:rsid w:val="003C576B"/>
    <w:rsid w:val="003D0985"/>
    <w:rsid w:val="003D22F7"/>
    <w:rsid w:val="003E0481"/>
    <w:rsid w:val="003E0C87"/>
    <w:rsid w:val="003E2D49"/>
    <w:rsid w:val="003E31C8"/>
    <w:rsid w:val="003E3AAD"/>
    <w:rsid w:val="003F1961"/>
    <w:rsid w:val="003F3547"/>
    <w:rsid w:val="003F379C"/>
    <w:rsid w:val="003F4544"/>
    <w:rsid w:val="003F6493"/>
    <w:rsid w:val="003F66D4"/>
    <w:rsid w:val="00400E4C"/>
    <w:rsid w:val="00401E91"/>
    <w:rsid w:val="00401E97"/>
    <w:rsid w:val="00401F2D"/>
    <w:rsid w:val="0040217D"/>
    <w:rsid w:val="00405D15"/>
    <w:rsid w:val="004064CD"/>
    <w:rsid w:val="004073CC"/>
    <w:rsid w:val="004075EC"/>
    <w:rsid w:val="004100C5"/>
    <w:rsid w:val="004138CF"/>
    <w:rsid w:val="00414AB9"/>
    <w:rsid w:val="00414C24"/>
    <w:rsid w:val="004173EE"/>
    <w:rsid w:val="00417421"/>
    <w:rsid w:val="00421B09"/>
    <w:rsid w:val="00422E48"/>
    <w:rsid w:val="00427B6B"/>
    <w:rsid w:val="0043066B"/>
    <w:rsid w:val="004309BF"/>
    <w:rsid w:val="00433287"/>
    <w:rsid w:val="00434862"/>
    <w:rsid w:val="004369E4"/>
    <w:rsid w:val="00437FDA"/>
    <w:rsid w:val="00440B1F"/>
    <w:rsid w:val="00441666"/>
    <w:rsid w:val="00442A47"/>
    <w:rsid w:val="00446221"/>
    <w:rsid w:val="00450232"/>
    <w:rsid w:val="004519A2"/>
    <w:rsid w:val="00451FC3"/>
    <w:rsid w:val="00453273"/>
    <w:rsid w:val="004546A1"/>
    <w:rsid w:val="004558CC"/>
    <w:rsid w:val="00456D12"/>
    <w:rsid w:val="004578A6"/>
    <w:rsid w:val="0046135C"/>
    <w:rsid w:val="00461B6E"/>
    <w:rsid w:val="004627D4"/>
    <w:rsid w:val="004627DE"/>
    <w:rsid w:val="0046312A"/>
    <w:rsid w:val="0046383E"/>
    <w:rsid w:val="00464571"/>
    <w:rsid w:val="0046638E"/>
    <w:rsid w:val="00467118"/>
    <w:rsid w:val="004706B5"/>
    <w:rsid w:val="00471873"/>
    <w:rsid w:val="004720B7"/>
    <w:rsid w:val="00473205"/>
    <w:rsid w:val="00474670"/>
    <w:rsid w:val="004755C4"/>
    <w:rsid w:val="00481132"/>
    <w:rsid w:val="004821F6"/>
    <w:rsid w:val="0048244D"/>
    <w:rsid w:val="00484F2D"/>
    <w:rsid w:val="004855CE"/>
    <w:rsid w:val="00487EA3"/>
    <w:rsid w:val="0049046A"/>
    <w:rsid w:val="00491699"/>
    <w:rsid w:val="004945AF"/>
    <w:rsid w:val="00494A86"/>
    <w:rsid w:val="00495E2E"/>
    <w:rsid w:val="00496CF9"/>
    <w:rsid w:val="004A238C"/>
    <w:rsid w:val="004A760B"/>
    <w:rsid w:val="004B01B0"/>
    <w:rsid w:val="004B5C52"/>
    <w:rsid w:val="004B63C2"/>
    <w:rsid w:val="004C3026"/>
    <w:rsid w:val="004C4826"/>
    <w:rsid w:val="004C5DC3"/>
    <w:rsid w:val="004D0343"/>
    <w:rsid w:val="004D0AD4"/>
    <w:rsid w:val="004D468B"/>
    <w:rsid w:val="004D5B0D"/>
    <w:rsid w:val="004D6EFE"/>
    <w:rsid w:val="004D7C0D"/>
    <w:rsid w:val="004E0FF2"/>
    <w:rsid w:val="004E16FC"/>
    <w:rsid w:val="004E1C01"/>
    <w:rsid w:val="004E208C"/>
    <w:rsid w:val="004E2F22"/>
    <w:rsid w:val="004E3E39"/>
    <w:rsid w:val="004E6E53"/>
    <w:rsid w:val="004F0E1F"/>
    <w:rsid w:val="004F2E09"/>
    <w:rsid w:val="004F4837"/>
    <w:rsid w:val="004F4CD4"/>
    <w:rsid w:val="004F6F59"/>
    <w:rsid w:val="0050064B"/>
    <w:rsid w:val="0050089A"/>
    <w:rsid w:val="005014C6"/>
    <w:rsid w:val="00502ACC"/>
    <w:rsid w:val="00506BB2"/>
    <w:rsid w:val="005075F1"/>
    <w:rsid w:val="00511EF0"/>
    <w:rsid w:val="0051284F"/>
    <w:rsid w:val="00516C00"/>
    <w:rsid w:val="00524474"/>
    <w:rsid w:val="005274C7"/>
    <w:rsid w:val="00536422"/>
    <w:rsid w:val="005405BC"/>
    <w:rsid w:val="00540FD6"/>
    <w:rsid w:val="00541F9A"/>
    <w:rsid w:val="00545E3C"/>
    <w:rsid w:val="00553FD3"/>
    <w:rsid w:val="00555C50"/>
    <w:rsid w:val="005561C6"/>
    <w:rsid w:val="00556AFF"/>
    <w:rsid w:val="0056085D"/>
    <w:rsid w:val="0056203A"/>
    <w:rsid w:val="00563AD8"/>
    <w:rsid w:val="00564BE8"/>
    <w:rsid w:val="005675F2"/>
    <w:rsid w:val="00570233"/>
    <w:rsid w:val="00570741"/>
    <w:rsid w:val="00570E5B"/>
    <w:rsid w:val="0057451B"/>
    <w:rsid w:val="005745C1"/>
    <w:rsid w:val="00583B02"/>
    <w:rsid w:val="00584583"/>
    <w:rsid w:val="00585426"/>
    <w:rsid w:val="005918F0"/>
    <w:rsid w:val="00591E0E"/>
    <w:rsid w:val="005953E8"/>
    <w:rsid w:val="005A1443"/>
    <w:rsid w:val="005A615F"/>
    <w:rsid w:val="005A7D94"/>
    <w:rsid w:val="005B15E6"/>
    <w:rsid w:val="005B1CCB"/>
    <w:rsid w:val="005B5CF5"/>
    <w:rsid w:val="005B6856"/>
    <w:rsid w:val="005C01D5"/>
    <w:rsid w:val="005C0ED5"/>
    <w:rsid w:val="005C1580"/>
    <w:rsid w:val="005C1A6F"/>
    <w:rsid w:val="005C27C6"/>
    <w:rsid w:val="005C6E04"/>
    <w:rsid w:val="005C7E50"/>
    <w:rsid w:val="005D2216"/>
    <w:rsid w:val="005D2304"/>
    <w:rsid w:val="005D2544"/>
    <w:rsid w:val="005D330A"/>
    <w:rsid w:val="005D34D3"/>
    <w:rsid w:val="005D4310"/>
    <w:rsid w:val="005D4A27"/>
    <w:rsid w:val="005D7087"/>
    <w:rsid w:val="005E2A78"/>
    <w:rsid w:val="005E2E03"/>
    <w:rsid w:val="005E58F0"/>
    <w:rsid w:val="005E61B1"/>
    <w:rsid w:val="005F0F0C"/>
    <w:rsid w:val="005F3D90"/>
    <w:rsid w:val="005F4E54"/>
    <w:rsid w:val="005F5578"/>
    <w:rsid w:val="005F5ABC"/>
    <w:rsid w:val="005F6A7E"/>
    <w:rsid w:val="005F7E99"/>
    <w:rsid w:val="00600CE6"/>
    <w:rsid w:val="0060159E"/>
    <w:rsid w:val="0060301C"/>
    <w:rsid w:val="00605E7A"/>
    <w:rsid w:val="0061068B"/>
    <w:rsid w:val="00612614"/>
    <w:rsid w:val="00612631"/>
    <w:rsid w:val="00615C49"/>
    <w:rsid w:val="006242CD"/>
    <w:rsid w:val="0062462D"/>
    <w:rsid w:val="00625696"/>
    <w:rsid w:val="00626A92"/>
    <w:rsid w:val="00626CB9"/>
    <w:rsid w:val="00632EF8"/>
    <w:rsid w:val="00633068"/>
    <w:rsid w:val="00633797"/>
    <w:rsid w:val="0063494B"/>
    <w:rsid w:val="00635251"/>
    <w:rsid w:val="006415DC"/>
    <w:rsid w:val="0064367E"/>
    <w:rsid w:val="006440EA"/>
    <w:rsid w:val="00646825"/>
    <w:rsid w:val="006532DA"/>
    <w:rsid w:val="0065395E"/>
    <w:rsid w:val="006567BC"/>
    <w:rsid w:val="00660311"/>
    <w:rsid w:val="00661694"/>
    <w:rsid w:val="00663463"/>
    <w:rsid w:val="00664234"/>
    <w:rsid w:val="00664E07"/>
    <w:rsid w:val="00666190"/>
    <w:rsid w:val="00667619"/>
    <w:rsid w:val="00670F0F"/>
    <w:rsid w:val="0067146A"/>
    <w:rsid w:val="006756C6"/>
    <w:rsid w:val="0067694A"/>
    <w:rsid w:val="00676FCE"/>
    <w:rsid w:val="00677128"/>
    <w:rsid w:val="00677190"/>
    <w:rsid w:val="006817B0"/>
    <w:rsid w:val="00681E59"/>
    <w:rsid w:val="006845E8"/>
    <w:rsid w:val="00686A59"/>
    <w:rsid w:val="00696AEB"/>
    <w:rsid w:val="0069772F"/>
    <w:rsid w:val="006A08F5"/>
    <w:rsid w:val="006A2766"/>
    <w:rsid w:val="006A427D"/>
    <w:rsid w:val="006A4C07"/>
    <w:rsid w:val="006A664A"/>
    <w:rsid w:val="006B15B1"/>
    <w:rsid w:val="006B23CB"/>
    <w:rsid w:val="006B364F"/>
    <w:rsid w:val="006B6BBA"/>
    <w:rsid w:val="006C4904"/>
    <w:rsid w:val="006D0A5E"/>
    <w:rsid w:val="006D2E2F"/>
    <w:rsid w:val="006D4CD9"/>
    <w:rsid w:val="006D6E35"/>
    <w:rsid w:val="006D72EA"/>
    <w:rsid w:val="006E09BB"/>
    <w:rsid w:val="006E35AC"/>
    <w:rsid w:val="006E6549"/>
    <w:rsid w:val="006E6B2B"/>
    <w:rsid w:val="006E7425"/>
    <w:rsid w:val="006E7ABE"/>
    <w:rsid w:val="006F21A0"/>
    <w:rsid w:val="006F29EA"/>
    <w:rsid w:val="006F3FC4"/>
    <w:rsid w:val="006F6B9A"/>
    <w:rsid w:val="00700BB7"/>
    <w:rsid w:val="00700C24"/>
    <w:rsid w:val="007011BA"/>
    <w:rsid w:val="00703A70"/>
    <w:rsid w:val="00703C67"/>
    <w:rsid w:val="00706B24"/>
    <w:rsid w:val="00707B2F"/>
    <w:rsid w:val="00710037"/>
    <w:rsid w:val="00710792"/>
    <w:rsid w:val="00711BA5"/>
    <w:rsid w:val="0071396F"/>
    <w:rsid w:val="00714264"/>
    <w:rsid w:val="00717577"/>
    <w:rsid w:val="0071799F"/>
    <w:rsid w:val="00717CCA"/>
    <w:rsid w:val="00717DD8"/>
    <w:rsid w:val="007202C6"/>
    <w:rsid w:val="00721673"/>
    <w:rsid w:val="00721BDC"/>
    <w:rsid w:val="00722380"/>
    <w:rsid w:val="00725060"/>
    <w:rsid w:val="00726D06"/>
    <w:rsid w:val="007317FD"/>
    <w:rsid w:val="0073203E"/>
    <w:rsid w:val="007324B0"/>
    <w:rsid w:val="00733E7B"/>
    <w:rsid w:val="0073474F"/>
    <w:rsid w:val="00736338"/>
    <w:rsid w:val="0074067B"/>
    <w:rsid w:val="00740720"/>
    <w:rsid w:val="00741550"/>
    <w:rsid w:val="0074224B"/>
    <w:rsid w:val="00742DCC"/>
    <w:rsid w:val="00743023"/>
    <w:rsid w:val="00744BA7"/>
    <w:rsid w:val="00747563"/>
    <w:rsid w:val="00750535"/>
    <w:rsid w:val="007530F2"/>
    <w:rsid w:val="00753919"/>
    <w:rsid w:val="00754368"/>
    <w:rsid w:val="00754C7A"/>
    <w:rsid w:val="00755A78"/>
    <w:rsid w:val="00755F67"/>
    <w:rsid w:val="007568EA"/>
    <w:rsid w:val="00757301"/>
    <w:rsid w:val="00760F7D"/>
    <w:rsid w:val="00764333"/>
    <w:rsid w:val="00765A37"/>
    <w:rsid w:val="007669F5"/>
    <w:rsid w:val="007670DA"/>
    <w:rsid w:val="00767304"/>
    <w:rsid w:val="007674AA"/>
    <w:rsid w:val="00770F81"/>
    <w:rsid w:val="00771289"/>
    <w:rsid w:val="007720C4"/>
    <w:rsid w:val="00772EB1"/>
    <w:rsid w:val="00773D47"/>
    <w:rsid w:val="00774B2D"/>
    <w:rsid w:val="00774B3F"/>
    <w:rsid w:val="0077570F"/>
    <w:rsid w:val="0077703E"/>
    <w:rsid w:val="007802BA"/>
    <w:rsid w:val="00781227"/>
    <w:rsid w:val="00782E55"/>
    <w:rsid w:val="00784DEB"/>
    <w:rsid w:val="00785C36"/>
    <w:rsid w:val="007862A8"/>
    <w:rsid w:val="0079027C"/>
    <w:rsid w:val="00792B10"/>
    <w:rsid w:val="00795C8F"/>
    <w:rsid w:val="00796928"/>
    <w:rsid w:val="00797036"/>
    <w:rsid w:val="00797E51"/>
    <w:rsid w:val="007A53CA"/>
    <w:rsid w:val="007A5734"/>
    <w:rsid w:val="007B0D37"/>
    <w:rsid w:val="007B2F1B"/>
    <w:rsid w:val="007B565F"/>
    <w:rsid w:val="007B6C8C"/>
    <w:rsid w:val="007C05D0"/>
    <w:rsid w:val="007C28F3"/>
    <w:rsid w:val="007C58EC"/>
    <w:rsid w:val="007C6569"/>
    <w:rsid w:val="007C76A3"/>
    <w:rsid w:val="007C7E2D"/>
    <w:rsid w:val="007D088B"/>
    <w:rsid w:val="007D11FD"/>
    <w:rsid w:val="007D1689"/>
    <w:rsid w:val="007D28EB"/>
    <w:rsid w:val="007D495A"/>
    <w:rsid w:val="007D4FB0"/>
    <w:rsid w:val="007E5558"/>
    <w:rsid w:val="007E5F7F"/>
    <w:rsid w:val="007E6CAE"/>
    <w:rsid w:val="007F301A"/>
    <w:rsid w:val="007F43C5"/>
    <w:rsid w:val="007F4950"/>
    <w:rsid w:val="007F4D01"/>
    <w:rsid w:val="008006A4"/>
    <w:rsid w:val="00801189"/>
    <w:rsid w:val="00801DE8"/>
    <w:rsid w:val="0080308E"/>
    <w:rsid w:val="0080617C"/>
    <w:rsid w:val="008147AE"/>
    <w:rsid w:val="00815F5E"/>
    <w:rsid w:val="00820393"/>
    <w:rsid w:val="008206E6"/>
    <w:rsid w:val="00821CD5"/>
    <w:rsid w:val="008232CA"/>
    <w:rsid w:val="0082369D"/>
    <w:rsid w:val="00823F58"/>
    <w:rsid w:val="0082594F"/>
    <w:rsid w:val="00831C45"/>
    <w:rsid w:val="008323AD"/>
    <w:rsid w:val="008342E1"/>
    <w:rsid w:val="00834440"/>
    <w:rsid w:val="00835C73"/>
    <w:rsid w:val="00842970"/>
    <w:rsid w:val="008444BF"/>
    <w:rsid w:val="00851261"/>
    <w:rsid w:val="008560B9"/>
    <w:rsid w:val="0085671F"/>
    <w:rsid w:val="0085740A"/>
    <w:rsid w:val="00857E0C"/>
    <w:rsid w:val="0086002F"/>
    <w:rsid w:val="00860432"/>
    <w:rsid w:val="00861552"/>
    <w:rsid w:val="00865ECE"/>
    <w:rsid w:val="00871920"/>
    <w:rsid w:val="00872576"/>
    <w:rsid w:val="00872773"/>
    <w:rsid w:val="00872F16"/>
    <w:rsid w:val="008730CA"/>
    <w:rsid w:val="0087368D"/>
    <w:rsid w:val="0087593F"/>
    <w:rsid w:val="00881635"/>
    <w:rsid w:val="00881E07"/>
    <w:rsid w:val="00882783"/>
    <w:rsid w:val="008839FC"/>
    <w:rsid w:val="00887901"/>
    <w:rsid w:val="00896CF6"/>
    <w:rsid w:val="008972DF"/>
    <w:rsid w:val="00897403"/>
    <w:rsid w:val="008A074C"/>
    <w:rsid w:val="008A1F1B"/>
    <w:rsid w:val="008A3B36"/>
    <w:rsid w:val="008A7A8E"/>
    <w:rsid w:val="008B12E9"/>
    <w:rsid w:val="008B212A"/>
    <w:rsid w:val="008B6874"/>
    <w:rsid w:val="008B716B"/>
    <w:rsid w:val="008B786A"/>
    <w:rsid w:val="008C1818"/>
    <w:rsid w:val="008C1E2A"/>
    <w:rsid w:val="008D0405"/>
    <w:rsid w:val="008D0BFA"/>
    <w:rsid w:val="008D2C44"/>
    <w:rsid w:val="008D3B95"/>
    <w:rsid w:val="008D4F23"/>
    <w:rsid w:val="008D4F45"/>
    <w:rsid w:val="008D5E13"/>
    <w:rsid w:val="008D6526"/>
    <w:rsid w:val="008D6ADF"/>
    <w:rsid w:val="008D70DD"/>
    <w:rsid w:val="008D76D9"/>
    <w:rsid w:val="008E191C"/>
    <w:rsid w:val="008E3248"/>
    <w:rsid w:val="008E654F"/>
    <w:rsid w:val="008E72A6"/>
    <w:rsid w:val="008F0601"/>
    <w:rsid w:val="008F2BCB"/>
    <w:rsid w:val="008F2DA3"/>
    <w:rsid w:val="008F418D"/>
    <w:rsid w:val="008F4C3F"/>
    <w:rsid w:val="008F7087"/>
    <w:rsid w:val="008F708F"/>
    <w:rsid w:val="009058B1"/>
    <w:rsid w:val="009101FD"/>
    <w:rsid w:val="00910638"/>
    <w:rsid w:val="00916721"/>
    <w:rsid w:val="00917760"/>
    <w:rsid w:val="009179A0"/>
    <w:rsid w:val="009207C4"/>
    <w:rsid w:val="00920EA0"/>
    <w:rsid w:val="009230CE"/>
    <w:rsid w:val="00931F6D"/>
    <w:rsid w:val="00935639"/>
    <w:rsid w:val="00935EDD"/>
    <w:rsid w:val="00936181"/>
    <w:rsid w:val="00937B44"/>
    <w:rsid w:val="009409F8"/>
    <w:rsid w:val="0094372D"/>
    <w:rsid w:val="00943BDE"/>
    <w:rsid w:val="00945817"/>
    <w:rsid w:val="00945CFC"/>
    <w:rsid w:val="0095182E"/>
    <w:rsid w:val="00951E31"/>
    <w:rsid w:val="009527B2"/>
    <w:rsid w:val="00952E22"/>
    <w:rsid w:val="009536B5"/>
    <w:rsid w:val="00957334"/>
    <w:rsid w:val="00957D28"/>
    <w:rsid w:val="00957D71"/>
    <w:rsid w:val="0096216D"/>
    <w:rsid w:val="00962866"/>
    <w:rsid w:val="0096294D"/>
    <w:rsid w:val="00966FA9"/>
    <w:rsid w:val="00967FEF"/>
    <w:rsid w:val="00973A0A"/>
    <w:rsid w:val="00973CBC"/>
    <w:rsid w:val="00980902"/>
    <w:rsid w:val="0098203F"/>
    <w:rsid w:val="00982F06"/>
    <w:rsid w:val="0098355A"/>
    <w:rsid w:val="00986CF3"/>
    <w:rsid w:val="00991ABA"/>
    <w:rsid w:val="0099418B"/>
    <w:rsid w:val="009961BF"/>
    <w:rsid w:val="009A0B59"/>
    <w:rsid w:val="009A1462"/>
    <w:rsid w:val="009A32C1"/>
    <w:rsid w:val="009A3C06"/>
    <w:rsid w:val="009A4DB9"/>
    <w:rsid w:val="009A6FA9"/>
    <w:rsid w:val="009B2474"/>
    <w:rsid w:val="009B28AC"/>
    <w:rsid w:val="009B3ECA"/>
    <w:rsid w:val="009B44BD"/>
    <w:rsid w:val="009B583F"/>
    <w:rsid w:val="009B6F67"/>
    <w:rsid w:val="009C025B"/>
    <w:rsid w:val="009C18E9"/>
    <w:rsid w:val="009C3565"/>
    <w:rsid w:val="009C3B17"/>
    <w:rsid w:val="009C52F4"/>
    <w:rsid w:val="009D3155"/>
    <w:rsid w:val="009D5BC6"/>
    <w:rsid w:val="009D6A63"/>
    <w:rsid w:val="009E15D6"/>
    <w:rsid w:val="009E18C9"/>
    <w:rsid w:val="009E2C7E"/>
    <w:rsid w:val="009E40E9"/>
    <w:rsid w:val="009E45BE"/>
    <w:rsid w:val="009E4CF3"/>
    <w:rsid w:val="009F0B21"/>
    <w:rsid w:val="009F30FC"/>
    <w:rsid w:val="009F3C0C"/>
    <w:rsid w:val="00A030DE"/>
    <w:rsid w:val="00A04230"/>
    <w:rsid w:val="00A05596"/>
    <w:rsid w:val="00A05E73"/>
    <w:rsid w:val="00A06E7B"/>
    <w:rsid w:val="00A07144"/>
    <w:rsid w:val="00A07422"/>
    <w:rsid w:val="00A102A9"/>
    <w:rsid w:val="00A104C9"/>
    <w:rsid w:val="00A10F91"/>
    <w:rsid w:val="00A1360B"/>
    <w:rsid w:val="00A16B62"/>
    <w:rsid w:val="00A20EB3"/>
    <w:rsid w:val="00A229FB"/>
    <w:rsid w:val="00A26730"/>
    <w:rsid w:val="00A270DB"/>
    <w:rsid w:val="00A27C06"/>
    <w:rsid w:val="00A27D94"/>
    <w:rsid w:val="00A27F8C"/>
    <w:rsid w:val="00A27F9D"/>
    <w:rsid w:val="00A3027C"/>
    <w:rsid w:val="00A32961"/>
    <w:rsid w:val="00A37408"/>
    <w:rsid w:val="00A411D2"/>
    <w:rsid w:val="00A41FC1"/>
    <w:rsid w:val="00A42416"/>
    <w:rsid w:val="00A44EEB"/>
    <w:rsid w:val="00A45A19"/>
    <w:rsid w:val="00A526EF"/>
    <w:rsid w:val="00A5317C"/>
    <w:rsid w:val="00A575C3"/>
    <w:rsid w:val="00A612A4"/>
    <w:rsid w:val="00A619E0"/>
    <w:rsid w:val="00A62B2C"/>
    <w:rsid w:val="00A62CA9"/>
    <w:rsid w:val="00A63AD7"/>
    <w:rsid w:val="00A64561"/>
    <w:rsid w:val="00A672AE"/>
    <w:rsid w:val="00A67A25"/>
    <w:rsid w:val="00A81333"/>
    <w:rsid w:val="00A84C30"/>
    <w:rsid w:val="00A90C3B"/>
    <w:rsid w:val="00A91CD6"/>
    <w:rsid w:val="00A93CAF"/>
    <w:rsid w:val="00A941AD"/>
    <w:rsid w:val="00A953AC"/>
    <w:rsid w:val="00A95C83"/>
    <w:rsid w:val="00A95F0C"/>
    <w:rsid w:val="00AA2E79"/>
    <w:rsid w:val="00AA2EAE"/>
    <w:rsid w:val="00AA5609"/>
    <w:rsid w:val="00AA6828"/>
    <w:rsid w:val="00AA782F"/>
    <w:rsid w:val="00AA79DA"/>
    <w:rsid w:val="00AB3224"/>
    <w:rsid w:val="00AB3770"/>
    <w:rsid w:val="00AB7A56"/>
    <w:rsid w:val="00AB7E53"/>
    <w:rsid w:val="00AC338F"/>
    <w:rsid w:val="00AC4B56"/>
    <w:rsid w:val="00AD1175"/>
    <w:rsid w:val="00AD29CB"/>
    <w:rsid w:val="00AD2E14"/>
    <w:rsid w:val="00AD3ACB"/>
    <w:rsid w:val="00AD6FBD"/>
    <w:rsid w:val="00AE03FA"/>
    <w:rsid w:val="00AE0C8F"/>
    <w:rsid w:val="00AE2C4D"/>
    <w:rsid w:val="00AE52F8"/>
    <w:rsid w:val="00AE6318"/>
    <w:rsid w:val="00AE6820"/>
    <w:rsid w:val="00AF055E"/>
    <w:rsid w:val="00AF44F4"/>
    <w:rsid w:val="00AF4E17"/>
    <w:rsid w:val="00AF5987"/>
    <w:rsid w:val="00AF63AC"/>
    <w:rsid w:val="00AF6554"/>
    <w:rsid w:val="00B0024F"/>
    <w:rsid w:val="00B009A4"/>
    <w:rsid w:val="00B011C2"/>
    <w:rsid w:val="00B0125F"/>
    <w:rsid w:val="00B027ED"/>
    <w:rsid w:val="00B037E7"/>
    <w:rsid w:val="00B03898"/>
    <w:rsid w:val="00B04857"/>
    <w:rsid w:val="00B051BF"/>
    <w:rsid w:val="00B13E43"/>
    <w:rsid w:val="00B15591"/>
    <w:rsid w:val="00B207EC"/>
    <w:rsid w:val="00B23E3E"/>
    <w:rsid w:val="00B24366"/>
    <w:rsid w:val="00B2710F"/>
    <w:rsid w:val="00B33897"/>
    <w:rsid w:val="00B34FFB"/>
    <w:rsid w:val="00B36142"/>
    <w:rsid w:val="00B37A15"/>
    <w:rsid w:val="00B40126"/>
    <w:rsid w:val="00B40A9B"/>
    <w:rsid w:val="00B41B90"/>
    <w:rsid w:val="00B43AAE"/>
    <w:rsid w:val="00B4412B"/>
    <w:rsid w:val="00B444E1"/>
    <w:rsid w:val="00B44A56"/>
    <w:rsid w:val="00B45F8F"/>
    <w:rsid w:val="00B503C2"/>
    <w:rsid w:val="00B51BE5"/>
    <w:rsid w:val="00B51E86"/>
    <w:rsid w:val="00B52E6C"/>
    <w:rsid w:val="00B53CF2"/>
    <w:rsid w:val="00B610FF"/>
    <w:rsid w:val="00B6173A"/>
    <w:rsid w:val="00B65107"/>
    <w:rsid w:val="00B655D9"/>
    <w:rsid w:val="00B6561C"/>
    <w:rsid w:val="00B66C3E"/>
    <w:rsid w:val="00B7090A"/>
    <w:rsid w:val="00B71E2F"/>
    <w:rsid w:val="00B721A1"/>
    <w:rsid w:val="00B72AB0"/>
    <w:rsid w:val="00B7397F"/>
    <w:rsid w:val="00B7488D"/>
    <w:rsid w:val="00B762CE"/>
    <w:rsid w:val="00B76D2C"/>
    <w:rsid w:val="00B85270"/>
    <w:rsid w:val="00B900D0"/>
    <w:rsid w:val="00B90C3E"/>
    <w:rsid w:val="00BA03E0"/>
    <w:rsid w:val="00BA11F0"/>
    <w:rsid w:val="00BA1AF6"/>
    <w:rsid w:val="00BA2327"/>
    <w:rsid w:val="00BA376D"/>
    <w:rsid w:val="00BA3A4E"/>
    <w:rsid w:val="00BA4C0D"/>
    <w:rsid w:val="00BA5996"/>
    <w:rsid w:val="00BB1079"/>
    <w:rsid w:val="00BB1673"/>
    <w:rsid w:val="00BB2E4B"/>
    <w:rsid w:val="00BB448B"/>
    <w:rsid w:val="00BB4B1A"/>
    <w:rsid w:val="00BB54E0"/>
    <w:rsid w:val="00BB7619"/>
    <w:rsid w:val="00BC0E1F"/>
    <w:rsid w:val="00BC29DB"/>
    <w:rsid w:val="00BC58BF"/>
    <w:rsid w:val="00BD0A8E"/>
    <w:rsid w:val="00BD1217"/>
    <w:rsid w:val="00BD166C"/>
    <w:rsid w:val="00BD19DB"/>
    <w:rsid w:val="00BD24AA"/>
    <w:rsid w:val="00BD6DDE"/>
    <w:rsid w:val="00BE102D"/>
    <w:rsid w:val="00BE2B8E"/>
    <w:rsid w:val="00BE397B"/>
    <w:rsid w:val="00BE5617"/>
    <w:rsid w:val="00BF0839"/>
    <w:rsid w:val="00BF095D"/>
    <w:rsid w:val="00BF306A"/>
    <w:rsid w:val="00BF4102"/>
    <w:rsid w:val="00BF5FB7"/>
    <w:rsid w:val="00C0070F"/>
    <w:rsid w:val="00C01841"/>
    <w:rsid w:val="00C03B3C"/>
    <w:rsid w:val="00C04F8F"/>
    <w:rsid w:val="00C06FFF"/>
    <w:rsid w:val="00C13BCF"/>
    <w:rsid w:val="00C14069"/>
    <w:rsid w:val="00C141FD"/>
    <w:rsid w:val="00C147AB"/>
    <w:rsid w:val="00C170CD"/>
    <w:rsid w:val="00C21C63"/>
    <w:rsid w:val="00C22B75"/>
    <w:rsid w:val="00C24BB4"/>
    <w:rsid w:val="00C2528B"/>
    <w:rsid w:val="00C30059"/>
    <w:rsid w:val="00C313B7"/>
    <w:rsid w:val="00C34CE2"/>
    <w:rsid w:val="00C34EF4"/>
    <w:rsid w:val="00C35CA1"/>
    <w:rsid w:val="00C36028"/>
    <w:rsid w:val="00C36E8A"/>
    <w:rsid w:val="00C40ED1"/>
    <w:rsid w:val="00C41F42"/>
    <w:rsid w:val="00C4256C"/>
    <w:rsid w:val="00C450C8"/>
    <w:rsid w:val="00C45BF3"/>
    <w:rsid w:val="00C46585"/>
    <w:rsid w:val="00C47364"/>
    <w:rsid w:val="00C5227D"/>
    <w:rsid w:val="00C53D59"/>
    <w:rsid w:val="00C53E1B"/>
    <w:rsid w:val="00C54440"/>
    <w:rsid w:val="00C5502D"/>
    <w:rsid w:val="00C557E5"/>
    <w:rsid w:val="00C558C5"/>
    <w:rsid w:val="00C55D34"/>
    <w:rsid w:val="00C5659B"/>
    <w:rsid w:val="00C62848"/>
    <w:rsid w:val="00C652C9"/>
    <w:rsid w:val="00C708E1"/>
    <w:rsid w:val="00C71CC4"/>
    <w:rsid w:val="00C72BAD"/>
    <w:rsid w:val="00C753B8"/>
    <w:rsid w:val="00C77A76"/>
    <w:rsid w:val="00C80814"/>
    <w:rsid w:val="00C80CDA"/>
    <w:rsid w:val="00C82A96"/>
    <w:rsid w:val="00C836DB"/>
    <w:rsid w:val="00C848F1"/>
    <w:rsid w:val="00C915F5"/>
    <w:rsid w:val="00C94417"/>
    <w:rsid w:val="00C95C60"/>
    <w:rsid w:val="00C962D4"/>
    <w:rsid w:val="00C96761"/>
    <w:rsid w:val="00C96A78"/>
    <w:rsid w:val="00C97E19"/>
    <w:rsid w:val="00CA4C74"/>
    <w:rsid w:val="00CA74CF"/>
    <w:rsid w:val="00CB00EB"/>
    <w:rsid w:val="00CB04D9"/>
    <w:rsid w:val="00CB4144"/>
    <w:rsid w:val="00CB5C1D"/>
    <w:rsid w:val="00CB5E98"/>
    <w:rsid w:val="00CB7FB8"/>
    <w:rsid w:val="00CC09D3"/>
    <w:rsid w:val="00CC13F7"/>
    <w:rsid w:val="00CC157D"/>
    <w:rsid w:val="00CC1766"/>
    <w:rsid w:val="00CC231B"/>
    <w:rsid w:val="00CC46A9"/>
    <w:rsid w:val="00CC7AAA"/>
    <w:rsid w:val="00CC7D17"/>
    <w:rsid w:val="00CD677D"/>
    <w:rsid w:val="00CE324D"/>
    <w:rsid w:val="00CE62FE"/>
    <w:rsid w:val="00CE67B4"/>
    <w:rsid w:val="00CF2073"/>
    <w:rsid w:val="00CF27F2"/>
    <w:rsid w:val="00CF2B15"/>
    <w:rsid w:val="00CF33F6"/>
    <w:rsid w:val="00CF34A7"/>
    <w:rsid w:val="00CF56DF"/>
    <w:rsid w:val="00CF75AD"/>
    <w:rsid w:val="00D0038F"/>
    <w:rsid w:val="00D02383"/>
    <w:rsid w:val="00D02676"/>
    <w:rsid w:val="00D0347F"/>
    <w:rsid w:val="00D05288"/>
    <w:rsid w:val="00D070E8"/>
    <w:rsid w:val="00D11B98"/>
    <w:rsid w:val="00D12CEF"/>
    <w:rsid w:val="00D13DA4"/>
    <w:rsid w:val="00D209FC"/>
    <w:rsid w:val="00D21AB4"/>
    <w:rsid w:val="00D23A3D"/>
    <w:rsid w:val="00D24E70"/>
    <w:rsid w:val="00D30FA8"/>
    <w:rsid w:val="00D33B2D"/>
    <w:rsid w:val="00D3420A"/>
    <w:rsid w:val="00D346E8"/>
    <w:rsid w:val="00D34AF2"/>
    <w:rsid w:val="00D35675"/>
    <w:rsid w:val="00D3670C"/>
    <w:rsid w:val="00D36C34"/>
    <w:rsid w:val="00D41D88"/>
    <w:rsid w:val="00D42489"/>
    <w:rsid w:val="00D43685"/>
    <w:rsid w:val="00D45773"/>
    <w:rsid w:val="00D5028D"/>
    <w:rsid w:val="00D57879"/>
    <w:rsid w:val="00D57F35"/>
    <w:rsid w:val="00D602D6"/>
    <w:rsid w:val="00D63B5C"/>
    <w:rsid w:val="00D64949"/>
    <w:rsid w:val="00D66EFC"/>
    <w:rsid w:val="00D72BFE"/>
    <w:rsid w:val="00D76731"/>
    <w:rsid w:val="00D80208"/>
    <w:rsid w:val="00D81088"/>
    <w:rsid w:val="00D81FBC"/>
    <w:rsid w:val="00D864C4"/>
    <w:rsid w:val="00D9286A"/>
    <w:rsid w:val="00D92972"/>
    <w:rsid w:val="00D953FB"/>
    <w:rsid w:val="00D97403"/>
    <w:rsid w:val="00DA005C"/>
    <w:rsid w:val="00DA3495"/>
    <w:rsid w:val="00DA5869"/>
    <w:rsid w:val="00DA62D7"/>
    <w:rsid w:val="00DA65A7"/>
    <w:rsid w:val="00DB1CE2"/>
    <w:rsid w:val="00DB26AE"/>
    <w:rsid w:val="00DB2875"/>
    <w:rsid w:val="00DB447F"/>
    <w:rsid w:val="00DB4926"/>
    <w:rsid w:val="00DB5165"/>
    <w:rsid w:val="00DB5648"/>
    <w:rsid w:val="00DB7661"/>
    <w:rsid w:val="00DB79C6"/>
    <w:rsid w:val="00DC2B59"/>
    <w:rsid w:val="00DC323A"/>
    <w:rsid w:val="00DC3BE7"/>
    <w:rsid w:val="00DC3E2E"/>
    <w:rsid w:val="00DC688A"/>
    <w:rsid w:val="00DD02D8"/>
    <w:rsid w:val="00DD138D"/>
    <w:rsid w:val="00DD13F0"/>
    <w:rsid w:val="00DD25EE"/>
    <w:rsid w:val="00DD52D5"/>
    <w:rsid w:val="00DD55A4"/>
    <w:rsid w:val="00DD5969"/>
    <w:rsid w:val="00DD78B6"/>
    <w:rsid w:val="00DE0B4F"/>
    <w:rsid w:val="00DE1CD1"/>
    <w:rsid w:val="00DE558F"/>
    <w:rsid w:val="00DF2EEC"/>
    <w:rsid w:val="00DF340B"/>
    <w:rsid w:val="00DF3A03"/>
    <w:rsid w:val="00DF6E62"/>
    <w:rsid w:val="00DF6EF4"/>
    <w:rsid w:val="00E00246"/>
    <w:rsid w:val="00E035E3"/>
    <w:rsid w:val="00E03B00"/>
    <w:rsid w:val="00E03B95"/>
    <w:rsid w:val="00E03E07"/>
    <w:rsid w:val="00E04415"/>
    <w:rsid w:val="00E05CC6"/>
    <w:rsid w:val="00E07409"/>
    <w:rsid w:val="00E0767D"/>
    <w:rsid w:val="00E120BB"/>
    <w:rsid w:val="00E12A8A"/>
    <w:rsid w:val="00E12FE4"/>
    <w:rsid w:val="00E133E6"/>
    <w:rsid w:val="00E155ED"/>
    <w:rsid w:val="00E15999"/>
    <w:rsid w:val="00E21A02"/>
    <w:rsid w:val="00E21EE0"/>
    <w:rsid w:val="00E23407"/>
    <w:rsid w:val="00E26912"/>
    <w:rsid w:val="00E27855"/>
    <w:rsid w:val="00E30ABB"/>
    <w:rsid w:val="00E353B4"/>
    <w:rsid w:val="00E3595F"/>
    <w:rsid w:val="00E37144"/>
    <w:rsid w:val="00E41D5A"/>
    <w:rsid w:val="00E41D79"/>
    <w:rsid w:val="00E42092"/>
    <w:rsid w:val="00E46026"/>
    <w:rsid w:val="00E47914"/>
    <w:rsid w:val="00E5390E"/>
    <w:rsid w:val="00E5519F"/>
    <w:rsid w:val="00E57DAC"/>
    <w:rsid w:val="00E640D1"/>
    <w:rsid w:val="00E672D2"/>
    <w:rsid w:val="00E736EA"/>
    <w:rsid w:val="00E7564B"/>
    <w:rsid w:val="00E7629D"/>
    <w:rsid w:val="00E81CF2"/>
    <w:rsid w:val="00E84E4D"/>
    <w:rsid w:val="00E87C9D"/>
    <w:rsid w:val="00E90FE6"/>
    <w:rsid w:val="00E91486"/>
    <w:rsid w:val="00E91FFF"/>
    <w:rsid w:val="00E93809"/>
    <w:rsid w:val="00E9393A"/>
    <w:rsid w:val="00E96A82"/>
    <w:rsid w:val="00EA23C9"/>
    <w:rsid w:val="00EA38E1"/>
    <w:rsid w:val="00EA3AF5"/>
    <w:rsid w:val="00EA47A3"/>
    <w:rsid w:val="00EA5F8F"/>
    <w:rsid w:val="00EA5FD4"/>
    <w:rsid w:val="00EA70B1"/>
    <w:rsid w:val="00EA7C0D"/>
    <w:rsid w:val="00EB052A"/>
    <w:rsid w:val="00EB2417"/>
    <w:rsid w:val="00EB2DB9"/>
    <w:rsid w:val="00EB3E8C"/>
    <w:rsid w:val="00EB4723"/>
    <w:rsid w:val="00EB570E"/>
    <w:rsid w:val="00EB6E73"/>
    <w:rsid w:val="00EC003E"/>
    <w:rsid w:val="00EC3841"/>
    <w:rsid w:val="00EC46F8"/>
    <w:rsid w:val="00ED0B46"/>
    <w:rsid w:val="00ED55AE"/>
    <w:rsid w:val="00EE0A53"/>
    <w:rsid w:val="00EE3779"/>
    <w:rsid w:val="00EE5935"/>
    <w:rsid w:val="00EE6EA2"/>
    <w:rsid w:val="00EE6EBB"/>
    <w:rsid w:val="00EF3152"/>
    <w:rsid w:val="00EF4B3E"/>
    <w:rsid w:val="00F01C36"/>
    <w:rsid w:val="00F043A2"/>
    <w:rsid w:val="00F074B1"/>
    <w:rsid w:val="00F1136A"/>
    <w:rsid w:val="00F12231"/>
    <w:rsid w:val="00F1559C"/>
    <w:rsid w:val="00F155B7"/>
    <w:rsid w:val="00F206D5"/>
    <w:rsid w:val="00F22ED3"/>
    <w:rsid w:val="00F255D8"/>
    <w:rsid w:val="00F25686"/>
    <w:rsid w:val="00F265CC"/>
    <w:rsid w:val="00F274F6"/>
    <w:rsid w:val="00F31CEE"/>
    <w:rsid w:val="00F3590D"/>
    <w:rsid w:val="00F35E1F"/>
    <w:rsid w:val="00F379AD"/>
    <w:rsid w:val="00F408DB"/>
    <w:rsid w:val="00F40BBA"/>
    <w:rsid w:val="00F41A31"/>
    <w:rsid w:val="00F47A25"/>
    <w:rsid w:val="00F50408"/>
    <w:rsid w:val="00F60999"/>
    <w:rsid w:val="00F62EF7"/>
    <w:rsid w:val="00F6301B"/>
    <w:rsid w:val="00F63DB6"/>
    <w:rsid w:val="00F65390"/>
    <w:rsid w:val="00F6656D"/>
    <w:rsid w:val="00F666F0"/>
    <w:rsid w:val="00F6797E"/>
    <w:rsid w:val="00F67AF6"/>
    <w:rsid w:val="00F77E02"/>
    <w:rsid w:val="00F81408"/>
    <w:rsid w:val="00F83935"/>
    <w:rsid w:val="00F84C28"/>
    <w:rsid w:val="00F90F21"/>
    <w:rsid w:val="00F94E53"/>
    <w:rsid w:val="00F95545"/>
    <w:rsid w:val="00F963FF"/>
    <w:rsid w:val="00F96662"/>
    <w:rsid w:val="00F9747B"/>
    <w:rsid w:val="00FA030A"/>
    <w:rsid w:val="00FA2F0C"/>
    <w:rsid w:val="00FA6984"/>
    <w:rsid w:val="00FA6C68"/>
    <w:rsid w:val="00FB2CF8"/>
    <w:rsid w:val="00FB7CCA"/>
    <w:rsid w:val="00FC2251"/>
    <w:rsid w:val="00FC3E18"/>
    <w:rsid w:val="00FC5279"/>
    <w:rsid w:val="00FC6E2C"/>
    <w:rsid w:val="00FD36A9"/>
    <w:rsid w:val="00FD3782"/>
    <w:rsid w:val="00FD50FB"/>
    <w:rsid w:val="00FD5925"/>
    <w:rsid w:val="00FD7F28"/>
    <w:rsid w:val="00FE077A"/>
    <w:rsid w:val="00FE07E8"/>
    <w:rsid w:val="00FE2CDF"/>
    <w:rsid w:val="00FE3EB5"/>
    <w:rsid w:val="00FE6034"/>
    <w:rsid w:val="00FE612E"/>
    <w:rsid w:val="00FF4363"/>
    <w:rsid w:val="00FF52AA"/>
    <w:rsid w:val="00FF6168"/>
    <w:rsid w:val="00FF6261"/>
    <w:rsid w:val="00FF72C0"/>
    <w:rsid w:val="05E2A53E"/>
    <w:rsid w:val="0D708708"/>
    <w:rsid w:val="1DE108A8"/>
    <w:rsid w:val="1F8C6F8E"/>
    <w:rsid w:val="2A6056D4"/>
    <w:rsid w:val="2EB18978"/>
    <w:rsid w:val="38C26A8A"/>
    <w:rsid w:val="42A36884"/>
    <w:rsid w:val="4BC23D7A"/>
    <w:rsid w:val="626864DA"/>
    <w:rsid w:val="655B09EF"/>
    <w:rsid w:val="6CE92D72"/>
    <w:rsid w:val="709549EB"/>
    <w:rsid w:val="7C856ECF"/>
    <w:rsid w:val="7F449A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9ABDB"/>
  <w15:docId w15:val="{E5A65704-AC3F-43CC-85AE-BD641B10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BC6"/>
    <w:pPr>
      <w:spacing w:before="120" w:after="0" w:line="336" w:lineRule="auto"/>
    </w:pPr>
    <w:rPr>
      <w:lang w:val="en-AU"/>
    </w:rPr>
  </w:style>
  <w:style w:type="paragraph" w:styleId="Heading1">
    <w:name w:val="heading 1"/>
    <w:basedOn w:val="Normal"/>
    <w:next w:val="Normal"/>
    <w:link w:val="Heading1Char"/>
    <w:uiPriority w:val="9"/>
    <w:qFormat/>
    <w:rsid w:val="0056203A"/>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iPriority w:val="9"/>
    <w:unhideWhenUsed/>
    <w:qFormat/>
    <w:rsid w:val="00D34AF2"/>
    <w:pPr>
      <w:keepNext/>
      <w:keepLines/>
      <w:spacing w:before="240"/>
      <w:outlineLvl w:val="1"/>
    </w:pPr>
    <w:rPr>
      <w:rFonts w:ascii="Tahoma" w:eastAsiaTheme="majorEastAsia" w:hAnsi="Tahoma" w:cstheme="majorBidi"/>
      <w:b/>
      <w:color w:val="4986A0"/>
      <w:sz w:val="26"/>
      <w:szCs w:val="26"/>
    </w:rPr>
  </w:style>
  <w:style w:type="paragraph" w:styleId="Heading3">
    <w:name w:val="heading 3"/>
    <w:basedOn w:val="Normal"/>
    <w:next w:val="Normal"/>
    <w:link w:val="Heading3Char"/>
    <w:uiPriority w:val="9"/>
    <w:unhideWhenUsed/>
    <w:qFormat/>
    <w:rsid w:val="0056203A"/>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56203A"/>
    <w:pPr>
      <w:keepNext/>
      <w:keepLines/>
      <w:outlineLvl w:val="3"/>
    </w:pPr>
    <w:rPr>
      <w:rFonts w:ascii="Tahoma" w:eastAsiaTheme="majorEastAsia" w:hAnsi="Tahoma"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3FA"/>
    <w:pPr>
      <w:tabs>
        <w:tab w:val="center" w:pos="4680"/>
        <w:tab w:val="right" w:pos="9360"/>
      </w:tabs>
    </w:pPr>
  </w:style>
  <w:style w:type="character" w:customStyle="1" w:styleId="HeaderChar">
    <w:name w:val="Header Char"/>
    <w:basedOn w:val="DefaultParagraphFont"/>
    <w:link w:val="Header"/>
    <w:uiPriority w:val="99"/>
    <w:rsid w:val="00AE03FA"/>
  </w:style>
  <w:style w:type="paragraph" w:styleId="Footer">
    <w:name w:val="footer"/>
    <w:basedOn w:val="Normal"/>
    <w:link w:val="FooterChar"/>
    <w:uiPriority w:val="99"/>
    <w:unhideWhenUsed/>
    <w:rsid w:val="00A90C3B"/>
    <w:pPr>
      <w:tabs>
        <w:tab w:val="center" w:pos="4680"/>
        <w:tab w:val="right" w:pos="9360"/>
      </w:tabs>
      <w:spacing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qFormat/>
    <w:rsid w:val="0056203A"/>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6203A"/>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basedOn w:val="DefaultParagraphFont"/>
    <w:link w:val="Heading1"/>
    <w:uiPriority w:val="9"/>
    <w:rsid w:val="0056203A"/>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D34AF2"/>
    <w:rPr>
      <w:rFonts w:ascii="Tahoma" w:eastAsiaTheme="majorEastAsia" w:hAnsi="Tahoma" w:cstheme="majorBidi"/>
      <w:b/>
      <w:color w:val="4986A0"/>
      <w:sz w:val="26"/>
      <w:szCs w:val="26"/>
      <w:lang w:val="en-AU"/>
    </w:rPr>
  </w:style>
  <w:style w:type="paragraph" w:styleId="ListBullet">
    <w:name w:val="List Bullet"/>
    <w:basedOn w:val="Normal"/>
    <w:link w:val="ListBulletChar"/>
    <w:uiPriority w:val="99"/>
    <w:unhideWhenUsed/>
    <w:qFormat/>
    <w:rsid w:val="004E16FC"/>
    <w:pPr>
      <w:numPr>
        <w:numId w:val="1"/>
      </w:numPr>
      <w:ind w:left="1004"/>
      <w:contextualSpacing/>
    </w:pPr>
  </w:style>
  <w:style w:type="paragraph" w:styleId="BalloonText">
    <w:name w:val="Balloon Text"/>
    <w:basedOn w:val="Normal"/>
    <w:link w:val="BalloonTextChar"/>
    <w:uiPriority w:val="99"/>
    <w:semiHidden/>
    <w:unhideWhenUsed/>
    <w:rsid w:val="00865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5"/>
      </w:numPr>
    </w:pPr>
  </w:style>
  <w:style w:type="paragraph" w:customStyle="1" w:styleId="Heading2numbered">
    <w:name w:val="Heading 2 numbered"/>
    <w:basedOn w:val="Heading2"/>
    <w:next w:val="Normal"/>
    <w:qFormat/>
    <w:rsid w:val="005F5578"/>
    <w:pPr>
      <w:numPr>
        <w:ilvl w:val="1"/>
        <w:numId w:val="5"/>
      </w:numPr>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rsid w:val="00062AE4"/>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56203A"/>
    <w:rPr>
      <w:rFonts w:ascii="Tahoma" w:eastAsiaTheme="majorEastAsia" w:hAnsi="Tahoma" w:cstheme="majorBidi"/>
      <w:b/>
      <w:color w:val="4986A0" w:themeColor="text2"/>
      <w:szCs w:val="24"/>
    </w:rPr>
  </w:style>
  <w:style w:type="paragraph" w:styleId="TOC2">
    <w:name w:val="toc 2"/>
    <w:basedOn w:val="TOC1"/>
    <w:next w:val="Normal"/>
    <w:autoRedefine/>
    <w:uiPriority w:val="39"/>
    <w:unhideWhenUsed/>
    <w:rsid w:val="00782E55"/>
    <w:pPr>
      <w:ind w:left="284" w:hanging="284"/>
    </w:pPr>
    <w:rPr>
      <w:noProof/>
    </w:rPr>
  </w:style>
  <w:style w:type="paragraph" w:styleId="TOC1">
    <w:name w:val="toc 1"/>
    <w:basedOn w:val="Normal"/>
    <w:next w:val="Normal"/>
    <w:autoRedefine/>
    <w:uiPriority w:val="39"/>
    <w:unhideWhenUsed/>
    <w:rsid w:val="00B6173A"/>
    <w:pPr>
      <w:tabs>
        <w:tab w:val="right" w:pos="9582"/>
      </w:tabs>
      <w:spacing w:after="40" w:line="288" w:lineRule="auto"/>
      <w:ind w:right="567"/>
      <w:contextualSpacing/>
    </w:pPr>
    <w:rPr>
      <w:b/>
    </w:rPr>
  </w:style>
  <w:style w:type="character" w:styleId="Hyperlink">
    <w:name w:val="Hyperlink"/>
    <w:basedOn w:val="DefaultParagraphFont"/>
    <w:uiPriority w:val="99"/>
    <w:unhideWhenUsed/>
    <w:rsid w:val="005F4E54"/>
    <w:rPr>
      <w:color w:val="0000FF"/>
      <w:u w:val="single"/>
    </w:rPr>
  </w:style>
  <w:style w:type="paragraph" w:styleId="TOCHeading">
    <w:name w:val="TOC Heading"/>
    <w:next w:val="Normal"/>
    <w:uiPriority w:val="39"/>
    <w:unhideWhenUsed/>
    <w:qFormat/>
    <w:rsid w:val="0056203A"/>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link w:val="ListParagraphChar"/>
    <w:uiPriority w:val="34"/>
    <w:qFormat/>
    <w:rsid w:val="004F6F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numPr>
        <w:numId w:val="6"/>
      </w:numPr>
      <w:contextualSpacing/>
    </w:pPr>
  </w:style>
  <w:style w:type="paragraph" w:styleId="ListNumber2">
    <w:name w:val="List Number 2"/>
    <w:basedOn w:val="Normal"/>
    <w:uiPriority w:val="99"/>
    <w:unhideWhenUsed/>
    <w:qFormat/>
    <w:rsid w:val="006F29EA"/>
    <w:pPr>
      <w:numPr>
        <w:ilvl w:val="1"/>
        <w:numId w:val="6"/>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A90C3B"/>
    <w:pPr>
      <w:numPr>
        <w:numId w:val="7"/>
      </w:numPr>
      <w:spacing w:before="160" w:line="336" w:lineRule="auto"/>
      <w:contextualSpacing/>
    </w:pPr>
  </w:style>
  <w:style w:type="paragraph" w:styleId="ListNumber3">
    <w:name w:val="List Number 3"/>
    <w:basedOn w:val="Normal"/>
    <w:link w:val="ListNumber3Char"/>
    <w:uiPriority w:val="99"/>
    <w:unhideWhenUsed/>
    <w:qFormat/>
    <w:rsid w:val="006F29EA"/>
    <w:pPr>
      <w:numPr>
        <w:ilvl w:val="2"/>
        <w:numId w:val="6"/>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A90C3B"/>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unhideWhenUsed/>
    <w:rsid w:val="00B6173A"/>
    <w:pPr>
      <w:spacing w:before="0" w:after="120"/>
      <w:ind w:firstLine="0"/>
    </w:pPr>
    <w:rPr>
      <w:b w:val="0"/>
    </w:r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4"/>
      </w:numPr>
    </w:pPr>
  </w:style>
  <w:style w:type="paragraph" w:customStyle="1" w:styleId="TableBullet2">
    <w:name w:val="Table Bullet 2"/>
    <w:basedOn w:val="ListBullet2"/>
    <w:link w:val="TableBullet2Char"/>
    <w:qFormat/>
    <w:rsid w:val="00E03B00"/>
    <w:pPr>
      <w:numPr>
        <w:numId w:val="4"/>
      </w:numPr>
    </w:pPr>
  </w:style>
  <w:style w:type="character" w:customStyle="1" w:styleId="ListBulletChar">
    <w:name w:val="List Bullet Char"/>
    <w:basedOn w:val="DefaultParagraphFont"/>
    <w:link w:val="ListBullet"/>
    <w:uiPriority w:val="99"/>
    <w:rsid w:val="004E16FC"/>
  </w:style>
  <w:style w:type="character" w:customStyle="1" w:styleId="TableBulletChar">
    <w:name w:val="Table Bullet Char"/>
    <w:basedOn w:val="ListBulletChar"/>
    <w:link w:val="TableBullet"/>
    <w:rsid w:val="00E03B00"/>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style>
  <w:style w:type="character" w:customStyle="1" w:styleId="TableListNumber2Char">
    <w:name w:val="Table List Number 2 Char"/>
    <w:basedOn w:val="TableListNumberChar"/>
    <w:link w:val="TableListNumber2"/>
    <w:rsid w:val="00E03B00"/>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A90C3B"/>
    <w:pPr>
      <w:numPr>
        <w:ilvl w:val="3"/>
        <w:numId w:val="5"/>
      </w:numPr>
      <w:spacing w:before="120" w:after="120" w:line="336"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5"/>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56203A"/>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rPr>
  </w:style>
  <w:style w:type="numbering" w:customStyle="1" w:styleId="ListLetters">
    <w:name w:val="ListLetters"/>
    <w:uiPriority w:val="99"/>
    <w:rsid w:val="009B583F"/>
    <w:pPr>
      <w:numPr>
        <w:numId w:val="7"/>
      </w:numPr>
    </w:pPr>
  </w:style>
  <w:style w:type="paragraph" w:styleId="Caption">
    <w:name w:val="caption"/>
    <w:basedOn w:val="Normal"/>
    <w:next w:val="Normal"/>
    <w:uiPriority w:val="35"/>
    <w:unhideWhenUsed/>
    <w:qFormat/>
    <w:rsid w:val="00232581"/>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8"/>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8"/>
      </w:numPr>
    </w:pPr>
  </w:style>
  <w:style w:type="paragraph" w:styleId="TOC4">
    <w:name w:val="toc 4"/>
    <w:basedOn w:val="Normal"/>
    <w:next w:val="Normal"/>
    <w:autoRedefine/>
    <w:uiPriority w:val="39"/>
    <w:unhideWhenUsed/>
    <w:rsid w:val="00564BE8"/>
    <w:pPr>
      <w:tabs>
        <w:tab w:val="left" w:pos="851"/>
        <w:tab w:val="right" w:pos="9582"/>
      </w:tabs>
      <w:adjustRightInd w:val="0"/>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unhideWhenUsed/>
    <w:rsid w:val="00DA65A7"/>
    <w:pPr>
      <w:tabs>
        <w:tab w:val="right" w:pos="9582"/>
      </w:tabs>
      <w:ind w:left="851" w:right="567"/>
      <w:contextualSpacing/>
    </w:pPr>
  </w:style>
  <w:style w:type="paragraph" w:styleId="TOC6">
    <w:name w:val="toc 6"/>
    <w:basedOn w:val="Normal"/>
    <w:next w:val="Normal"/>
    <w:autoRedefine/>
    <w:uiPriority w:val="39"/>
    <w:unhideWhenUsed/>
    <w:rsid w:val="00DA65A7"/>
    <w:pPr>
      <w:tabs>
        <w:tab w:val="right" w:pos="9582"/>
      </w:tabs>
      <w:ind w:left="1702" w:right="567" w:hanging="851"/>
    </w:pPr>
  </w:style>
  <w:style w:type="paragraph" w:customStyle="1" w:styleId="Pull-outheading0">
    <w:name w:val="Pull-out heading"/>
    <w:basedOn w:val="Pull-out"/>
    <w:qFormat/>
    <w:rsid w:val="00CF34A7"/>
    <w:rPr>
      <w:rFonts w:ascii="Tahoma" w:hAnsi="Tahoma"/>
      <w:b/>
    </w:rPr>
  </w:style>
  <w:style w:type="paragraph" w:customStyle="1" w:styleId="DefnBullet">
    <w:name w:val="Defn_Bullet"/>
    <w:basedOn w:val="Normal"/>
    <w:rsid w:val="00E353B4"/>
    <w:pPr>
      <w:numPr>
        <w:numId w:val="9"/>
      </w:numPr>
      <w:tabs>
        <w:tab w:val="clear" w:pos="648"/>
        <w:tab w:val="num" w:pos="1080"/>
      </w:tabs>
      <w:spacing w:line="240" w:lineRule="auto"/>
      <w:ind w:left="1080" w:hanging="360"/>
    </w:pPr>
    <w:rPr>
      <w:rFonts w:ascii="Arial" w:eastAsia="Times New Roman" w:hAnsi="Arial" w:cs="Times New Roman"/>
      <w:sz w:val="18"/>
      <w:szCs w:val="18"/>
    </w:rPr>
  </w:style>
  <w:style w:type="paragraph" w:customStyle="1" w:styleId="Listnumber1">
    <w:name w:val="List number 1"/>
    <w:basedOn w:val="ListParagraph"/>
    <w:link w:val="Listnumber1Char"/>
    <w:qFormat/>
    <w:rsid w:val="00EA70B1"/>
    <w:pPr>
      <w:numPr>
        <w:ilvl w:val="0"/>
        <w:numId w:val="13"/>
      </w:numPr>
    </w:pPr>
  </w:style>
  <w:style w:type="character" w:customStyle="1" w:styleId="ListParagraphChar">
    <w:name w:val="List Paragraph Char"/>
    <w:basedOn w:val="DefaultParagraphFont"/>
    <w:link w:val="ListParagraph"/>
    <w:uiPriority w:val="34"/>
    <w:rsid w:val="004F6F59"/>
    <w:rPr>
      <w:lang w:val="en-AU"/>
    </w:rPr>
  </w:style>
  <w:style w:type="character" w:customStyle="1" w:styleId="Listnumber1Char">
    <w:name w:val="List number 1 Char"/>
    <w:basedOn w:val="ListParagraphChar"/>
    <w:link w:val="Listnumber1"/>
    <w:rsid w:val="00EA70B1"/>
    <w:rPr>
      <w:lang w:val="en-AU"/>
    </w:rPr>
  </w:style>
  <w:style w:type="character" w:styleId="UnresolvedMention">
    <w:name w:val="Unresolved Mention"/>
    <w:basedOn w:val="DefaultParagraphFont"/>
    <w:uiPriority w:val="99"/>
    <w:semiHidden/>
    <w:unhideWhenUsed/>
    <w:rsid w:val="00C915F5"/>
    <w:rPr>
      <w:color w:val="605E5C"/>
      <w:shd w:val="clear" w:color="auto" w:fill="E1DFDD"/>
    </w:rPr>
  </w:style>
  <w:style w:type="character" w:styleId="CommentReference">
    <w:name w:val="annotation reference"/>
    <w:basedOn w:val="DefaultParagraphFont"/>
    <w:uiPriority w:val="99"/>
    <w:semiHidden/>
    <w:unhideWhenUsed/>
    <w:rsid w:val="008D76D9"/>
    <w:rPr>
      <w:sz w:val="16"/>
      <w:szCs w:val="16"/>
    </w:rPr>
  </w:style>
  <w:style w:type="paragraph" w:styleId="CommentText">
    <w:name w:val="annotation text"/>
    <w:basedOn w:val="Normal"/>
    <w:link w:val="CommentTextChar"/>
    <w:uiPriority w:val="99"/>
    <w:unhideWhenUsed/>
    <w:rsid w:val="008D76D9"/>
    <w:pPr>
      <w:spacing w:line="240" w:lineRule="auto"/>
    </w:pPr>
    <w:rPr>
      <w:sz w:val="20"/>
      <w:szCs w:val="20"/>
    </w:rPr>
  </w:style>
  <w:style w:type="character" w:customStyle="1" w:styleId="CommentTextChar">
    <w:name w:val="Comment Text Char"/>
    <w:basedOn w:val="DefaultParagraphFont"/>
    <w:link w:val="CommentText"/>
    <w:uiPriority w:val="99"/>
    <w:rsid w:val="008D76D9"/>
    <w:rPr>
      <w:sz w:val="20"/>
      <w:szCs w:val="20"/>
      <w:lang w:val="en-AU"/>
    </w:rPr>
  </w:style>
  <w:style w:type="paragraph" w:styleId="CommentSubject">
    <w:name w:val="annotation subject"/>
    <w:basedOn w:val="CommentText"/>
    <w:next w:val="CommentText"/>
    <w:link w:val="CommentSubjectChar"/>
    <w:uiPriority w:val="99"/>
    <w:semiHidden/>
    <w:unhideWhenUsed/>
    <w:rsid w:val="008D76D9"/>
    <w:rPr>
      <w:b/>
      <w:bCs/>
    </w:rPr>
  </w:style>
  <w:style w:type="character" w:customStyle="1" w:styleId="CommentSubjectChar">
    <w:name w:val="Comment Subject Char"/>
    <w:basedOn w:val="CommentTextChar"/>
    <w:link w:val="CommentSubject"/>
    <w:uiPriority w:val="99"/>
    <w:semiHidden/>
    <w:rsid w:val="008D76D9"/>
    <w:rPr>
      <w:b/>
      <w:bCs/>
      <w:sz w:val="20"/>
      <w:szCs w:val="20"/>
      <w:lang w:val="en-AU"/>
    </w:rPr>
  </w:style>
  <w:style w:type="paragraph" w:styleId="Revision">
    <w:name w:val="Revision"/>
    <w:hidden/>
    <w:uiPriority w:val="99"/>
    <w:semiHidden/>
    <w:rsid w:val="001D3A87"/>
    <w:pPr>
      <w:spacing w:after="0" w:line="240" w:lineRule="auto"/>
    </w:pPr>
    <w:rPr>
      <w:lang w:val="en-AU"/>
    </w:rPr>
  </w:style>
  <w:style w:type="character" w:styleId="FollowedHyperlink">
    <w:name w:val="FollowedHyperlink"/>
    <w:basedOn w:val="DefaultParagraphFont"/>
    <w:uiPriority w:val="99"/>
    <w:semiHidden/>
    <w:unhideWhenUsed/>
    <w:rsid w:val="00C13BCF"/>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8793">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33792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sc.vic.gov.au/ethics-behaviours-culture/codes-of-conduct/code-of-conduct-for-directors-of-victorian-public-entitie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sc.vic.gov.au/ethics-behaviours-culture/gifts-benefits-hospitality/minimum-accountabilit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sc.vic.gov.au/ethics-behaviours-culture/gifts-benefits-hospitality/minimum-accountabil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quirke\AppData\Roaming\Microsoft\Templates\Policy%20template.dotx" TargetMode="External"/></Relationships>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2ABB97531C6844AAA7F1F091DC8262" ma:contentTypeVersion="28" ma:contentTypeDescription="Create a new document." ma:contentTypeScope="" ma:versionID="b915e3dcabdc4e6375b69ae4f57d3aa9">
  <xsd:schema xmlns:xsd="http://www.w3.org/2001/XMLSchema" xmlns:xs="http://www.w3.org/2001/XMLSchema" xmlns:p="http://schemas.microsoft.com/office/2006/metadata/properties" xmlns:ns2="0955af48-a4b7-4838-8125-98a7240f8394" xmlns:ns3="444b49ec-68f6-41ad-8b79-be11b49f5d30" targetNamespace="http://schemas.microsoft.com/office/2006/metadata/properties" ma:root="true" ma:fieldsID="03eccd9dbed70b60ef7e033ec4bd6b0e" ns2:_="" ns3:_="">
    <xsd:import namespace="0955af48-a4b7-4838-8125-98a7240f8394"/>
    <xsd:import namespace="444b49ec-68f6-41ad-8b79-be11b49f5d30"/>
    <xsd:element name="properties">
      <xsd:complexType>
        <xsd:sequence>
          <xsd:element name="documentManagement">
            <xsd:complexType>
              <xsd:all>
                <xsd:element ref="ns2:Type_x0020_of_x0020_Document" minOccurs="0"/>
                <xsd:element ref="ns2:Review_x0020_Date" minOccurs="0"/>
                <xsd:element ref="ns2:Approval_x0020_Stage"/>
                <xsd:element ref="ns2:Division"/>
                <xsd:element ref="ns2:Team" minOccurs="0"/>
                <xsd:element ref="ns2:Lead_x0020_Author"/>
                <xsd:element ref="ns2:Owner"/>
                <xsd:element ref="ns2:Approver"/>
                <xsd:element ref="ns2:Review_x0020_Period"/>
                <xsd:element ref="ns2:Notes1" minOccurs="0"/>
                <xsd:element ref="ns3:MediaServiceMetadata" minOccurs="0"/>
                <xsd:element ref="ns3:MediaServiceFastMetadata" minOccurs="0"/>
                <xsd:element ref="ns2:SharedWithUsers" minOccurs="0"/>
                <xsd:element ref="ns2:SharedWithDetails" minOccurs="0"/>
                <xsd:element ref="ns2:Strat_x0020_Comm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5af48-a4b7-4838-8125-98a7240f8394" elementFormDefault="qualified">
    <xsd:import namespace="http://schemas.microsoft.com/office/2006/documentManagement/types"/>
    <xsd:import namespace="http://schemas.microsoft.com/office/infopath/2007/PartnerControls"/>
    <xsd:element name="Type_x0020_of_x0020_Document" ma:index="1" nillable="true" ma:displayName="Type of Document" ma:format="Dropdown" ma:internalName="Type_x0020_of_x0020_Document">
      <xsd:simpleType>
        <xsd:restriction base="dms:Choice">
          <xsd:enumeration value="Policy"/>
          <xsd:enumeration value="Procedure"/>
          <xsd:enumeration value="Form"/>
          <xsd:enumeration value="Charter"/>
        </xsd:restriction>
      </xsd:simpleType>
    </xsd:element>
    <xsd:element name="Review_x0020_Date" ma:index="2" nillable="true" ma:displayName="Review Date" ma:format="DateOnly" ma:internalName="Review_x0020_Date">
      <xsd:simpleType>
        <xsd:restriction base="dms:DateTime"/>
      </xsd:simpleType>
    </xsd:element>
    <xsd:element name="Approval_x0020_Stage" ma:index="3" ma:displayName="Approval Stage" ma:default="Draft" ma:format="Dropdown" ma:internalName="Approval_x0020_Stage">
      <xsd:simpleType>
        <xsd:restriction base="dms:Choice">
          <xsd:enumeration value="Draft"/>
          <xsd:enumeration value="Approved"/>
          <xsd:enumeration value="Rejected"/>
          <xsd:enumeration value="Submit for Approval"/>
          <xsd:enumeration value="Pending Owner Approval"/>
          <xsd:enumeration value="Pending Strat Comms Approval"/>
          <xsd:enumeration value="Pending Final Approval"/>
          <xsd:enumeration value="Superseded"/>
        </xsd:restriction>
      </xsd:simpleType>
    </xsd:element>
    <xsd:element name="Division" ma:index="4" ma:displayName="Division" ma:format="Dropdown" ma:internalName="Division">
      <xsd:simpleType>
        <xsd:restriction base="dms:Choice">
          <xsd:enumeration value="Governance, Legal, Operations &amp; Engagement"/>
          <xsd:enumeration value="Office of the CEO"/>
          <xsd:enumeration value="VEU"/>
          <xsd:enumeration value="Energy"/>
          <xsd:enumeration value="PMAR"/>
        </xsd:restriction>
      </xsd:simpleType>
    </xsd:element>
    <xsd:element name="Team" ma:index="5" nillable="true" ma:displayName="Area" ma:internalName="Team">
      <xsd:simpleType>
        <xsd:restriction base="dms:Text">
          <xsd:maxLength value="255"/>
        </xsd:restriction>
      </xsd:simpleType>
    </xsd:element>
    <xsd:element name="Lead_x0020_Author" ma:index="6" ma:displayName="Lead Author" ma:list="UserInfo" ma:SharePointGroup="0" ma:internalName="Lead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 ma:index="7"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8" ma:displayName="Approver"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9" ma:displayName="Review Period" ma:default="2 years" ma:format="Dropdown" ma:internalName="Review_x0020_Period">
      <xsd:simpleType>
        <xsd:restriction base="dms:Choice">
          <xsd:enumeration value="6 months"/>
          <xsd:enumeration value="1 year"/>
          <xsd:enumeration value="2 years"/>
          <xsd:enumeration value="3 years"/>
        </xsd:restriction>
      </xsd:simpleType>
    </xsd:element>
    <xsd:element name="Notes1" ma:index="10" nillable="true" ma:displayName="Notes" ma:internalName="Notes1" ma:readOnly="fals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trat_x0020_Comms" ma:index="23" nillable="true" ma:displayName="Strat Comms" ma:list="UserInfo" ma:SharePointGroup="0" ma:internalName="Strat_x0020_Comm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b49ec-68f6-41ad-8b79-be11b49f5d30"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pprover xmlns="0955af48-a4b7-4838-8125-98a7240f8394">
      <UserInfo>
        <DisplayName>David Schrueder (ESC)</DisplayName>
        <AccountId>421</AccountId>
        <AccountType/>
      </UserInfo>
    </Approver>
    <Approval_x0020_Stage xmlns="0955af48-a4b7-4838-8125-98a7240f8394">Approved</Approval_x0020_Stage>
    <Lead_x0020_Author xmlns="0955af48-a4b7-4838-8125-98a7240f8394">
      <UserInfo>
        <DisplayName>Joe Wheeler (ESC)</DisplayName>
        <AccountId>453</AccountId>
        <AccountType/>
      </UserInfo>
    </Lead_x0020_Author>
    <Review_x0020_Date xmlns="0955af48-a4b7-4838-8125-98a7240f8394">2026-06-14T14:00:00+00:00</Review_x0020_Date>
    <Division xmlns="0955af48-a4b7-4838-8125-98a7240f8394">Governance, Legal, Operations &amp; Engagement</Division>
    <Owner xmlns="0955af48-a4b7-4838-8125-98a7240f8394">
      <UserInfo>
        <DisplayName>Joe Wheeler (ESC)</DisplayName>
        <AccountId>453</AccountId>
        <AccountType/>
      </UserInfo>
    </Owner>
    <Notes1 xmlns="0955af48-a4b7-4838-8125-98a7240f8394" xsi:nil="true"/>
    <SharedWithUsers xmlns="0955af48-a4b7-4838-8125-98a7240f8394">
      <UserInfo>
        <DisplayName>John Hamill (ESC)</DisplayName>
        <AccountId>21</AccountId>
        <AccountType/>
      </UserInfo>
      <UserInfo>
        <DisplayName>Claire Lane (ESC)</DisplayName>
        <AccountId>12</AccountId>
        <AccountType/>
      </UserInfo>
    </SharedWithUsers>
    <Strat_x0020_Comms xmlns="0955af48-a4b7-4838-8125-98a7240f8394">
      <UserInfo>
        <DisplayName/>
        <AccountId xsi:nil="true"/>
        <AccountType/>
      </UserInfo>
    </Strat_x0020_Comms>
    <Team xmlns="0955af48-a4b7-4838-8125-98a7240f8394">Governance</Team>
    <Type_x0020_of_x0020_Document xmlns="0955af48-a4b7-4838-8125-98a7240f8394">Policy</Type_x0020_of_x0020_Document>
    <Review_x0020_Period xmlns="0955af48-a4b7-4838-8125-98a7240f8394">2 years</Review_x0020_Period>
  </documentManagement>
</p:properties>
</file>

<file path=customXml/itemProps1.xml><?xml version="1.0" encoding="utf-8"?>
<ds:datastoreItem xmlns:ds="http://schemas.openxmlformats.org/officeDocument/2006/customXml" ds:itemID="{E7522E05-4372-466C-ACC7-3935DB3449C0}">
  <ds:schemaRefs>
    <ds:schemaRef ds:uri="http://schemas.microsoft.com/sharepoint/v3/contenttype/forms"/>
  </ds:schemaRefs>
</ds:datastoreItem>
</file>

<file path=customXml/itemProps2.xml><?xml version="1.0" encoding="utf-8"?>
<ds:datastoreItem xmlns:ds="http://schemas.openxmlformats.org/officeDocument/2006/customXml" ds:itemID="{F108CD79-1AEB-4411-A4FC-3997949C5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5af48-a4b7-4838-8125-98a7240f8394"/>
    <ds:schemaRef ds:uri="444b49ec-68f6-41ad-8b79-be11b49f5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88920-DB04-4405-A172-779E95D75870}">
  <ds:schemaRefs>
    <ds:schemaRef ds:uri="http://schemas.openxmlformats.org/officeDocument/2006/bibliography"/>
  </ds:schemaRefs>
</ds:datastoreItem>
</file>

<file path=customXml/itemProps4.xml><?xml version="1.0" encoding="utf-8"?>
<ds:datastoreItem xmlns:ds="http://schemas.openxmlformats.org/officeDocument/2006/customXml" ds:itemID="{B9188692-5C8D-4B23-99BE-76EDACAA2A57}">
  <ds:schemaRefs>
    <ds:schemaRef ds:uri="http://schemas.microsoft.com/office/2006/metadata/properties"/>
    <ds:schemaRef ds:uri="http://schemas.microsoft.com/office/infopath/2007/PartnerControls"/>
    <ds:schemaRef ds:uri="0955af48-a4b7-4838-8125-98a7240f8394"/>
  </ds:schemaRefs>
</ds:datastoreItem>
</file>

<file path=docProps/app.xml><?xml version="1.0" encoding="utf-8"?>
<Properties xmlns="http://schemas.openxmlformats.org/officeDocument/2006/extended-properties" xmlns:vt="http://schemas.openxmlformats.org/officeDocument/2006/docPropsVTypes">
  <Template>Policy template.dotx</Template>
  <TotalTime>4</TotalTime>
  <Pages>12</Pages>
  <Words>3815</Words>
  <Characters>21752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Gifts Benefits and Hospitality Policy</vt:lpstr>
    </vt:vector>
  </TitlesOfParts>
  <Company>Essential Services Commission</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Benefits and Hospitality Policy</dc:title>
  <dc:subject/>
  <dc:creator/>
  <cp:keywords>[SEC=OFFICIAL]</cp:keywords>
  <cp:lastModifiedBy>Pete O'Brien (ESC)</cp:lastModifiedBy>
  <cp:revision>3</cp:revision>
  <cp:lastPrinted>2023-02-15T19:00:00Z</cp:lastPrinted>
  <dcterms:created xsi:type="dcterms:W3CDTF">2026-02-26T01:53:00Z</dcterms:created>
  <dcterms:modified xsi:type="dcterms:W3CDTF">2026-02-26T01:55:00Z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60006F30DD574FC6BF051BF51EC87537</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2019.2.1.vic.gov.au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_OriginatorDomainName_SHA256">
    <vt:lpwstr>9E5929A2B0C9364118E50F7972B6A4AA763F815A803675E11226272E392AE99C</vt:lpwstr>
  </property>
  <property fmtid="{D5CDD505-2E9C-101B-9397-08002B2CF9AE}" pid="18" name="PM_OriginationTimeStamp">
    <vt:lpwstr>2023-11-21T05:17:58Z</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PMUuidVer">
    <vt:lpwstr>2022.1</vt:lpwstr>
  </property>
  <property fmtid="{D5CDD505-2E9C-101B-9397-08002B2CF9AE}" pid="22" name="ContentTypeId">
    <vt:lpwstr>0x010100532ABB97531C6844AAA7F1F091DC8262</vt:lpwstr>
  </property>
  <property fmtid="{D5CDD505-2E9C-101B-9397-08002B2CF9AE}" pid="23" name="PMUuid">
    <vt:lpwstr>v=2022.2;d=vic.gov.au;g=0BC0AFEB-CD42-5391-A624-A890967918FF</vt:lpwstr>
  </property>
  <property fmtid="{D5CDD505-2E9C-101B-9397-08002B2CF9AE}" pid="24" name="PM_Hash_Version">
    <vt:lpwstr>2022.1</vt:lpwstr>
  </property>
  <property fmtid="{D5CDD505-2E9C-101B-9397-08002B2CF9AE}" pid="25" name="PM_Originator_Hash_SHA1">
    <vt:lpwstr>4C6DCE32334D110276A174BCA0C2F9C60B8E8E71</vt:lpwstr>
  </property>
  <property fmtid="{D5CDD505-2E9C-101B-9397-08002B2CF9AE}" pid="26" name="PM_Hash_Salt_Prev">
    <vt:lpwstr>B31E36799505C625BE8B2AB4C6308928</vt:lpwstr>
  </property>
  <property fmtid="{D5CDD505-2E9C-101B-9397-08002B2CF9AE}" pid="27" name="PM_Hash_Salt">
    <vt:lpwstr>6F1C25D36FF0EEDAD299247E2383CB53</vt:lpwstr>
  </property>
  <property fmtid="{D5CDD505-2E9C-101B-9397-08002B2CF9AE}" pid="28" name="PM_Hash_SHA1">
    <vt:lpwstr>0312FE08F327B6B2DDE97E34EDE6068C6E42F462</vt:lpwstr>
  </property>
  <property fmtid="{D5CDD505-2E9C-101B-9397-08002B2CF9AE}" pid="29" name="PM_OriginatorUserAccountName_SHA256">
    <vt:lpwstr>8057ADD428F4088B61D2A6F3AE4515E4584CBFE71BFBC4D94A8D094500D124A8</vt:lpwstr>
  </property>
  <property fmtid="{D5CDD505-2E9C-101B-9397-08002B2CF9AE}" pid="30" name="PMHMAC">
    <vt:lpwstr>v=2022.1;a=SHA256;h=C0C37FBAEDF1E64EC2AC2F1D6BFFE745DDE2DC3601747849BCF47FAD82CB6925</vt:lpwstr>
  </property>
  <property fmtid="{D5CDD505-2E9C-101B-9397-08002B2CF9AE}" pid="31" name="_ExtendedDescription">
    <vt:lpwstr>Approved by Final Approver&amp;#58; Cherie Canning (ESC)Cherie.Canning@esc.vic.gov.au. Comments&amp;#58; </vt:lpwstr>
  </property>
  <property fmtid="{D5CDD505-2E9C-101B-9397-08002B2CF9AE}" pid="32" name="ClassificationContentMarkingHeaderShapeIds">
    <vt:lpwstr>4f87c6a8,1fcbcb79,2e3c9cee</vt:lpwstr>
  </property>
  <property fmtid="{D5CDD505-2E9C-101B-9397-08002B2CF9AE}" pid="33" name="ClassificationContentMarkingHeaderFontProps">
    <vt:lpwstr>#ff0000,12,Calibri</vt:lpwstr>
  </property>
  <property fmtid="{D5CDD505-2E9C-101B-9397-08002B2CF9AE}" pid="34" name="ClassificationContentMarkingHeaderText">
    <vt:lpwstr>OFFICIAL</vt:lpwstr>
  </property>
  <property fmtid="{D5CDD505-2E9C-101B-9397-08002B2CF9AE}" pid="35" name="MSIP_Label_c62a3d98-e4c9-4917-991a-0f0276b71296_Enabled">
    <vt:lpwstr>true</vt:lpwstr>
  </property>
  <property fmtid="{D5CDD505-2E9C-101B-9397-08002B2CF9AE}" pid="36" name="MSIP_Label_c62a3d98-e4c9-4917-991a-0f0276b71296_SetDate">
    <vt:lpwstr>2024-09-23T23:09:04Z</vt:lpwstr>
  </property>
  <property fmtid="{D5CDD505-2E9C-101B-9397-08002B2CF9AE}" pid="37" name="MSIP_Label_c62a3d98-e4c9-4917-991a-0f0276b71296_Method">
    <vt:lpwstr>Standard</vt:lpwstr>
  </property>
  <property fmtid="{D5CDD505-2E9C-101B-9397-08002B2CF9AE}" pid="38" name="MSIP_Label_c62a3d98-e4c9-4917-991a-0f0276b71296_Name">
    <vt:lpwstr>OFFICIAL</vt:lpwstr>
  </property>
  <property fmtid="{D5CDD505-2E9C-101B-9397-08002B2CF9AE}" pid="39" name="MSIP_Label_c62a3d98-e4c9-4917-991a-0f0276b71296_SiteId">
    <vt:lpwstr>5f894de5-5651-487a-aaff-5a8c899b254d</vt:lpwstr>
  </property>
  <property fmtid="{D5CDD505-2E9C-101B-9397-08002B2CF9AE}" pid="40" name="MSIP_Label_c62a3d98-e4c9-4917-991a-0f0276b71296_ActionId">
    <vt:lpwstr>95eedf5c-9058-4fe4-9729-60d96a8124a7</vt:lpwstr>
  </property>
  <property fmtid="{D5CDD505-2E9C-101B-9397-08002B2CF9AE}" pid="41" name="MSIP_Label_c62a3d98-e4c9-4917-991a-0f0276b71296_ContentBits">
    <vt:lpwstr>1</vt:lpwstr>
  </property>
</Properties>
</file>