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C45F0" w14:textId="77777777" w:rsidR="0041213C" w:rsidRDefault="00102472" w:rsidP="00102472">
      <w:pPr>
        <w:pStyle w:val="Pull-out"/>
        <w:pBdr>
          <w:top w:val="single" w:sz="48" w:space="0" w:color="B2CFDC" w:themeColor="text2" w:themeTint="66"/>
          <w:bottom w:val="single" w:sz="48" w:space="0" w:color="B2CFDC" w:themeColor="text2" w:themeTint="66"/>
        </w:pBdr>
      </w:pPr>
      <w:r>
        <w:t xml:space="preserve">Victoria’s water businesses </w:t>
      </w:r>
      <w:r w:rsidRPr="00522301">
        <w:t>send us submissions on proposed prices and key outcomes</w:t>
      </w:r>
      <w:r>
        <w:t xml:space="preserve"> </w:t>
      </w:r>
      <w:r w:rsidR="00E11BF0">
        <w:t xml:space="preserve">these prices will deliver </w:t>
      </w:r>
      <w:r>
        <w:t xml:space="preserve">for their customers. We assess the submissions and make price determinations on the maximum price they can charge for their services. </w:t>
      </w:r>
    </w:p>
    <w:p w14:paraId="1C30451A" w14:textId="7CC68D00" w:rsidR="00102472" w:rsidRDefault="00102472" w:rsidP="00102472">
      <w:pPr>
        <w:pStyle w:val="Pull-out"/>
        <w:pBdr>
          <w:top w:val="single" w:sz="48" w:space="0" w:color="B2CFDC" w:themeColor="text2" w:themeTint="66"/>
          <w:bottom w:val="single" w:sz="48" w:space="0" w:color="B2CFDC" w:themeColor="text2" w:themeTint="66"/>
        </w:pBdr>
      </w:pPr>
      <w:r>
        <w:t>New prices need to be in place by 1 July 20</w:t>
      </w:r>
      <w:r w:rsidR="00E11BF0">
        <w:t>20</w:t>
      </w:r>
      <w:r>
        <w:t xml:space="preserve">. </w:t>
      </w:r>
    </w:p>
    <w:p w14:paraId="02D7C161" w14:textId="4CF863AC" w:rsidR="00EF686D" w:rsidRPr="00C47364" w:rsidRDefault="00EF686D" w:rsidP="00EF686D">
      <w:pPr>
        <w:pStyle w:val="Heading2"/>
      </w:pPr>
      <w:r>
        <w:t>Snapshot</w:t>
      </w:r>
      <w:r w:rsidR="00907732">
        <w:t xml:space="preserve"> of what Goulburn-Murray Water </w:t>
      </w:r>
      <w:r w:rsidR="00035D6D">
        <w:t xml:space="preserve">is </w:t>
      </w:r>
      <w:r w:rsidR="00907732">
        <w:t>propo</w:t>
      </w:r>
      <w:r w:rsidR="00035D6D">
        <w:t>sing</w:t>
      </w:r>
    </w:p>
    <w:tbl>
      <w:tblPr>
        <w:tblStyle w:val="TableGrid"/>
        <w:tblW w:w="0" w:type="auto"/>
        <w:tblLook w:val="0480" w:firstRow="0" w:lastRow="0" w:firstColumn="1" w:lastColumn="0" w:noHBand="0" w:noVBand="1"/>
      </w:tblPr>
      <w:tblGrid>
        <w:gridCol w:w="3544"/>
        <w:gridCol w:w="3260"/>
        <w:gridCol w:w="2834"/>
      </w:tblGrid>
      <w:tr w:rsidR="00152B60" w14:paraId="295DC72A" w14:textId="77777777" w:rsidTr="00AB2BBB">
        <w:trPr>
          <w:cnfStyle w:val="000000100000" w:firstRow="0" w:lastRow="0" w:firstColumn="0" w:lastColumn="0" w:oddVBand="0" w:evenVBand="0" w:oddHBand="1" w:evenHBand="0" w:firstRowFirstColumn="0" w:firstRowLastColumn="0" w:lastRowFirstColumn="0" w:lastRowLastColumn="0"/>
        </w:trPr>
        <w:tc>
          <w:tcPr>
            <w:tcW w:w="3544" w:type="dxa"/>
          </w:tcPr>
          <w:p w14:paraId="2A224BEE" w14:textId="77777777" w:rsidR="00102472" w:rsidRPr="00102472" w:rsidRDefault="00102472" w:rsidP="00E84671">
            <w:pPr>
              <w:jc w:val="center"/>
              <w:rPr>
                <w:b/>
                <w:noProof/>
                <w:lang w:eastAsia="en-AU"/>
              </w:rPr>
            </w:pPr>
            <w:r w:rsidRPr="00102472">
              <w:rPr>
                <w:b/>
                <w:noProof/>
                <w:lang w:eastAsia="en-AU"/>
              </w:rPr>
              <w:t>Bills</w:t>
            </w:r>
          </w:p>
        </w:tc>
        <w:tc>
          <w:tcPr>
            <w:tcW w:w="3260" w:type="dxa"/>
          </w:tcPr>
          <w:p w14:paraId="00C7AAF4" w14:textId="77777777" w:rsidR="00102472" w:rsidRPr="00102472" w:rsidRDefault="00102472" w:rsidP="00E84671">
            <w:pPr>
              <w:jc w:val="center"/>
              <w:rPr>
                <w:b/>
                <w:noProof/>
                <w:lang w:eastAsia="en-AU"/>
              </w:rPr>
            </w:pPr>
            <w:r w:rsidRPr="00102472">
              <w:rPr>
                <w:b/>
                <w:noProof/>
                <w:lang w:eastAsia="en-AU"/>
              </w:rPr>
              <w:t>Tariffs</w:t>
            </w:r>
          </w:p>
        </w:tc>
        <w:tc>
          <w:tcPr>
            <w:tcW w:w="2834" w:type="dxa"/>
          </w:tcPr>
          <w:p w14:paraId="06F613AF" w14:textId="77777777" w:rsidR="00102472" w:rsidRPr="00102472" w:rsidRDefault="003C6AD0" w:rsidP="00E84671">
            <w:pPr>
              <w:jc w:val="center"/>
              <w:rPr>
                <w:b/>
                <w:noProof/>
                <w:lang w:eastAsia="en-AU"/>
              </w:rPr>
            </w:pPr>
            <w:r>
              <w:rPr>
                <w:b/>
                <w:noProof/>
                <w:lang w:eastAsia="en-AU"/>
              </w:rPr>
              <w:t>Consultation</w:t>
            </w:r>
          </w:p>
        </w:tc>
      </w:tr>
      <w:tr w:rsidR="00152B60" w14:paraId="2C910C02" w14:textId="77777777" w:rsidTr="00AB2BBB">
        <w:trPr>
          <w:cnfStyle w:val="000000010000" w:firstRow="0" w:lastRow="0" w:firstColumn="0" w:lastColumn="0" w:oddVBand="0" w:evenVBand="0" w:oddHBand="0" w:evenHBand="1" w:firstRowFirstColumn="0" w:firstRowLastColumn="0" w:lastRowFirstColumn="0" w:lastRowLastColumn="0"/>
        </w:trPr>
        <w:tc>
          <w:tcPr>
            <w:tcW w:w="3544" w:type="dxa"/>
          </w:tcPr>
          <w:p w14:paraId="0DAE6A25" w14:textId="77777777" w:rsidR="00B91DF0" w:rsidRDefault="00B91DF0" w:rsidP="00E84671">
            <w:pPr>
              <w:jc w:val="center"/>
            </w:pPr>
            <w:r>
              <w:rPr>
                <w:noProof/>
                <w:lang w:eastAsia="en-AU"/>
              </w:rPr>
              <w:drawing>
                <wp:inline distT="0" distB="0" distL="0" distR="0" wp14:anchorId="18C6DB32" wp14:editId="1FD3CB22">
                  <wp:extent cx="743374" cy="7433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n_996175_cc.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43374" cy="743374"/>
                          </a:xfrm>
                          <a:prstGeom prst="rect">
                            <a:avLst/>
                          </a:prstGeom>
                          <a:ln>
                            <a:noFill/>
                          </a:ln>
                          <a:extLst>
                            <a:ext uri="{53640926-AAD7-44D8-BBD7-CCE9431645EC}">
                              <a14:shadowObscured xmlns:a14="http://schemas.microsoft.com/office/drawing/2010/main"/>
                            </a:ext>
                          </a:extLst>
                        </pic:spPr>
                      </pic:pic>
                    </a:graphicData>
                  </a:graphic>
                </wp:inline>
              </w:drawing>
            </w:r>
          </w:p>
        </w:tc>
        <w:tc>
          <w:tcPr>
            <w:tcW w:w="3260" w:type="dxa"/>
          </w:tcPr>
          <w:p w14:paraId="772ABB08" w14:textId="77777777" w:rsidR="00B91DF0" w:rsidRDefault="00B91DF0" w:rsidP="00E84671">
            <w:pPr>
              <w:jc w:val="center"/>
            </w:pPr>
            <w:r>
              <w:rPr>
                <w:noProof/>
                <w:lang w:eastAsia="en-AU"/>
              </w:rPr>
              <w:drawing>
                <wp:inline distT="0" distB="0" distL="0" distR="0" wp14:anchorId="1B249326" wp14:editId="652DCA55">
                  <wp:extent cx="749620" cy="749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n_1043557_cc.pn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49620" cy="749620"/>
                          </a:xfrm>
                          <a:prstGeom prst="rect">
                            <a:avLst/>
                          </a:prstGeom>
                          <a:ln>
                            <a:noFill/>
                          </a:ln>
                          <a:extLst>
                            <a:ext uri="{53640926-AAD7-44D8-BBD7-CCE9431645EC}">
                              <a14:shadowObscured xmlns:a14="http://schemas.microsoft.com/office/drawing/2010/main"/>
                            </a:ext>
                          </a:extLst>
                        </pic:spPr>
                      </pic:pic>
                    </a:graphicData>
                  </a:graphic>
                </wp:inline>
              </w:drawing>
            </w:r>
          </w:p>
        </w:tc>
        <w:tc>
          <w:tcPr>
            <w:tcW w:w="2834" w:type="dxa"/>
          </w:tcPr>
          <w:p w14:paraId="3D562332" w14:textId="77777777" w:rsidR="00B91DF0" w:rsidRDefault="00B91DF0" w:rsidP="00E84671">
            <w:pPr>
              <w:jc w:val="center"/>
            </w:pPr>
            <w:r>
              <w:rPr>
                <w:noProof/>
                <w:lang w:eastAsia="en-AU"/>
              </w:rPr>
              <w:drawing>
                <wp:inline distT="0" distB="0" distL="0" distR="0" wp14:anchorId="28B7FB31" wp14:editId="352C5840">
                  <wp:extent cx="700443" cy="700443"/>
                  <wp:effectExtent l="0" t="0" r="444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n_1189098_cc.pn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00443" cy="700443"/>
                          </a:xfrm>
                          <a:prstGeom prst="rect">
                            <a:avLst/>
                          </a:prstGeom>
                          <a:ln>
                            <a:noFill/>
                          </a:ln>
                          <a:extLst>
                            <a:ext uri="{53640926-AAD7-44D8-BBD7-CCE9431645EC}">
                              <a14:shadowObscured xmlns:a14="http://schemas.microsoft.com/office/drawing/2010/main"/>
                            </a:ext>
                          </a:extLst>
                        </pic:spPr>
                      </pic:pic>
                    </a:graphicData>
                  </a:graphic>
                </wp:inline>
              </w:drawing>
            </w:r>
          </w:p>
        </w:tc>
      </w:tr>
      <w:tr w:rsidR="00152B60" w14:paraId="4F494EC1" w14:textId="77777777" w:rsidTr="00AB2BBB">
        <w:trPr>
          <w:cnfStyle w:val="000000100000" w:firstRow="0" w:lastRow="0" w:firstColumn="0" w:lastColumn="0" w:oddVBand="0" w:evenVBand="0" w:oddHBand="1" w:evenHBand="0" w:firstRowFirstColumn="0" w:firstRowLastColumn="0" w:lastRowFirstColumn="0" w:lastRowLastColumn="0"/>
          <w:trHeight w:val="3141"/>
        </w:trPr>
        <w:tc>
          <w:tcPr>
            <w:tcW w:w="3544" w:type="dxa"/>
            <w:tcBorders>
              <w:bottom w:val="single" w:sz="8" w:space="0" w:color="FFFFFF" w:themeColor="background1"/>
            </w:tcBorders>
          </w:tcPr>
          <w:p w14:paraId="0EE71230" w14:textId="05A56F67" w:rsidR="006508CA" w:rsidRDefault="00D857A8" w:rsidP="00AB2BBB">
            <w:r w:rsidRPr="006C5246">
              <w:t xml:space="preserve">Depending on the district, </w:t>
            </w:r>
            <w:r w:rsidR="006508CA" w:rsidRPr="006C5246">
              <w:t xml:space="preserve">most gravity irrigation customers (which is the majority of its customer base) will see bills fall; in most cases by about 10 per cent. </w:t>
            </w:r>
          </w:p>
          <w:p w14:paraId="53867035" w14:textId="3A3BA930" w:rsidR="00D857A8" w:rsidRPr="006C5246" w:rsidRDefault="006508CA" w:rsidP="00AB2BBB">
            <w:r w:rsidRPr="006C5246">
              <w:t xml:space="preserve">Bill changes for pumped irrigation, licence holders and stock and domestic customers will vary by region.  </w:t>
            </w:r>
          </w:p>
        </w:tc>
        <w:tc>
          <w:tcPr>
            <w:tcW w:w="3260" w:type="dxa"/>
            <w:tcBorders>
              <w:bottom w:val="single" w:sz="8" w:space="0" w:color="FFFFFF" w:themeColor="background1"/>
            </w:tcBorders>
          </w:tcPr>
          <w:p w14:paraId="4784BBBB" w14:textId="372BB631" w:rsidR="00D857A8" w:rsidRPr="006C5246" w:rsidRDefault="00E11BF0" w:rsidP="00AB2BBB">
            <w:pPr>
              <w:spacing w:after="160"/>
            </w:pPr>
            <w:r w:rsidRPr="006C5246">
              <w:t>Goulburn</w:t>
            </w:r>
            <w:r w:rsidR="00AB2BBB">
              <w:t>-</w:t>
            </w:r>
            <w:r w:rsidRPr="006C5246">
              <w:t>Murray</w:t>
            </w:r>
            <w:r w:rsidR="00D857A8" w:rsidRPr="006C5246">
              <w:t xml:space="preserve"> Water </w:t>
            </w:r>
            <w:r w:rsidR="006508CA" w:rsidRPr="006C5246">
              <w:t xml:space="preserve">is proposing </w:t>
            </w:r>
            <w:r w:rsidR="008C59C7" w:rsidRPr="006C5246">
              <w:t>that all water share owners</w:t>
            </w:r>
            <w:r w:rsidR="006508CA" w:rsidRPr="006C5246">
              <w:t xml:space="preserve"> pay system rather than basin changes</w:t>
            </w:r>
            <w:r w:rsidR="00D857A8" w:rsidRPr="006C5246">
              <w:t xml:space="preserve">. </w:t>
            </w:r>
          </w:p>
          <w:p w14:paraId="678B8608" w14:textId="1DD674D9" w:rsidR="006508CA" w:rsidRPr="006C5246" w:rsidRDefault="006508CA" w:rsidP="00AB2BBB">
            <w:pPr>
              <w:spacing w:after="160"/>
            </w:pPr>
            <w:r w:rsidRPr="006C5246">
              <w:t>All gravity irrigation districts will pay the same deliver</w:t>
            </w:r>
            <w:r w:rsidR="001D2AD0">
              <w:t>y</w:t>
            </w:r>
            <w:r w:rsidRPr="006C5246">
              <w:t xml:space="preserve"> fee reflecting reduced costs in the Shepparton irrigation district. </w:t>
            </w:r>
          </w:p>
        </w:tc>
        <w:tc>
          <w:tcPr>
            <w:tcW w:w="2834" w:type="dxa"/>
            <w:tcBorders>
              <w:bottom w:val="single" w:sz="8" w:space="0" w:color="FFFFFF" w:themeColor="background1"/>
            </w:tcBorders>
          </w:tcPr>
          <w:p w14:paraId="6EA1C682" w14:textId="2E920687" w:rsidR="00D857A8" w:rsidRPr="004F17AD" w:rsidRDefault="006508CA" w:rsidP="00AB2BBB">
            <w:r w:rsidRPr="008C59C7">
              <w:t>Goulburn</w:t>
            </w:r>
            <w:r w:rsidR="00AB2BBB">
              <w:t>-</w:t>
            </w:r>
            <w:r w:rsidRPr="008C59C7">
              <w:t xml:space="preserve">Murray Water has expanded on its traditional engagement with Water Service Committees. </w:t>
            </w:r>
            <w:r w:rsidR="00E36DA7" w:rsidRPr="008C59C7">
              <w:t xml:space="preserve">It tested and explored proposals </w:t>
            </w:r>
            <w:r w:rsidR="008C59C7" w:rsidRPr="008C59C7">
              <w:t xml:space="preserve">through a series of workshops, internet surveys and a </w:t>
            </w:r>
            <w:r w:rsidR="008C59C7">
              <w:t>3</w:t>
            </w:r>
            <w:r w:rsidR="008C59C7" w:rsidRPr="008C59C7">
              <w:t>-day deliberative forum</w:t>
            </w:r>
            <w:r w:rsidR="008C59C7">
              <w:t xml:space="preserve">. </w:t>
            </w:r>
          </w:p>
        </w:tc>
      </w:tr>
      <w:tr w:rsidR="00102472" w14:paraId="3E782909" w14:textId="77777777" w:rsidTr="00152B60">
        <w:trPr>
          <w:cnfStyle w:val="000000010000" w:firstRow="0" w:lastRow="0" w:firstColumn="0" w:lastColumn="0" w:oddVBand="0" w:evenVBand="0" w:oddHBand="0" w:evenHBand="1" w:firstRowFirstColumn="0" w:firstRowLastColumn="0" w:lastRowFirstColumn="0" w:lastRowLastColumn="0"/>
        </w:trPr>
        <w:tc>
          <w:tcPr>
            <w:tcW w:w="9638" w:type="dxa"/>
            <w:gridSpan w:val="3"/>
            <w:tcBorders>
              <w:top w:val="single" w:sz="8" w:space="0" w:color="FFFFFF" w:themeColor="background1"/>
              <w:bottom w:val="nil"/>
            </w:tcBorders>
            <w:shd w:val="clear" w:color="auto" w:fill="D8E7ED" w:themeFill="text2" w:themeFillTint="33"/>
          </w:tcPr>
          <w:p w14:paraId="4A5F20BF" w14:textId="4D6C068C" w:rsidR="00102472" w:rsidRDefault="00102472" w:rsidP="00DB4F57">
            <w:r w:rsidRPr="00E627B7">
              <w:t>For this and more information about</w:t>
            </w:r>
            <w:r>
              <w:t xml:space="preserve"> our price review process and </w:t>
            </w:r>
            <w:r w:rsidR="00E11BF0">
              <w:t>Goulburn</w:t>
            </w:r>
            <w:r w:rsidR="00AB2BBB">
              <w:t>-</w:t>
            </w:r>
            <w:r w:rsidR="00E11BF0">
              <w:t>Murray</w:t>
            </w:r>
            <w:r w:rsidR="0030597A">
              <w:t xml:space="preserve"> </w:t>
            </w:r>
            <w:r>
              <w:t xml:space="preserve">Water’s price submission, go to </w:t>
            </w:r>
            <w:hyperlink r:id="rId11" w:history="1">
              <w:r w:rsidRPr="00411BF8">
                <w:rPr>
                  <w:rStyle w:val="Hyperlink"/>
                </w:rPr>
                <w:t>http://www.esc.vic.gov.au/waterpricereview</w:t>
              </w:r>
            </w:hyperlink>
          </w:p>
        </w:tc>
      </w:tr>
    </w:tbl>
    <w:p w14:paraId="22CB1C75" w14:textId="02B7C138" w:rsidR="00D857A8" w:rsidRDefault="00D857A8" w:rsidP="00D857A8">
      <w:pPr>
        <w:pStyle w:val="Heading2"/>
      </w:pPr>
      <w:r>
        <w:t xml:space="preserve">Send us your feedback on </w:t>
      </w:r>
      <w:fldSimple w:instr=" KEYWORDS   \* MERGEFORMAT ">
        <w:r w:rsidR="00E11BF0">
          <w:t>Goulburn</w:t>
        </w:r>
        <w:r w:rsidR="00AB2BBB">
          <w:t>-</w:t>
        </w:r>
        <w:r w:rsidR="00E11BF0">
          <w:t>Murray</w:t>
        </w:r>
        <w:r>
          <w:t xml:space="preserve"> Water</w:t>
        </w:r>
      </w:fldSimple>
      <w:r>
        <w:t>’s proposal</w:t>
      </w:r>
    </w:p>
    <w:p w14:paraId="1CEF2485" w14:textId="7D047C39" w:rsidR="00EF686D" w:rsidRDefault="00EF686D" w:rsidP="00EF686D">
      <w:pPr>
        <w:spacing w:before="0"/>
      </w:pPr>
      <w:r>
        <w:t xml:space="preserve">Submitting your feedback to </w:t>
      </w:r>
      <w:r w:rsidR="00BC4A83">
        <w:fldChar w:fldCharType="begin"/>
      </w:r>
      <w:r w:rsidR="00BC4A83">
        <w:instrText xml:space="preserve"> KEYWORDS   \* MERGEFORMAT </w:instrText>
      </w:r>
      <w:r w:rsidR="00BC4A83">
        <w:fldChar w:fldCharType="separate"/>
      </w:r>
      <w:r w:rsidR="00E11BF0">
        <w:t>Goulburn</w:t>
      </w:r>
      <w:r w:rsidR="00AB2BBB">
        <w:t>-</w:t>
      </w:r>
      <w:r w:rsidR="00E11BF0">
        <w:t>Murray</w:t>
      </w:r>
      <w:r w:rsidR="00D857A8">
        <w:t xml:space="preserve"> Water</w:t>
      </w:r>
      <w:r w:rsidR="00BC4A83">
        <w:fldChar w:fldCharType="end"/>
      </w:r>
      <w:r w:rsidR="00D857A8">
        <w:t xml:space="preserve">’s </w:t>
      </w:r>
      <w:r>
        <w:t xml:space="preserve">price submission by </w:t>
      </w:r>
      <w:r w:rsidR="00E11BF0">
        <w:rPr>
          <w:b/>
        </w:rPr>
        <w:t xml:space="preserve">24 January </w:t>
      </w:r>
      <w:r w:rsidRPr="00134414">
        <w:rPr>
          <w:b/>
        </w:rPr>
        <w:t>20</w:t>
      </w:r>
      <w:r w:rsidR="00E11BF0">
        <w:rPr>
          <w:b/>
        </w:rPr>
        <w:t>20</w:t>
      </w:r>
      <w:r>
        <w:t xml:space="preserve"> will help us prepare for the release of our draft decision. Send your feedback to </w:t>
      </w:r>
      <w:hyperlink r:id="rId12" w:history="1">
        <w:r w:rsidRPr="00E020BD">
          <w:rPr>
            <w:rStyle w:val="Hyperlink"/>
          </w:rPr>
          <w:t>water@esc.vic.gov.au</w:t>
        </w:r>
      </w:hyperlink>
      <w:r>
        <w:t xml:space="preserve"> or call (03) 9032 1300.</w:t>
      </w:r>
    </w:p>
    <w:p w14:paraId="5B1FA920" w14:textId="00109E79" w:rsidR="00152B60" w:rsidRDefault="00855DF6" w:rsidP="00152B60">
      <w:pPr>
        <w:rPr>
          <w:rFonts w:ascii="Tahoma" w:eastAsiaTheme="majorEastAsia" w:hAnsi="Tahoma" w:cstheme="majorBidi"/>
          <w:b/>
          <w:color w:val="236192" w:themeColor="accent1"/>
          <w:sz w:val="26"/>
          <w:szCs w:val="26"/>
        </w:rPr>
      </w:pPr>
      <w:r>
        <w:rPr>
          <w:noProof/>
          <w:lang w:eastAsia="en-AU"/>
        </w:rPr>
        <w:lastRenderedPageBreak/>
        <w:drawing>
          <wp:anchor distT="0" distB="0" distL="114300" distR="114300" simplePos="0" relativeHeight="251661312" behindDoc="1" locked="0" layoutInCell="1" allowOverlap="1" wp14:anchorId="3D590FA5" wp14:editId="27DD3A31">
            <wp:simplePos x="0" y="0"/>
            <wp:positionH relativeFrom="margin">
              <wp:align>right</wp:align>
            </wp:positionH>
            <wp:positionV relativeFrom="paragraph">
              <wp:posOffset>30</wp:posOffset>
            </wp:positionV>
            <wp:extent cx="700405" cy="700405"/>
            <wp:effectExtent l="0" t="0" r="4445" b="4445"/>
            <wp:wrapThrough wrapText="bothSides">
              <wp:wrapPolygon edited="0">
                <wp:start x="6462" y="0"/>
                <wp:lineTo x="0" y="4700"/>
                <wp:lineTo x="0" y="8812"/>
                <wp:lineTo x="2350" y="9987"/>
                <wp:lineTo x="0" y="17037"/>
                <wp:lineTo x="0" y="19387"/>
                <wp:lineTo x="587" y="20562"/>
                <wp:lineTo x="4112" y="21150"/>
                <wp:lineTo x="17037" y="21150"/>
                <wp:lineTo x="20562" y="20562"/>
                <wp:lineTo x="21150" y="19387"/>
                <wp:lineTo x="21150" y="17037"/>
                <wp:lineTo x="18212" y="0"/>
                <wp:lineTo x="6462"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n_1189098_cc.pn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00405" cy="700405"/>
                    </a:xfrm>
                    <a:prstGeom prst="rect">
                      <a:avLst/>
                    </a:prstGeom>
                    <a:ln>
                      <a:noFill/>
                    </a:ln>
                    <a:extLst>
                      <a:ext uri="{53640926-AAD7-44D8-BBD7-CCE9431645EC}">
                        <a14:shadowObscured xmlns:a14="http://schemas.microsoft.com/office/drawing/2010/main"/>
                      </a:ext>
                    </a:extLst>
                  </pic:spPr>
                </pic:pic>
              </a:graphicData>
            </a:graphic>
          </wp:anchor>
        </w:drawing>
      </w:r>
      <w:r w:rsidR="00152B60">
        <w:rPr>
          <w:rFonts w:ascii="Tahoma" w:eastAsiaTheme="majorEastAsia" w:hAnsi="Tahoma" w:cstheme="majorBidi"/>
          <w:b/>
          <w:color w:val="236192" w:themeColor="accent1"/>
          <w:sz w:val="26"/>
          <w:szCs w:val="26"/>
        </w:rPr>
        <w:t>How did Goulburn</w:t>
      </w:r>
      <w:r w:rsidR="00AB2BBB">
        <w:rPr>
          <w:rFonts w:ascii="Tahoma" w:eastAsiaTheme="majorEastAsia" w:hAnsi="Tahoma" w:cstheme="majorBidi"/>
          <w:b/>
          <w:color w:val="236192" w:themeColor="accent1"/>
          <w:sz w:val="26"/>
          <w:szCs w:val="26"/>
        </w:rPr>
        <w:t>-</w:t>
      </w:r>
      <w:r w:rsidR="00152B60">
        <w:rPr>
          <w:rFonts w:ascii="Tahoma" w:eastAsiaTheme="majorEastAsia" w:hAnsi="Tahoma" w:cstheme="majorBidi"/>
          <w:b/>
          <w:color w:val="236192" w:themeColor="accent1"/>
          <w:sz w:val="26"/>
          <w:szCs w:val="26"/>
        </w:rPr>
        <w:t>Murray Water engage with customers?</w:t>
      </w:r>
      <w:r w:rsidRPr="00855DF6">
        <w:rPr>
          <w:noProof/>
          <w:lang w:eastAsia="en-AU"/>
        </w:rPr>
        <w:t xml:space="preserve"> </w:t>
      </w:r>
    </w:p>
    <w:p w14:paraId="6D82D013" w14:textId="4C20FB52" w:rsidR="00033ED0" w:rsidRDefault="00033ED0" w:rsidP="00AB2BBB">
      <w:r>
        <w:t>As part of our review, we asked Goulburn</w:t>
      </w:r>
      <w:r w:rsidR="00AB2BBB">
        <w:t>-</w:t>
      </w:r>
      <w:r>
        <w:t>Murray water to engage with customers to inform its price submission</w:t>
      </w:r>
      <w:r w:rsidR="008C59C7">
        <w:t xml:space="preserve"> to us</w:t>
      </w:r>
      <w:r>
        <w:t xml:space="preserve">. </w:t>
      </w:r>
    </w:p>
    <w:p w14:paraId="261DF0A5" w14:textId="207A1A8B" w:rsidR="00152B60" w:rsidRDefault="00152B60" w:rsidP="00AB2BBB">
      <w:r>
        <w:t>Goulburn</w:t>
      </w:r>
      <w:r w:rsidR="00AB2BBB">
        <w:t>-</w:t>
      </w:r>
      <w:r>
        <w:t xml:space="preserve">Murray Water’s engagement included direct discussions with 1000 customers, meetings with 75 water service committee members, </w:t>
      </w:r>
      <w:r w:rsidR="00D92D95">
        <w:t xml:space="preserve">drop in days in about 30 towns, </w:t>
      </w:r>
      <w:r>
        <w:t xml:space="preserve">18 customer workshops, </w:t>
      </w:r>
      <w:r w:rsidR="00033ED0">
        <w:t xml:space="preserve">internet </w:t>
      </w:r>
      <w:r>
        <w:t xml:space="preserve">surveys and a </w:t>
      </w:r>
      <w:r w:rsidR="008C59C7">
        <w:t>3-day</w:t>
      </w:r>
      <w:r>
        <w:t xml:space="preserve"> deliberative forum. It </w:t>
      </w:r>
      <w:r w:rsidR="008C59C7">
        <w:t xml:space="preserve">also </w:t>
      </w:r>
      <w:r>
        <w:t xml:space="preserve">developed a dedicated engagement website to </w:t>
      </w:r>
      <w:r w:rsidR="00033ED0">
        <w:t xml:space="preserve">facilitate customer involvement in its price submission. </w:t>
      </w:r>
    </w:p>
    <w:p w14:paraId="13D3C4DF" w14:textId="77777777" w:rsidR="00DF4088" w:rsidRDefault="00DF4088" w:rsidP="00D857A8">
      <w:pPr>
        <w:pStyle w:val="Heading2"/>
      </w:pPr>
      <w:r>
        <w:rPr>
          <w:noProof/>
          <w:lang w:eastAsia="en-AU"/>
        </w:rPr>
        <w:drawing>
          <wp:anchor distT="0" distB="0" distL="114300" distR="114300" simplePos="0" relativeHeight="251660288" behindDoc="1" locked="0" layoutInCell="1" allowOverlap="1" wp14:anchorId="5906821E" wp14:editId="36077632">
            <wp:simplePos x="0" y="0"/>
            <wp:positionH relativeFrom="margin">
              <wp:align>right</wp:align>
            </wp:positionH>
            <wp:positionV relativeFrom="paragraph">
              <wp:posOffset>337215</wp:posOffset>
            </wp:positionV>
            <wp:extent cx="749300" cy="749300"/>
            <wp:effectExtent l="0" t="0" r="0" b="0"/>
            <wp:wrapThrough wrapText="bothSides">
              <wp:wrapPolygon edited="0">
                <wp:start x="3295" y="549"/>
                <wp:lineTo x="1098" y="2197"/>
                <wp:lineTo x="549" y="14278"/>
                <wp:lineTo x="5492" y="19220"/>
                <wp:lineTo x="9336" y="20319"/>
                <wp:lineTo x="17573" y="20319"/>
                <wp:lineTo x="20319" y="18122"/>
                <wp:lineTo x="19769" y="10983"/>
                <wp:lineTo x="13729" y="10434"/>
                <wp:lineTo x="13180" y="2746"/>
                <wp:lineTo x="11532" y="549"/>
                <wp:lineTo x="3295" y="549"/>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n_1043557_cc.pn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49300" cy="749300"/>
                    </a:xfrm>
                    <a:prstGeom prst="rect">
                      <a:avLst/>
                    </a:prstGeom>
                    <a:ln>
                      <a:noFill/>
                    </a:ln>
                    <a:extLst>
                      <a:ext uri="{53640926-AAD7-44D8-BBD7-CCE9431645EC}">
                        <a14:shadowObscured xmlns:a14="http://schemas.microsoft.com/office/drawing/2010/main"/>
                      </a:ext>
                    </a:extLst>
                  </pic:spPr>
                </pic:pic>
              </a:graphicData>
            </a:graphic>
          </wp:anchor>
        </w:drawing>
      </w:r>
    </w:p>
    <w:p w14:paraId="1D58BFE9" w14:textId="42B423F2" w:rsidR="00D857A8" w:rsidRPr="00FE5676" w:rsidRDefault="00D857A8" w:rsidP="00D857A8">
      <w:pPr>
        <w:pStyle w:val="Heading2"/>
      </w:pPr>
      <w:r w:rsidRPr="00FE5676">
        <w:t>What are the changes to tariffs?</w:t>
      </w:r>
      <w:r w:rsidR="00855DF6" w:rsidRPr="00855DF6">
        <w:rPr>
          <w:noProof/>
          <w:lang w:eastAsia="en-AU"/>
        </w:rPr>
        <w:t xml:space="preserve"> </w:t>
      </w:r>
    </w:p>
    <w:p w14:paraId="3404CB00" w14:textId="6438F2B8" w:rsidR="00C66A11" w:rsidRPr="006C5246" w:rsidRDefault="00BC4A83" w:rsidP="00C66A11">
      <w:pPr>
        <w:pStyle w:val="ListBullet"/>
        <w:numPr>
          <w:ilvl w:val="0"/>
          <w:numId w:val="0"/>
        </w:numPr>
        <w:ind w:left="284" w:hanging="284"/>
      </w:pPr>
      <w:r>
        <w:fldChar w:fldCharType="begin"/>
      </w:r>
      <w:r>
        <w:instrText xml:space="preserve"> KEYWORDS   \* MERGEFORMAT </w:instrText>
      </w:r>
      <w:r>
        <w:fldChar w:fldCharType="separate"/>
      </w:r>
      <w:r w:rsidR="00E11BF0" w:rsidRPr="006C5246">
        <w:t>Goulburn</w:t>
      </w:r>
      <w:r w:rsidR="00AB2BBB">
        <w:t>-</w:t>
      </w:r>
      <w:r w:rsidR="00E11BF0" w:rsidRPr="006C5246">
        <w:t>Murray</w:t>
      </w:r>
      <w:r w:rsidR="00D857A8" w:rsidRPr="006C5246">
        <w:t xml:space="preserve"> Water</w:t>
      </w:r>
      <w:r>
        <w:fldChar w:fldCharType="end"/>
      </w:r>
      <w:r w:rsidR="00D857A8" w:rsidRPr="006C5246">
        <w:t xml:space="preserve"> has proposed to alter </w:t>
      </w:r>
      <w:r w:rsidR="00C9786E" w:rsidRPr="006C5246">
        <w:t>how it charges customers in the following ways</w:t>
      </w:r>
      <w:r w:rsidR="00D857A8" w:rsidRPr="006C5246">
        <w:t>:</w:t>
      </w:r>
      <w:r w:rsidR="00C66A11" w:rsidRPr="006C5246">
        <w:t xml:space="preserve"> </w:t>
      </w:r>
    </w:p>
    <w:p w14:paraId="1ADFDBDF" w14:textId="0C93D8F8" w:rsidR="0024060A" w:rsidRPr="00AB2BBB" w:rsidRDefault="00FE5676" w:rsidP="00AB2BBB">
      <w:pPr>
        <w:pStyle w:val="ListBullet"/>
        <w:spacing w:line="360" w:lineRule="auto"/>
      </w:pPr>
      <w:r w:rsidRPr="00AB2BBB">
        <w:t>a</w:t>
      </w:r>
      <w:r w:rsidR="0024060A" w:rsidRPr="00AB2BBB">
        <w:t>ll water share owners will pay a system price from July 202</w:t>
      </w:r>
      <w:r w:rsidR="009B3807" w:rsidRPr="00AB2BBB">
        <w:t>0</w:t>
      </w:r>
      <w:r w:rsidR="0024060A" w:rsidRPr="00AB2BBB">
        <w:t>. Under the current approach</w:t>
      </w:r>
      <w:r w:rsidR="009B3807" w:rsidRPr="00AB2BBB">
        <w:t>,</w:t>
      </w:r>
      <w:r w:rsidR="0024060A" w:rsidRPr="00AB2BBB">
        <w:t xml:space="preserve"> non-water users pay </w:t>
      </w:r>
      <w:r w:rsidRPr="00AB2BBB">
        <w:t>the</w:t>
      </w:r>
      <w:r w:rsidR="0024060A" w:rsidRPr="00AB2BBB">
        <w:t xml:space="preserve"> basin price. </w:t>
      </w:r>
    </w:p>
    <w:p w14:paraId="4E0C35BB" w14:textId="45EF6332" w:rsidR="00C66A11" w:rsidRPr="00AB2BBB" w:rsidRDefault="00C66A11" w:rsidP="00AB2BBB">
      <w:pPr>
        <w:pStyle w:val="ListBullet"/>
        <w:spacing w:line="360" w:lineRule="auto"/>
      </w:pPr>
      <w:r w:rsidRPr="00AB2BBB">
        <w:t>all six gravity irrigation district</w:t>
      </w:r>
      <w:r w:rsidR="00FE5676" w:rsidRPr="00AB2BBB">
        <w:t>s</w:t>
      </w:r>
      <w:r w:rsidRPr="00AB2BBB">
        <w:t xml:space="preserve"> will pay the </w:t>
      </w:r>
      <w:r w:rsidR="0024060A" w:rsidRPr="00AB2BBB">
        <w:t>same</w:t>
      </w:r>
      <w:r w:rsidRPr="00AB2BBB">
        <w:t xml:space="preserve"> </w:t>
      </w:r>
      <w:r w:rsidR="00FE5676" w:rsidRPr="00AB2BBB">
        <w:t>d</w:t>
      </w:r>
      <w:r w:rsidRPr="00AB2BBB">
        <w:t xml:space="preserve">elivery </w:t>
      </w:r>
      <w:r w:rsidR="00A2027E" w:rsidRPr="00AB2BBB">
        <w:t>fee</w:t>
      </w:r>
      <w:r w:rsidR="00C9786E" w:rsidRPr="00AB2BBB">
        <w:t xml:space="preserve">. This reflects </w:t>
      </w:r>
      <w:r w:rsidRPr="00AB2BBB">
        <w:t>reduced costs</w:t>
      </w:r>
      <w:r w:rsidR="00FE5676" w:rsidRPr="00AB2BBB">
        <w:t xml:space="preserve"> in</w:t>
      </w:r>
      <w:r w:rsidR="009B3807" w:rsidRPr="00AB2BBB">
        <w:t xml:space="preserve"> the</w:t>
      </w:r>
      <w:r w:rsidR="00FE5676" w:rsidRPr="00AB2BBB">
        <w:t xml:space="preserve"> Shepparton </w:t>
      </w:r>
      <w:r w:rsidR="008C59C7" w:rsidRPr="00AB2BBB">
        <w:t>d</w:t>
      </w:r>
      <w:r w:rsidR="00FE5676" w:rsidRPr="00AB2BBB">
        <w:t xml:space="preserve">istrict </w:t>
      </w:r>
      <w:r w:rsidRPr="00AB2BBB">
        <w:t xml:space="preserve">and </w:t>
      </w:r>
      <w:r w:rsidR="0024060A" w:rsidRPr="00AB2BBB">
        <w:t>shifting customers from the</w:t>
      </w:r>
      <w:r w:rsidRPr="00AB2BBB">
        <w:t xml:space="preserve"> Broken</w:t>
      </w:r>
      <w:r w:rsidR="0024060A" w:rsidRPr="00AB2BBB">
        <w:t xml:space="preserve"> Creek</w:t>
      </w:r>
      <w:r w:rsidRPr="00AB2BBB">
        <w:t xml:space="preserve"> system to the Shepparton district.</w:t>
      </w:r>
    </w:p>
    <w:p w14:paraId="7041775E" w14:textId="46BE68D4" w:rsidR="00600CAF" w:rsidRPr="00AB2BBB" w:rsidRDefault="00FE5676" w:rsidP="00AB2BBB">
      <w:pPr>
        <w:pStyle w:val="ListBullet"/>
        <w:spacing w:line="360" w:lineRule="auto"/>
      </w:pPr>
      <w:r w:rsidRPr="00AB2BBB">
        <w:t>a</w:t>
      </w:r>
      <w:r w:rsidR="00600CAF" w:rsidRPr="00AB2BBB">
        <w:t xml:space="preserve">ll </w:t>
      </w:r>
      <w:r w:rsidR="00A2027E" w:rsidRPr="00AB2BBB">
        <w:t>c</w:t>
      </w:r>
      <w:r w:rsidR="00C66A11" w:rsidRPr="00AB2BBB">
        <w:t xml:space="preserve">ustomers </w:t>
      </w:r>
      <w:r w:rsidR="00C9786E" w:rsidRPr="00AB2BBB">
        <w:t xml:space="preserve">will </w:t>
      </w:r>
      <w:r w:rsidR="00C66A11" w:rsidRPr="00AB2BBB">
        <w:t xml:space="preserve">pay a single </w:t>
      </w:r>
      <w:r w:rsidRPr="00AB2BBB">
        <w:t>C</w:t>
      </w:r>
      <w:r w:rsidR="00C66A11" w:rsidRPr="00AB2BBB">
        <w:t xml:space="preserve">ustomer </w:t>
      </w:r>
      <w:r w:rsidRPr="00AB2BBB">
        <w:t>F</w:t>
      </w:r>
      <w:r w:rsidR="00C66A11" w:rsidRPr="00AB2BBB">
        <w:t xml:space="preserve">ee from 2021-22, replacing service fees </w:t>
      </w:r>
      <w:r w:rsidR="00A2027E" w:rsidRPr="00AB2BBB">
        <w:t xml:space="preserve">that are currently charged </w:t>
      </w:r>
      <w:r w:rsidR="00600CAF" w:rsidRPr="00AB2BBB">
        <w:t xml:space="preserve">for each </w:t>
      </w:r>
      <w:r w:rsidR="00A2027E" w:rsidRPr="00AB2BBB">
        <w:t>service</w:t>
      </w:r>
      <w:r w:rsidR="00600CAF" w:rsidRPr="00AB2BBB">
        <w:t xml:space="preserve"> </w:t>
      </w:r>
      <w:r w:rsidRPr="00AB2BBB">
        <w:t>customers</w:t>
      </w:r>
      <w:r w:rsidR="00E35830" w:rsidRPr="00AB2BBB">
        <w:t xml:space="preserve"> receive</w:t>
      </w:r>
      <w:r w:rsidR="00A2027E" w:rsidRPr="00AB2BBB">
        <w:t xml:space="preserve">. </w:t>
      </w:r>
    </w:p>
    <w:p w14:paraId="457616F5" w14:textId="0A5D269E" w:rsidR="00C66A11" w:rsidRPr="00AB2BBB" w:rsidRDefault="00FE5676" w:rsidP="00AB2BBB">
      <w:pPr>
        <w:pStyle w:val="ListBullet"/>
        <w:spacing w:line="360" w:lineRule="auto"/>
      </w:pPr>
      <w:r w:rsidRPr="00AB2BBB">
        <w:t>a</w:t>
      </w:r>
      <w:r w:rsidR="00B15772" w:rsidRPr="00AB2BBB">
        <w:t>ll customers who hold a water share will pay a Water Register Fee</w:t>
      </w:r>
      <w:r w:rsidR="001D2AD0">
        <w:t xml:space="preserve"> from 2021-22</w:t>
      </w:r>
      <w:r w:rsidR="00B15772" w:rsidRPr="00AB2BBB">
        <w:t>. Currently</w:t>
      </w:r>
      <w:r w:rsidR="0024060A" w:rsidRPr="00AB2BBB">
        <w:t xml:space="preserve"> </w:t>
      </w:r>
      <w:r w:rsidR="00E35830" w:rsidRPr="00AB2BBB">
        <w:t>Goulburn</w:t>
      </w:r>
      <w:r w:rsidR="00AB2BBB">
        <w:noBreakHyphen/>
      </w:r>
      <w:r w:rsidR="00E35830" w:rsidRPr="00AB2BBB">
        <w:t>Murray</w:t>
      </w:r>
      <w:r w:rsidR="00AB2BBB">
        <w:t> </w:t>
      </w:r>
      <w:r w:rsidR="00E35830" w:rsidRPr="00AB2BBB">
        <w:t xml:space="preserve">Water recovers Water Register charges through the service fees that all customers pay. </w:t>
      </w:r>
    </w:p>
    <w:p w14:paraId="797846A8" w14:textId="4D896D99" w:rsidR="00C66A11" w:rsidRPr="00AB2BBB" w:rsidRDefault="00FE5676" w:rsidP="00AB2BBB">
      <w:pPr>
        <w:pStyle w:val="ListBullet"/>
        <w:spacing w:line="360" w:lineRule="auto"/>
      </w:pPr>
      <w:r w:rsidRPr="00AB2BBB">
        <w:t>l</w:t>
      </w:r>
      <w:r w:rsidR="00A2027E" w:rsidRPr="00AB2BBB">
        <w:t xml:space="preserve">icence holders on the </w:t>
      </w:r>
      <w:r w:rsidR="00600CAF" w:rsidRPr="00AB2BBB">
        <w:t xml:space="preserve">unregulated tributaries of the </w:t>
      </w:r>
      <w:r w:rsidR="00A2027E" w:rsidRPr="00AB2BBB">
        <w:t xml:space="preserve">Loddon </w:t>
      </w:r>
      <w:r w:rsidR="00600CAF" w:rsidRPr="00AB2BBB">
        <w:t>River</w:t>
      </w:r>
      <w:r w:rsidR="00A2027E" w:rsidRPr="00AB2BBB">
        <w:t xml:space="preserve"> (approximately 25 customers) will </w:t>
      </w:r>
      <w:r w:rsidR="00600CAF" w:rsidRPr="00AB2BBB">
        <w:t xml:space="preserve">pay </w:t>
      </w:r>
      <w:r w:rsidR="00B15772" w:rsidRPr="00AB2BBB">
        <w:t>the</w:t>
      </w:r>
      <w:r w:rsidR="00600CAF" w:rsidRPr="00AB2BBB">
        <w:t xml:space="preserve"> Resource Management</w:t>
      </w:r>
      <w:r w:rsidRPr="00AB2BBB">
        <w:t xml:space="preserve"> F</w:t>
      </w:r>
      <w:r w:rsidR="00600CAF" w:rsidRPr="00AB2BBB">
        <w:t>ee</w:t>
      </w:r>
      <w:r w:rsidR="00D92D95">
        <w:t xml:space="preserve"> by 2023</w:t>
      </w:r>
      <w:r w:rsidR="00397B4B" w:rsidRPr="00AB2BBB">
        <w:t>.</w:t>
      </w:r>
      <w:r w:rsidR="00B15772" w:rsidRPr="00AB2BBB">
        <w:t xml:space="preserve"> </w:t>
      </w:r>
      <w:r w:rsidR="008C59C7" w:rsidRPr="00AB2BBB">
        <w:t xml:space="preserve">This approach means that all customers who are able to </w:t>
      </w:r>
      <w:r w:rsidR="00397B4B" w:rsidRPr="00AB2BBB">
        <w:t xml:space="preserve">trade water </w:t>
      </w:r>
      <w:r w:rsidR="00AB2BBB" w:rsidRPr="00AB2BBB">
        <w:t>under standard</w:t>
      </w:r>
      <w:r w:rsidR="00397B4B" w:rsidRPr="00AB2BBB">
        <w:t xml:space="preserve"> rule</w:t>
      </w:r>
      <w:r w:rsidR="008C59C7" w:rsidRPr="00AB2BBB">
        <w:t>s will now pay this fee</w:t>
      </w:r>
      <w:r w:rsidR="00397B4B" w:rsidRPr="00AB2BBB">
        <w:t xml:space="preserve">. </w:t>
      </w:r>
      <w:r w:rsidR="00B15772" w:rsidRPr="00AB2BBB">
        <w:t xml:space="preserve"> </w:t>
      </w:r>
    </w:p>
    <w:p w14:paraId="0146875A" w14:textId="637E0BBE" w:rsidR="00FE5676" w:rsidRPr="00AB2BBB" w:rsidRDefault="00C66A11" w:rsidP="00AB2BBB">
      <w:pPr>
        <w:pStyle w:val="ListBullet"/>
        <w:spacing w:line="360" w:lineRule="auto"/>
      </w:pPr>
      <w:r w:rsidRPr="00AB2BBB">
        <w:t>Miscellaneous Fees and Charges</w:t>
      </w:r>
      <w:r w:rsidR="00FE5676" w:rsidRPr="00AB2BBB">
        <w:t xml:space="preserve"> will be update</w:t>
      </w:r>
      <w:r w:rsidR="00C9786E" w:rsidRPr="00AB2BBB">
        <w:t>d</w:t>
      </w:r>
      <w:r w:rsidR="00FE5676" w:rsidRPr="00AB2BBB">
        <w:t xml:space="preserve"> to better reflect underlying costs.  </w:t>
      </w:r>
    </w:p>
    <w:p w14:paraId="42573DD6" w14:textId="77777777" w:rsidR="00855DF6" w:rsidRDefault="00855DF6">
      <w:pPr>
        <w:spacing w:before="0" w:line="259" w:lineRule="auto"/>
        <w:rPr>
          <w:rFonts w:ascii="Tahoma" w:eastAsiaTheme="majorEastAsia" w:hAnsi="Tahoma" w:cstheme="majorBidi"/>
          <w:b/>
          <w:color w:val="236192" w:themeColor="accent1"/>
          <w:sz w:val="26"/>
          <w:szCs w:val="26"/>
        </w:rPr>
      </w:pPr>
      <w:r>
        <w:br w:type="page"/>
      </w:r>
    </w:p>
    <w:p w14:paraId="68DDC040" w14:textId="3E02B205" w:rsidR="00437B75" w:rsidRPr="008C59C7" w:rsidRDefault="00CE6383" w:rsidP="00437B75">
      <w:pPr>
        <w:pStyle w:val="Heading2"/>
      </w:pPr>
      <w:r w:rsidRPr="00CE6383">
        <w:rPr>
          <w:noProof/>
          <w:color w:val="75787B" w:themeColor="background2"/>
        </w:rPr>
        <w:drawing>
          <wp:anchor distT="0" distB="0" distL="114300" distR="114300" simplePos="0" relativeHeight="251665408" behindDoc="0" locked="0" layoutInCell="1" allowOverlap="1" wp14:anchorId="7BBD094A" wp14:editId="65A409AD">
            <wp:simplePos x="0" y="0"/>
            <wp:positionH relativeFrom="margin">
              <wp:posOffset>5258494</wp:posOffset>
            </wp:positionH>
            <wp:positionV relativeFrom="paragraph">
              <wp:posOffset>0</wp:posOffset>
            </wp:positionV>
            <wp:extent cx="988695" cy="988695"/>
            <wp:effectExtent l="0" t="0" r="0" b="0"/>
            <wp:wrapThrough wrapText="bothSides">
              <wp:wrapPolygon edited="0">
                <wp:start x="3746" y="3746"/>
                <wp:lineTo x="1665" y="5410"/>
                <wp:lineTo x="1249" y="14150"/>
                <wp:lineTo x="2497" y="16647"/>
                <wp:lineTo x="3746" y="17480"/>
                <wp:lineTo x="8740" y="17480"/>
                <wp:lineTo x="13318" y="16647"/>
                <wp:lineTo x="20393" y="13318"/>
                <wp:lineTo x="20393" y="8324"/>
                <wp:lineTo x="16231" y="5827"/>
                <wp:lineTo x="8740" y="3746"/>
                <wp:lineTo x="3746" y="3746"/>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7B75" w:rsidRPr="008C59C7">
        <w:t>What are the price outcomes for customers?</w:t>
      </w:r>
      <w:r w:rsidR="00855DF6" w:rsidRPr="00855DF6">
        <w:rPr>
          <w:noProof/>
          <w:lang w:eastAsia="en-AU"/>
        </w:rPr>
        <w:t xml:space="preserve"> </w:t>
      </w:r>
    </w:p>
    <w:p w14:paraId="22A1C1C8" w14:textId="39F9C4E1" w:rsidR="00437B75" w:rsidRPr="008C59C7" w:rsidRDefault="00437B75" w:rsidP="008C59C7">
      <w:pPr>
        <w:pStyle w:val="Heading3"/>
      </w:pPr>
      <w:r w:rsidRPr="008C59C7">
        <w:t>Some prices are proposed to change from 1 July 2020</w:t>
      </w:r>
    </w:p>
    <w:p w14:paraId="2AB5EBE6" w14:textId="0E3285E1" w:rsidR="00C9786E" w:rsidRPr="008C59C7" w:rsidRDefault="00437B75" w:rsidP="00437B75">
      <w:pPr>
        <w:pStyle w:val="ListParagraph"/>
        <w:numPr>
          <w:ilvl w:val="0"/>
          <w:numId w:val="36"/>
        </w:numPr>
      </w:pPr>
      <w:r w:rsidRPr="008C59C7">
        <w:t xml:space="preserve">For most gravity </w:t>
      </w:r>
      <w:r w:rsidR="00C9786E" w:rsidRPr="008C59C7">
        <w:t xml:space="preserve">irrigation </w:t>
      </w:r>
      <w:r w:rsidRPr="008C59C7">
        <w:t>customers</w:t>
      </w:r>
      <w:r w:rsidR="00C9786E" w:rsidRPr="008C59C7">
        <w:t>:</w:t>
      </w:r>
      <w:r w:rsidRPr="008C59C7">
        <w:t xml:space="preserve"> </w:t>
      </w:r>
    </w:p>
    <w:p w14:paraId="2862F881" w14:textId="4BD8D730" w:rsidR="00C9786E" w:rsidRPr="008C59C7" w:rsidRDefault="00437B75" w:rsidP="00B919F3">
      <w:pPr>
        <w:pStyle w:val="ListParagraph"/>
        <w:numPr>
          <w:ilvl w:val="0"/>
          <w:numId w:val="0"/>
        </w:numPr>
        <w:ind w:left="1440"/>
      </w:pPr>
      <w:r w:rsidRPr="008C59C7">
        <w:t xml:space="preserve">the Infrastructure Access Fee will decrease by </w:t>
      </w:r>
      <w:r w:rsidR="00C9786E" w:rsidRPr="008C59C7">
        <w:t xml:space="preserve">at least </w:t>
      </w:r>
      <w:r w:rsidRPr="008C59C7">
        <w:t>17</w:t>
      </w:r>
      <w:r w:rsidR="008F0C42">
        <w:t> </w:t>
      </w:r>
      <w:r w:rsidRPr="008C59C7">
        <w:t>per cent</w:t>
      </w:r>
    </w:p>
    <w:p w14:paraId="6B052A1B" w14:textId="308DF59B" w:rsidR="00437B75" w:rsidRPr="008C59C7" w:rsidRDefault="00C9786E" w:rsidP="00C9786E">
      <w:pPr>
        <w:pStyle w:val="ListParagraph"/>
        <w:numPr>
          <w:ilvl w:val="1"/>
          <w:numId w:val="36"/>
        </w:numPr>
      </w:pPr>
      <w:r w:rsidRPr="008C59C7">
        <w:t>t</w:t>
      </w:r>
      <w:r w:rsidR="00437B75" w:rsidRPr="008C59C7">
        <w:t xml:space="preserve">he Infrastructure Usage Fee will decrease by </w:t>
      </w:r>
      <w:r w:rsidRPr="008C59C7">
        <w:t xml:space="preserve">at least </w:t>
      </w:r>
      <w:r w:rsidR="00437B75" w:rsidRPr="008C59C7">
        <w:t>4 per cent</w:t>
      </w:r>
      <w:r w:rsidR="008F0C42">
        <w:t>.</w:t>
      </w:r>
    </w:p>
    <w:p w14:paraId="7D1ED04C" w14:textId="136386B0" w:rsidR="00437B75" w:rsidRPr="008C59C7" w:rsidRDefault="00437B75" w:rsidP="00437B75">
      <w:pPr>
        <w:pStyle w:val="ListParagraph"/>
        <w:numPr>
          <w:ilvl w:val="0"/>
          <w:numId w:val="36"/>
        </w:numPr>
      </w:pPr>
      <w:r w:rsidRPr="008C59C7">
        <w:t>The storage fee for the Goulburn system will reduce from $11/ML to $9.62/ML.</w:t>
      </w:r>
    </w:p>
    <w:p w14:paraId="402D4A6A" w14:textId="25B34361" w:rsidR="00437B75" w:rsidRPr="008C59C7" w:rsidRDefault="00437B75" w:rsidP="00437B75">
      <w:pPr>
        <w:pStyle w:val="ListParagraph"/>
        <w:numPr>
          <w:ilvl w:val="0"/>
          <w:numId w:val="36"/>
        </w:numPr>
      </w:pPr>
      <w:r w:rsidRPr="008C59C7">
        <w:t>The Storage fee for the Murray system will reduce from $13.86/ML to $10.95/ML.</w:t>
      </w:r>
    </w:p>
    <w:p w14:paraId="7CE34468" w14:textId="178B7C0E" w:rsidR="00C66A11" w:rsidRPr="006C5246" w:rsidRDefault="00437B75" w:rsidP="008C59C7">
      <w:pPr>
        <w:pStyle w:val="Heading3"/>
      </w:pPr>
      <w:r w:rsidRPr="006C5246">
        <w:t>Some p</w:t>
      </w:r>
      <w:r w:rsidR="00FE5676" w:rsidRPr="006C5246">
        <w:t xml:space="preserve">rices </w:t>
      </w:r>
      <w:r w:rsidR="00AB2BBB">
        <w:t>are proposed to</w:t>
      </w:r>
      <w:r w:rsidR="00FE5676" w:rsidRPr="006C5246">
        <w:t xml:space="preserve"> transition</w:t>
      </w:r>
      <w:r w:rsidR="00C66A11" w:rsidRPr="006C5246">
        <w:t xml:space="preserve"> over four years</w:t>
      </w:r>
    </w:p>
    <w:p w14:paraId="14AB4D0A" w14:textId="024448C8" w:rsidR="00C9786E" w:rsidRPr="006C5246" w:rsidRDefault="00C9786E" w:rsidP="00272DE7">
      <w:pPr>
        <w:numPr>
          <w:ilvl w:val="0"/>
          <w:numId w:val="36"/>
        </w:numPr>
        <w:contextualSpacing/>
      </w:pPr>
      <w:r w:rsidRPr="006C5246">
        <w:t>For pumped irrigation customers</w:t>
      </w:r>
      <w:r w:rsidR="00AB2BBB">
        <w:t>:</w:t>
      </w:r>
    </w:p>
    <w:p w14:paraId="596D3CCD" w14:textId="38352A26" w:rsidR="00557787" w:rsidRPr="006C5246" w:rsidRDefault="00AB2BBB" w:rsidP="00C9786E">
      <w:pPr>
        <w:numPr>
          <w:ilvl w:val="1"/>
          <w:numId w:val="36"/>
        </w:numPr>
        <w:contextualSpacing/>
      </w:pPr>
      <w:r>
        <w:t>t</w:t>
      </w:r>
      <w:r w:rsidR="00557787" w:rsidRPr="006C5246">
        <w:t>he Infrastructure Access Fee will decrease by 8 per cent on average each year</w:t>
      </w:r>
    </w:p>
    <w:p w14:paraId="22FAF5A6" w14:textId="5BBB5C1F" w:rsidR="00C9786E" w:rsidRPr="006C5246" w:rsidRDefault="00C9786E" w:rsidP="00C9786E">
      <w:pPr>
        <w:numPr>
          <w:ilvl w:val="1"/>
          <w:numId w:val="36"/>
        </w:numPr>
        <w:contextualSpacing/>
      </w:pPr>
      <w:r w:rsidRPr="006C5246">
        <w:t xml:space="preserve"> the Infrastructure Usage fee will increase by about 12 per cent on average</w:t>
      </w:r>
      <w:r w:rsidR="00557787" w:rsidRPr="006C5246">
        <w:t xml:space="preserve"> each year</w:t>
      </w:r>
      <w:r w:rsidRPr="006C5246">
        <w:t xml:space="preserve">. </w:t>
      </w:r>
    </w:p>
    <w:p w14:paraId="314BCE06" w14:textId="28564F55" w:rsidR="00397B4B" w:rsidRPr="006C5246" w:rsidRDefault="00397B4B" w:rsidP="00272DE7">
      <w:pPr>
        <w:numPr>
          <w:ilvl w:val="0"/>
          <w:numId w:val="36"/>
        </w:numPr>
        <w:contextualSpacing/>
      </w:pPr>
      <w:r w:rsidRPr="006C5246">
        <w:t>Service point fees for local read and remote read connections will be amalgamated by 2023</w:t>
      </w:r>
      <w:r w:rsidR="003D09BF" w:rsidRPr="006C5246">
        <w:t>. This means service point fees for remote read service points will decrease by about 1</w:t>
      </w:r>
      <w:r w:rsidR="000162E0" w:rsidRPr="006C5246">
        <w:t>6</w:t>
      </w:r>
      <w:r w:rsidR="003D09BF" w:rsidRPr="006C5246">
        <w:t xml:space="preserve"> per cent</w:t>
      </w:r>
      <w:r w:rsidR="000162E0" w:rsidRPr="006C5246">
        <w:t xml:space="preserve"> on average each year</w:t>
      </w:r>
      <w:r w:rsidR="003D09BF" w:rsidRPr="006C5246">
        <w:t xml:space="preserve">. Service point fees for </w:t>
      </w:r>
      <w:r w:rsidR="000162E0" w:rsidRPr="006C5246">
        <w:t>local read service points will increase by about 5 per cent on average each year.</w:t>
      </w:r>
    </w:p>
    <w:p w14:paraId="7ADFF3AE" w14:textId="106F6FE1" w:rsidR="000162E0" w:rsidRPr="006C5246" w:rsidRDefault="000162E0" w:rsidP="00397B4B">
      <w:pPr>
        <w:pStyle w:val="ListParagraph"/>
        <w:numPr>
          <w:ilvl w:val="0"/>
          <w:numId w:val="36"/>
        </w:numPr>
      </w:pPr>
      <w:r w:rsidRPr="006C5246">
        <w:t xml:space="preserve">Service point fee for the remote operate service points will remain </w:t>
      </w:r>
      <w:r w:rsidR="00D92D95">
        <w:t>distinct</w:t>
      </w:r>
      <w:r w:rsidRPr="006C5246">
        <w:t xml:space="preserve"> from other service point fees, decreasing by about 2 per cent on average each year. </w:t>
      </w:r>
    </w:p>
    <w:p w14:paraId="4AC80287" w14:textId="0A7A6603" w:rsidR="003D09BF" w:rsidRPr="006C5246" w:rsidRDefault="003D09BF" w:rsidP="00397B4B">
      <w:pPr>
        <w:pStyle w:val="ListParagraph"/>
        <w:numPr>
          <w:ilvl w:val="0"/>
          <w:numId w:val="36"/>
        </w:numPr>
      </w:pPr>
      <w:r w:rsidRPr="006C5246">
        <w:t>Service point fees in pumped irrigation districts will be applied on all service points. Currently Goulburn Murray Water only applie</w:t>
      </w:r>
      <w:r w:rsidR="00557787" w:rsidRPr="006C5246">
        <w:t>s</w:t>
      </w:r>
      <w:r w:rsidRPr="006C5246">
        <w:t xml:space="preserve"> this fee to additional service points. </w:t>
      </w:r>
    </w:p>
    <w:p w14:paraId="270D35C0" w14:textId="7166A1A4" w:rsidR="00600CAF" w:rsidRDefault="00600CAF" w:rsidP="00600CAF">
      <w:pPr>
        <w:pStyle w:val="ListBullet"/>
        <w:numPr>
          <w:ilvl w:val="0"/>
          <w:numId w:val="0"/>
        </w:numPr>
      </w:pPr>
      <w:r w:rsidRPr="006C5246">
        <w:t xml:space="preserve">Pumped irrigators in the Torrumbarry region currently receive a </w:t>
      </w:r>
      <w:r w:rsidR="000B7B8C">
        <w:t>Natural</w:t>
      </w:r>
      <w:r w:rsidRPr="006C5246">
        <w:t xml:space="preserve"> Carrier Rebate. Goulburn</w:t>
      </w:r>
      <w:r w:rsidR="00AB2BBB">
        <w:noBreakHyphen/>
      </w:r>
      <w:r w:rsidRPr="006C5246">
        <w:t xml:space="preserve">Murray Water proposes to </w:t>
      </w:r>
      <w:r w:rsidR="00AB2BBB">
        <w:t>remove</w:t>
      </w:r>
      <w:r w:rsidRPr="006C5246">
        <w:t xml:space="preserve"> this </w:t>
      </w:r>
      <w:r w:rsidR="00AB2BBB">
        <w:t xml:space="preserve">rebate </w:t>
      </w:r>
      <w:r w:rsidRPr="006C5246">
        <w:t>gradually over three years.</w:t>
      </w:r>
    </w:p>
    <w:p w14:paraId="17F39E94" w14:textId="1A318FC0" w:rsidR="00CE6383" w:rsidRPr="00C66A11" w:rsidRDefault="00986BF2" w:rsidP="00600CAF">
      <w:pPr>
        <w:pStyle w:val="ListBullet"/>
        <w:numPr>
          <w:ilvl w:val="0"/>
          <w:numId w:val="0"/>
        </w:numPr>
      </w:pPr>
      <w:r>
        <w:rPr>
          <w:noProof/>
          <w:lang w:eastAsia="en-AU"/>
        </w:rPr>
        <w:drawing>
          <wp:anchor distT="0" distB="0" distL="114300" distR="114300" simplePos="0" relativeHeight="251664384" behindDoc="1" locked="0" layoutInCell="1" allowOverlap="1" wp14:anchorId="6B40AAB5" wp14:editId="0178B362">
            <wp:simplePos x="0" y="0"/>
            <wp:positionH relativeFrom="margin">
              <wp:posOffset>5456555</wp:posOffset>
            </wp:positionH>
            <wp:positionV relativeFrom="paragraph">
              <wp:posOffset>189865</wp:posOffset>
            </wp:positionV>
            <wp:extent cx="786765" cy="786765"/>
            <wp:effectExtent l="0" t="0" r="0" b="0"/>
            <wp:wrapThrough wrapText="bothSides">
              <wp:wrapPolygon edited="0">
                <wp:start x="7322" y="523"/>
                <wp:lineTo x="4707" y="2615"/>
                <wp:lineTo x="523" y="7845"/>
                <wp:lineTo x="523" y="12029"/>
                <wp:lineTo x="3661" y="18305"/>
                <wp:lineTo x="7322" y="20397"/>
                <wp:lineTo x="13598" y="20397"/>
                <wp:lineTo x="17259" y="18305"/>
                <wp:lineTo x="20397" y="11506"/>
                <wp:lineTo x="20397" y="7845"/>
                <wp:lineTo x="16736" y="3138"/>
                <wp:lineTo x="13598" y="523"/>
                <wp:lineTo x="7322" y="523"/>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6765" cy="786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A2B92F" w14:textId="19562E0E" w:rsidR="00D857A8" w:rsidRPr="00EF686D" w:rsidRDefault="00EF686D" w:rsidP="00D857A8">
      <w:pPr>
        <w:rPr>
          <w:rFonts w:ascii="Tahoma" w:eastAsiaTheme="majorEastAsia" w:hAnsi="Tahoma" w:cstheme="majorBidi"/>
          <w:b/>
          <w:color w:val="236192" w:themeColor="accent1"/>
          <w:sz w:val="26"/>
          <w:szCs w:val="26"/>
        </w:rPr>
      </w:pPr>
      <w:r w:rsidRPr="00EF686D">
        <w:rPr>
          <w:rFonts w:ascii="Tahoma" w:eastAsiaTheme="majorEastAsia" w:hAnsi="Tahoma" w:cstheme="majorBidi"/>
          <w:b/>
          <w:color w:val="236192" w:themeColor="accent1"/>
          <w:sz w:val="26"/>
          <w:szCs w:val="26"/>
        </w:rPr>
        <w:t xml:space="preserve">What are the </w:t>
      </w:r>
      <w:r w:rsidR="00557787">
        <w:rPr>
          <w:rFonts w:ascii="Tahoma" w:eastAsiaTheme="majorEastAsia" w:hAnsi="Tahoma" w:cstheme="majorBidi"/>
          <w:b/>
          <w:color w:val="236192" w:themeColor="accent1"/>
          <w:sz w:val="26"/>
          <w:szCs w:val="26"/>
        </w:rPr>
        <w:t>service</w:t>
      </w:r>
      <w:r w:rsidR="00152B60">
        <w:rPr>
          <w:rFonts w:ascii="Tahoma" w:eastAsiaTheme="majorEastAsia" w:hAnsi="Tahoma" w:cstheme="majorBidi"/>
          <w:b/>
          <w:color w:val="236192" w:themeColor="accent1"/>
          <w:sz w:val="26"/>
          <w:szCs w:val="26"/>
        </w:rPr>
        <w:t xml:space="preserve"> </w:t>
      </w:r>
      <w:r w:rsidRPr="00EF686D">
        <w:rPr>
          <w:rFonts w:ascii="Tahoma" w:eastAsiaTheme="majorEastAsia" w:hAnsi="Tahoma" w:cstheme="majorBidi"/>
          <w:b/>
          <w:color w:val="236192" w:themeColor="accent1"/>
          <w:sz w:val="26"/>
          <w:szCs w:val="26"/>
        </w:rPr>
        <w:t>outcomes for customers?</w:t>
      </w:r>
      <w:r w:rsidR="00CE6383" w:rsidRPr="00CE6383">
        <w:rPr>
          <w:noProof/>
          <w:lang w:eastAsia="en-AU"/>
        </w:rPr>
        <w:t xml:space="preserve"> </w:t>
      </w:r>
    </w:p>
    <w:p w14:paraId="1EDC787F" w14:textId="630786E7" w:rsidR="00986A98" w:rsidRPr="006C5246" w:rsidRDefault="00830FC7" w:rsidP="001018A6">
      <w:r w:rsidRPr="006C5246">
        <w:t>Goulburn</w:t>
      </w:r>
      <w:r w:rsidR="00AB2BBB">
        <w:t>-</w:t>
      </w:r>
      <w:r w:rsidRPr="006C5246">
        <w:t xml:space="preserve">Murray Water </w:t>
      </w:r>
      <w:r w:rsidR="00D857A8" w:rsidRPr="006C5246">
        <w:t>propose</w:t>
      </w:r>
      <w:r w:rsidR="00986A98" w:rsidRPr="006C5246">
        <w:t>s new and revised standards for licensing, customer service, water delivery and complaints management.</w:t>
      </w:r>
      <w:r w:rsidR="00D857A8" w:rsidRPr="006C5246">
        <w:t xml:space="preserve"> </w:t>
      </w:r>
      <w:r w:rsidR="001018A6" w:rsidRPr="006C5246">
        <w:t xml:space="preserve">Every six months, it will deliver a report to customers on how it is performing against these standards. </w:t>
      </w:r>
      <w:bookmarkStart w:id="1" w:name="_GoBack"/>
      <w:bookmarkEnd w:id="1"/>
    </w:p>
    <w:p w14:paraId="7F48BEDF" w14:textId="4D52C5A6" w:rsidR="00855DF6" w:rsidRDefault="00855DF6">
      <w:pPr>
        <w:spacing w:before="0" w:line="259" w:lineRule="auto"/>
        <w:rPr>
          <w:rFonts w:ascii="Tahoma" w:eastAsiaTheme="majorEastAsia" w:hAnsi="Tahoma" w:cstheme="majorBidi"/>
          <w:b/>
          <w:color w:val="236192" w:themeColor="accent1"/>
          <w:sz w:val="26"/>
          <w:szCs w:val="26"/>
        </w:rPr>
      </w:pPr>
      <w:r>
        <w:br w:type="page"/>
      </w:r>
    </w:p>
    <w:p w14:paraId="73EF4FC4" w14:textId="24841257" w:rsidR="00D857A8" w:rsidRDefault="00CE6383" w:rsidP="00AB2BBB">
      <w:pPr>
        <w:pStyle w:val="Heading2"/>
      </w:pPr>
      <w:r w:rsidRPr="00CE6383">
        <w:drawing>
          <wp:anchor distT="0" distB="0" distL="114300" distR="114300" simplePos="0" relativeHeight="251663360" behindDoc="0" locked="0" layoutInCell="1" allowOverlap="1" wp14:anchorId="1E56E679" wp14:editId="4705F0D6">
            <wp:simplePos x="0" y="0"/>
            <wp:positionH relativeFrom="column">
              <wp:posOffset>5540360</wp:posOffset>
            </wp:positionH>
            <wp:positionV relativeFrom="paragraph">
              <wp:posOffset>-226666</wp:posOffset>
            </wp:positionV>
            <wp:extent cx="696396" cy="701749"/>
            <wp:effectExtent l="0" t="0" r="889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96396" cy="701749"/>
                    </a:xfrm>
                    <a:prstGeom prst="rect">
                      <a:avLst/>
                    </a:prstGeom>
                  </pic:spPr>
                </pic:pic>
              </a:graphicData>
            </a:graphic>
            <wp14:sizeRelH relativeFrom="margin">
              <wp14:pctWidth>0</wp14:pctWidth>
            </wp14:sizeRelH>
            <wp14:sizeRelV relativeFrom="margin">
              <wp14:pctHeight>0</wp14:pctHeight>
            </wp14:sizeRelV>
          </wp:anchor>
        </w:drawing>
      </w:r>
      <w:r w:rsidR="00D857A8">
        <w:t>What are the major works that will go on around you?</w:t>
      </w:r>
      <w:r w:rsidRPr="00CE6383">
        <w:rPr>
          <w:noProof/>
        </w:rPr>
        <w:t xml:space="preserve"> </w:t>
      </w:r>
    </w:p>
    <w:p w14:paraId="3ED41A93" w14:textId="77777777" w:rsidR="00D857A8" w:rsidRPr="00E64116" w:rsidRDefault="00D857A8" w:rsidP="00AB2BBB">
      <w:pPr>
        <w:pStyle w:val="Heading2"/>
        <w:spacing w:before="0"/>
        <w:rPr>
          <w:rFonts w:asciiTheme="majorHAnsi" w:hAnsiTheme="majorHAnsi"/>
          <w:color w:val="000000" w:themeColor="text1"/>
          <w:sz w:val="22"/>
          <w:szCs w:val="24"/>
        </w:rPr>
      </w:pPr>
      <w:r w:rsidRPr="00E64116">
        <w:rPr>
          <w:rFonts w:asciiTheme="majorHAnsi" w:hAnsiTheme="majorHAnsi"/>
          <w:color w:val="000000" w:themeColor="text1"/>
          <w:sz w:val="22"/>
          <w:szCs w:val="24"/>
        </w:rPr>
        <w:t xml:space="preserve"> ($ million before inflation)</w:t>
      </w:r>
    </w:p>
    <w:tbl>
      <w:tblPr>
        <w:tblStyle w:val="TableGrid"/>
        <w:tblW w:w="9867" w:type="dxa"/>
        <w:tblLook w:val="04A0" w:firstRow="1" w:lastRow="0" w:firstColumn="1" w:lastColumn="0" w:noHBand="0" w:noVBand="1"/>
      </w:tblPr>
      <w:tblGrid>
        <w:gridCol w:w="1701"/>
        <w:gridCol w:w="5954"/>
        <w:gridCol w:w="2212"/>
      </w:tblGrid>
      <w:tr w:rsidR="00D857A8" w:rsidRPr="002D13ED" w14:paraId="525AE0E6" w14:textId="77777777" w:rsidTr="00AB2BBB">
        <w:trPr>
          <w:cnfStyle w:val="100000000000" w:firstRow="1" w:lastRow="0" w:firstColumn="0" w:lastColumn="0" w:oddVBand="0" w:evenVBand="0" w:oddHBand="0" w:evenHBand="0" w:firstRowFirstColumn="0" w:firstRowLastColumn="0" w:lastRowFirstColumn="0" w:lastRowLastColumn="0"/>
          <w:tblHeader/>
        </w:trPr>
        <w:tc>
          <w:tcPr>
            <w:tcW w:w="1701" w:type="dxa"/>
          </w:tcPr>
          <w:p w14:paraId="6A0C435B" w14:textId="77777777" w:rsidR="00D857A8" w:rsidRPr="002D13ED" w:rsidRDefault="00D857A8" w:rsidP="004069A5">
            <w:r w:rsidRPr="002D13ED">
              <w:t>Project</w:t>
            </w:r>
          </w:p>
        </w:tc>
        <w:tc>
          <w:tcPr>
            <w:tcW w:w="5954" w:type="dxa"/>
          </w:tcPr>
          <w:p w14:paraId="7380DE9C" w14:textId="77777777" w:rsidR="00D857A8" w:rsidRPr="002D13ED" w:rsidRDefault="00D857A8" w:rsidP="004069A5">
            <w:r w:rsidRPr="002D13ED">
              <w:t>Detail</w:t>
            </w:r>
          </w:p>
        </w:tc>
        <w:tc>
          <w:tcPr>
            <w:tcW w:w="2212" w:type="dxa"/>
          </w:tcPr>
          <w:p w14:paraId="31E8FDBC" w14:textId="77777777" w:rsidR="00D857A8" w:rsidRPr="002D13ED" w:rsidRDefault="00D857A8" w:rsidP="004069A5">
            <w:pPr>
              <w:jc w:val="center"/>
            </w:pPr>
            <w:r w:rsidRPr="002D13ED">
              <w:t>Total</w:t>
            </w:r>
          </w:p>
        </w:tc>
      </w:tr>
      <w:tr w:rsidR="00B95049" w:rsidRPr="002D13ED" w14:paraId="4548C72A" w14:textId="77777777" w:rsidTr="00AB2BBB">
        <w:trPr>
          <w:cnfStyle w:val="000000100000" w:firstRow="0" w:lastRow="0" w:firstColumn="0" w:lastColumn="0" w:oddVBand="0" w:evenVBand="0" w:oddHBand="1" w:evenHBand="0" w:firstRowFirstColumn="0" w:firstRowLastColumn="0" w:lastRowFirstColumn="0" w:lastRowLastColumn="0"/>
        </w:trPr>
        <w:tc>
          <w:tcPr>
            <w:tcW w:w="1701" w:type="dxa"/>
          </w:tcPr>
          <w:p w14:paraId="0372BBF6" w14:textId="74DFDCB8" w:rsidR="00B95049" w:rsidRPr="006C5246" w:rsidRDefault="00B95049" w:rsidP="00AB2BBB">
            <w:pPr>
              <w:spacing w:line="360" w:lineRule="auto"/>
            </w:pPr>
            <w:r w:rsidRPr="006C5246">
              <w:t xml:space="preserve">Mitiamo pipeline </w:t>
            </w:r>
          </w:p>
        </w:tc>
        <w:tc>
          <w:tcPr>
            <w:tcW w:w="5954" w:type="dxa"/>
          </w:tcPr>
          <w:p w14:paraId="63A18F20" w14:textId="2AD0CC7D" w:rsidR="00B95049" w:rsidRPr="006C5246" w:rsidRDefault="00B95049" w:rsidP="00AB2BBB">
            <w:pPr>
              <w:pStyle w:val="TableBody"/>
              <w:spacing w:after="160" w:line="360" w:lineRule="auto"/>
            </w:pPr>
            <w:r w:rsidRPr="006C5246">
              <w:t xml:space="preserve">This project will replace an existing open Stock and Domestic channel network near the townships of Mitiamo, Tennyson and Dingee. The pipeline will connect more than 180 customers to a new pipeline and pumping station. </w:t>
            </w:r>
          </w:p>
        </w:tc>
        <w:tc>
          <w:tcPr>
            <w:tcW w:w="2212" w:type="dxa"/>
          </w:tcPr>
          <w:p w14:paraId="47FCB8C2" w14:textId="1C0EEEE2" w:rsidR="00B95049" w:rsidRPr="006C5246" w:rsidRDefault="00B95049" w:rsidP="00AB2BBB">
            <w:pPr>
              <w:pStyle w:val="TableBold"/>
              <w:spacing w:after="160" w:line="360" w:lineRule="auto"/>
              <w:jc w:val="center"/>
            </w:pPr>
            <w:r w:rsidRPr="006C5246">
              <w:t xml:space="preserve">4.4 (with government contribution of the remaining funding) </w:t>
            </w:r>
          </w:p>
        </w:tc>
      </w:tr>
      <w:tr w:rsidR="00B95049" w:rsidRPr="002D13ED" w14:paraId="3E3923D9" w14:textId="77777777" w:rsidTr="00AB2BBB">
        <w:trPr>
          <w:cnfStyle w:val="000000010000" w:firstRow="0" w:lastRow="0" w:firstColumn="0" w:lastColumn="0" w:oddVBand="0" w:evenVBand="0" w:oddHBand="0" w:evenHBand="1" w:firstRowFirstColumn="0" w:firstRowLastColumn="0" w:lastRowFirstColumn="0" w:lastRowLastColumn="0"/>
        </w:trPr>
        <w:tc>
          <w:tcPr>
            <w:tcW w:w="1701" w:type="dxa"/>
          </w:tcPr>
          <w:p w14:paraId="140D6430" w14:textId="08273AB8" w:rsidR="00B95049" w:rsidRPr="006C5246" w:rsidRDefault="00B95049" w:rsidP="00AB2BBB">
            <w:pPr>
              <w:spacing w:line="360" w:lineRule="auto"/>
            </w:pPr>
            <w:r w:rsidRPr="006C5246">
              <w:t xml:space="preserve">Cohuna Weir Fishladder </w:t>
            </w:r>
          </w:p>
        </w:tc>
        <w:tc>
          <w:tcPr>
            <w:tcW w:w="5954" w:type="dxa"/>
          </w:tcPr>
          <w:p w14:paraId="60C93551" w14:textId="17BF9C50" w:rsidR="00B95049" w:rsidRPr="006C5246" w:rsidRDefault="00B95049" w:rsidP="00AB2BBB">
            <w:pPr>
              <w:pStyle w:val="TableBody"/>
              <w:spacing w:after="160" w:line="360" w:lineRule="auto"/>
            </w:pPr>
            <w:r w:rsidRPr="006C5246">
              <w:t xml:space="preserve">This project will construct remove barriers to fish passage, fulfilling a requirement from the Catchment Management Authority and expectations of the local community. At the same time the Government funded Koondrook Weir Fishway will also be completed to minimise disruption to aquatic life and irrigators. </w:t>
            </w:r>
          </w:p>
        </w:tc>
        <w:tc>
          <w:tcPr>
            <w:tcW w:w="2212" w:type="dxa"/>
          </w:tcPr>
          <w:p w14:paraId="220F40E4" w14:textId="21351980" w:rsidR="00B95049" w:rsidRPr="006C5246" w:rsidRDefault="00B95049" w:rsidP="00AB2BBB">
            <w:pPr>
              <w:pStyle w:val="TableBold"/>
              <w:spacing w:after="160" w:line="360" w:lineRule="auto"/>
              <w:jc w:val="center"/>
            </w:pPr>
            <w:r w:rsidRPr="006C5246">
              <w:t>2.8</w:t>
            </w:r>
          </w:p>
        </w:tc>
      </w:tr>
    </w:tbl>
    <w:p w14:paraId="3D638C04" w14:textId="486FFEA0" w:rsidR="00187FF3" w:rsidRDefault="00187FF3" w:rsidP="00187FF3">
      <w:pPr>
        <w:pStyle w:val="Heading2"/>
      </w:pPr>
      <w:r>
        <w:t>How much r</w:t>
      </w:r>
      <w:r w:rsidRPr="00096C18">
        <w:t xml:space="preserve">evenue </w:t>
      </w:r>
      <w:r>
        <w:t>is required</w:t>
      </w:r>
      <w:r w:rsidRPr="00096C18">
        <w:t xml:space="preserve"> </w:t>
      </w:r>
      <w:r>
        <w:t>from</w:t>
      </w:r>
      <w:r w:rsidRPr="00096C18">
        <w:t xml:space="preserve"> 20</w:t>
      </w:r>
      <w:r w:rsidR="00AB2BBB">
        <w:t>20</w:t>
      </w:r>
      <w:r>
        <w:t xml:space="preserve"> to 202</w:t>
      </w:r>
      <w:r w:rsidR="00AB2BBB">
        <w:t>4</w:t>
      </w:r>
      <w:r>
        <w:t>?</w:t>
      </w:r>
    </w:p>
    <w:p w14:paraId="2EFF5D28" w14:textId="04C671DF" w:rsidR="00D857A8" w:rsidRDefault="00D857A8" w:rsidP="00D857A8">
      <w:pPr>
        <w:spacing w:before="0"/>
      </w:pPr>
      <w:r>
        <w:t xml:space="preserve">We require </w:t>
      </w:r>
      <w:r w:rsidR="00830FC7">
        <w:t>Goulburn</w:t>
      </w:r>
      <w:r w:rsidR="00AB2BBB">
        <w:t>-</w:t>
      </w:r>
      <w:r w:rsidR="00830FC7">
        <w:t>Murray Water to</w:t>
      </w:r>
      <w:r>
        <w:t xml:space="preserve"> tell us what revenue it will need for the next </w:t>
      </w:r>
      <w:r w:rsidR="00830FC7">
        <w:t>four</w:t>
      </w:r>
      <w:r>
        <w:t xml:space="preserve"> years. This helps us understand </w:t>
      </w:r>
      <w:r w:rsidR="00E11BF0">
        <w:t>Goulburn</w:t>
      </w:r>
      <w:r w:rsidR="007E3A3A">
        <w:t>-</w:t>
      </w:r>
      <w:r w:rsidR="00E11BF0">
        <w:t>Murray</w:t>
      </w:r>
      <w:r w:rsidRPr="006F105B">
        <w:t xml:space="preserve"> </w:t>
      </w:r>
      <w:r>
        <w:t>Water’s prices in its submission.</w:t>
      </w:r>
    </w:p>
    <w:p w14:paraId="15A589FF" w14:textId="41B1AF2C" w:rsidR="00D857A8" w:rsidRDefault="0043623C" w:rsidP="00D857A8">
      <w:r w:rsidRPr="00907732">
        <w:t>Goulburn</w:t>
      </w:r>
      <w:r w:rsidR="00AB2BBB" w:rsidRPr="00907732">
        <w:t>-</w:t>
      </w:r>
      <w:r w:rsidRPr="00907732">
        <w:t xml:space="preserve">Murray Water forecasts that it requires </w:t>
      </w:r>
      <w:r w:rsidRPr="00907732">
        <w:rPr>
          <w:b/>
          <w:bCs/>
        </w:rPr>
        <w:t>$4</w:t>
      </w:r>
      <w:r w:rsidR="007E3A3A" w:rsidRPr="00907732">
        <w:rPr>
          <w:b/>
          <w:bCs/>
        </w:rPr>
        <w:t>40</w:t>
      </w:r>
      <w:r w:rsidRPr="00907732">
        <w:rPr>
          <w:b/>
          <w:bCs/>
        </w:rPr>
        <w:t xml:space="preserve"> million</w:t>
      </w:r>
      <w:r w:rsidRPr="00907732">
        <w:t xml:space="preserve"> in regulated revenue to provide their services to customers over the next four years, which represents a 13 per cent </w:t>
      </w:r>
      <w:r w:rsidRPr="00907732">
        <w:rPr>
          <w:b/>
          <w:bCs/>
        </w:rPr>
        <w:t>decrease</w:t>
      </w:r>
      <w:r w:rsidRPr="00907732">
        <w:t xml:space="preserve"> to the $50</w:t>
      </w:r>
      <w:r w:rsidR="007E3A3A" w:rsidRPr="00907732">
        <w:t>5</w:t>
      </w:r>
      <w:r w:rsidRPr="00907732">
        <w:t xml:space="preserve"> million required during the four years between 2016 and 2020.</w:t>
      </w:r>
    </w:p>
    <w:p w14:paraId="0AABB389" w14:textId="77777777" w:rsidR="00D857A8" w:rsidRDefault="00D857A8" w:rsidP="00D857A8">
      <w:pPr>
        <w:spacing w:after="0"/>
        <w:rPr>
          <w:rFonts w:ascii="Tahoma" w:eastAsiaTheme="majorEastAsia" w:hAnsi="Tahoma" w:cstheme="majorBidi"/>
          <w:b/>
          <w:color w:val="236192" w:themeColor="accent1"/>
          <w:sz w:val="26"/>
          <w:szCs w:val="26"/>
        </w:rPr>
      </w:pPr>
      <w:r w:rsidRPr="005216D4">
        <w:rPr>
          <w:rFonts w:ascii="Tahoma" w:eastAsiaTheme="majorEastAsia" w:hAnsi="Tahoma" w:cstheme="majorBidi"/>
          <w:b/>
          <w:color w:val="236192" w:themeColor="accent1"/>
          <w:sz w:val="26"/>
          <w:szCs w:val="26"/>
        </w:rPr>
        <w:t xml:space="preserve">Got a question? </w:t>
      </w:r>
      <w:r w:rsidRPr="002E754D">
        <w:rPr>
          <w:rFonts w:ascii="Tahoma" w:eastAsiaTheme="majorEastAsia" w:hAnsi="Tahoma" w:cstheme="majorBidi"/>
          <w:b/>
          <w:noProof/>
          <w:color w:val="236192" w:themeColor="accent1"/>
          <w:sz w:val="26"/>
          <w:szCs w:val="26"/>
          <w:lang w:eastAsia="en-AU"/>
        </w:rPr>
        <w:drawing>
          <wp:anchor distT="0" distB="0" distL="114300" distR="114300" simplePos="0" relativeHeight="251659264" behindDoc="0" locked="0" layoutInCell="1" allowOverlap="1" wp14:anchorId="014253BD" wp14:editId="68932DE2">
            <wp:simplePos x="0" y="0"/>
            <wp:positionH relativeFrom="column">
              <wp:posOffset>7073105</wp:posOffset>
            </wp:positionH>
            <wp:positionV relativeFrom="paragraph">
              <wp:posOffset>1771650</wp:posOffset>
            </wp:positionV>
            <wp:extent cx="190500" cy="266699"/>
            <wp:effectExtent l="0" t="0" r="0" b="635"/>
            <wp:wrapNone/>
            <wp:docPr id="6" name="Finish Flag" descr="&quot;&quot;" title="Finis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ish Flag" descr="&quot;&quot;" title="Finish Flag"/>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90500" cy="266699"/>
                    </a:xfrm>
                    <a:prstGeom prst="rect">
                      <a:avLst/>
                    </a:prstGeom>
                  </pic:spPr>
                </pic:pic>
              </a:graphicData>
            </a:graphic>
          </wp:anchor>
        </w:drawing>
      </w:r>
    </w:p>
    <w:p w14:paraId="78135593" w14:textId="77777777" w:rsidR="00797590" w:rsidRPr="00A52458" w:rsidRDefault="00BC4A83" w:rsidP="00102472">
      <w:hyperlink r:id="rId17" w:history="1">
        <w:r w:rsidR="00D857A8" w:rsidRPr="00BD09ED">
          <w:rPr>
            <w:rStyle w:val="Hyperlink"/>
          </w:rPr>
          <w:t>View our contact details</w:t>
        </w:r>
      </w:hyperlink>
      <w:r w:rsidR="00D857A8">
        <w:t xml:space="preserve"> and follow us on </w:t>
      </w:r>
      <w:hyperlink r:id="rId18" w:history="1">
        <w:r w:rsidR="00D857A8" w:rsidRPr="00BD09ED">
          <w:rPr>
            <w:rStyle w:val="Hyperlink"/>
          </w:rPr>
          <w:t>LinkedIn</w:t>
        </w:r>
      </w:hyperlink>
      <w:r w:rsidR="00D857A8">
        <w:t xml:space="preserve"> and </w:t>
      </w:r>
      <w:hyperlink r:id="rId19" w:history="1">
        <w:r w:rsidR="00D857A8" w:rsidRPr="00BD09ED">
          <w:rPr>
            <w:rStyle w:val="Hyperlink"/>
          </w:rPr>
          <w:t>Twitter</w:t>
        </w:r>
      </w:hyperlink>
      <w:r w:rsidR="00D857A8">
        <w:rPr>
          <w:rStyle w:val="Hyperlink"/>
        </w:rPr>
        <w:t>.</w:t>
      </w:r>
    </w:p>
    <w:sectPr w:rsidR="00797590" w:rsidRPr="00A52458" w:rsidSect="00797590">
      <w:headerReference w:type="default" r:id="rId20"/>
      <w:footerReference w:type="default" r:id="rId21"/>
      <w:headerReference w:type="first" r:id="rId22"/>
      <w:footerReference w:type="first" r:id="rId23"/>
      <w:type w:val="continuous"/>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589FD" w14:textId="77777777" w:rsidR="00E33B56" w:rsidRDefault="00E33B56" w:rsidP="00AE03FA">
      <w:pPr>
        <w:spacing w:after="0"/>
      </w:pPr>
      <w:r>
        <w:separator/>
      </w:r>
    </w:p>
    <w:p w14:paraId="170B84DB" w14:textId="77777777" w:rsidR="00E33B56" w:rsidRDefault="00E33B56"/>
  </w:endnote>
  <w:endnote w:type="continuationSeparator" w:id="0">
    <w:p w14:paraId="52CB294F" w14:textId="77777777" w:rsidR="00E33B56" w:rsidRDefault="00E33B56" w:rsidP="00AE03FA">
      <w:pPr>
        <w:spacing w:after="0"/>
      </w:pPr>
      <w:r>
        <w:continuationSeparator/>
      </w:r>
    </w:p>
    <w:p w14:paraId="56FC9CCE" w14:textId="77777777" w:rsidR="00E33B56" w:rsidRDefault="00E33B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2D82E" w14:textId="77777777" w:rsidR="00A40FB6" w:rsidRDefault="00A40FB6" w:rsidP="00A40FB6">
    <w:pPr>
      <w:pStyle w:val="Footer"/>
    </w:pPr>
  </w:p>
  <w:tbl>
    <w:tblPr>
      <w:tblStyle w:val="FooterTable"/>
      <w:tblpPr w:leftFromText="181" w:rightFromText="181" w:vertAnchor="text" w:tblpXSpec="right" w:tblpY="1"/>
      <w:tblOverlap w:val="never"/>
      <w:tblW w:w="0" w:type="auto"/>
      <w:jc w:val="left"/>
      <w:tblBorders>
        <w:insideV w:val="none" w:sz="0" w:space="0" w:color="auto"/>
      </w:tblBorders>
      <w:tblLook w:val="04A0" w:firstRow="1" w:lastRow="0" w:firstColumn="1" w:lastColumn="0" w:noHBand="0" w:noVBand="1"/>
    </w:tblPr>
    <w:tblGrid>
      <w:gridCol w:w="454"/>
    </w:tblGrid>
    <w:tr w:rsidR="00A40FB6" w:rsidRPr="001A45DD" w14:paraId="2181C8D2" w14:textId="77777777" w:rsidTr="006E4721">
      <w:trPr>
        <w:trHeight w:hRule="exact" w:val="312"/>
        <w:jc w:val="left"/>
      </w:trPr>
      <w:tc>
        <w:tcPr>
          <w:cnfStyle w:val="001000000000" w:firstRow="0" w:lastRow="0" w:firstColumn="1" w:lastColumn="0" w:oddVBand="0" w:evenVBand="0" w:oddHBand="0" w:evenHBand="0" w:firstRowFirstColumn="0" w:firstRowLastColumn="0" w:lastRowFirstColumn="0" w:lastRowLastColumn="0"/>
          <w:tcW w:w="454" w:type="dxa"/>
          <w:shd w:val="clear" w:color="auto" w:fill="auto"/>
        </w:tcPr>
        <w:p w14:paraId="440C28B0" w14:textId="77777777" w:rsidR="00A40FB6" w:rsidRPr="001A45DD" w:rsidRDefault="00A40FB6" w:rsidP="006E4721">
          <w:pPr>
            <w:pStyle w:val="Footer"/>
            <w:spacing w:before="0"/>
            <w:rPr>
              <w:rStyle w:val="PageNumber"/>
            </w:rPr>
          </w:pPr>
          <w:r w:rsidRPr="00AB2BBB">
            <w:rPr>
              <w:rStyle w:val="PageNumber"/>
              <w:color w:val="auto"/>
            </w:rPr>
            <w:fldChar w:fldCharType="begin"/>
          </w:r>
          <w:r w:rsidRPr="00AB2BBB">
            <w:rPr>
              <w:rStyle w:val="PageNumber"/>
              <w:color w:val="auto"/>
            </w:rPr>
            <w:instrText xml:space="preserve"> PAGE   \* MERGEFORMAT </w:instrText>
          </w:r>
          <w:r w:rsidRPr="00AB2BBB">
            <w:rPr>
              <w:rStyle w:val="PageNumber"/>
              <w:color w:val="auto"/>
            </w:rPr>
            <w:fldChar w:fldCharType="separate"/>
          </w:r>
          <w:r w:rsidR="006D06A6" w:rsidRPr="00AB2BBB">
            <w:rPr>
              <w:rStyle w:val="PageNumber"/>
              <w:noProof/>
              <w:color w:val="auto"/>
            </w:rPr>
            <w:t>3</w:t>
          </w:r>
          <w:r w:rsidRPr="00AB2BBB">
            <w:rPr>
              <w:rStyle w:val="PageNumber"/>
              <w:color w:val="auto"/>
            </w:rPr>
            <w:fldChar w:fldCharType="end"/>
          </w:r>
        </w:p>
      </w:tc>
    </w:tr>
  </w:tbl>
  <w:p w14:paraId="0B01F4D0" w14:textId="74DAC8F6" w:rsidR="00A40FB6" w:rsidRDefault="00A40FB6" w:rsidP="00A40FB6">
    <w:pPr>
      <w:pStyle w:val="Footer"/>
      <w:ind w:left="567" w:right="567"/>
    </w:pPr>
    <w:r>
      <w:rPr>
        <w:noProof/>
        <w:lang w:eastAsia="en-AU"/>
      </w:rPr>
      <w:drawing>
        <wp:anchor distT="0" distB="0" distL="114300" distR="114300" simplePos="0" relativeHeight="251653120" behindDoc="1" locked="0" layoutInCell="1" allowOverlap="1" wp14:anchorId="590B2CFE" wp14:editId="688885B1">
          <wp:simplePos x="0" y="0"/>
          <wp:positionH relativeFrom="column">
            <wp:posOffset>-5715</wp:posOffset>
          </wp:positionH>
          <wp:positionV relativeFrom="paragraph">
            <wp:posOffset>47943</wp:posOffset>
          </wp:positionV>
          <wp:extent cx="279400" cy="279400"/>
          <wp:effectExtent l="0" t="0" r="6350" b="6350"/>
          <wp:wrapTight wrapText="bothSides">
            <wp:wrapPolygon edited="0">
              <wp:start x="0" y="0"/>
              <wp:lineTo x="0" y="20618"/>
              <wp:lineTo x="20618" y="20618"/>
              <wp:lineTo x="20618" y="0"/>
              <wp:lineTo x="0" y="0"/>
            </wp:wrapPolygon>
          </wp:wrapTight>
          <wp:docPr id="16" name="Picture 16" descr="C:\Users\sargent\Desktop\10898_ESC_Logo_Social_Circle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rgent\Desktop\10898_ESC_Logo_Social_Circle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Essential Services Commission </w:t>
    </w:r>
    <w:sdt>
      <w:sdtPr>
        <w:rPr>
          <w:b/>
        </w:rPr>
        <w:alias w:val="Title"/>
        <w:tag w:val=""/>
        <w:id w:val="-507214403"/>
        <w:dataBinding w:prefixMappings="xmlns:ns0='http://purl.org/dc/elements/1.1/' xmlns:ns1='http://schemas.openxmlformats.org/package/2006/metadata/core-properties' " w:xpath="/ns1:coreProperties[1]/ns0:title[1]" w:storeItemID="{6C3C8BC8-F283-45AE-878A-BAB7291924A1}"/>
        <w:text/>
      </w:sdtPr>
      <w:sdtEndPr/>
      <w:sdtContent>
        <w:r w:rsidR="00BC19FC">
          <w:rPr>
            <w:b/>
          </w:rPr>
          <w:t>Goulburn</w:t>
        </w:r>
        <w:r w:rsidR="00B4347E">
          <w:rPr>
            <w:b/>
          </w:rPr>
          <w:t>-</w:t>
        </w:r>
        <w:r w:rsidR="00BC19FC">
          <w:rPr>
            <w:b/>
          </w:rPr>
          <w:t>Murray Water</w:t>
        </w:r>
        <w:r w:rsidR="00D44CDE">
          <w:rPr>
            <w:b/>
          </w:rPr>
          <w:t>: customer fact sheet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90F70" w14:textId="77777777" w:rsidR="00A40FB6" w:rsidRDefault="00A40FB6" w:rsidP="00A40FB6">
    <w:pPr>
      <w:pStyle w:val="Footer"/>
    </w:pPr>
  </w:p>
  <w:tbl>
    <w:tblPr>
      <w:tblStyle w:val="FooterTable"/>
      <w:tblpPr w:leftFromText="181" w:rightFromText="181" w:vertAnchor="text" w:tblpXSpec="right" w:tblpY="1"/>
      <w:tblOverlap w:val="never"/>
      <w:tblW w:w="0" w:type="auto"/>
      <w:jc w:val="left"/>
      <w:tblBorders>
        <w:insideV w:val="none" w:sz="0" w:space="0" w:color="auto"/>
      </w:tblBorders>
      <w:tblLook w:val="04A0" w:firstRow="1" w:lastRow="0" w:firstColumn="1" w:lastColumn="0" w:noHBand="0" w:noVBand="1"/>
    </w:tblPr>
    <w:tblGrid>
      <w:gridCol w:w="454"/>
    </w:tblGrid>
    <w:tr w:rsidR="00A40FB6" w:rsidRPr="001A45DD" w14:paraId="76A2FA93" w14:textId="77777777" w:rsidTr="006E4721">
      <w:trPr>
        <w:trHeight w:hRule="exact" w:val="312"/>
        <w:jc w:val="left"/>
      </w:trPr>
      <w:tc>
        <w:tcPr>
          <w:cnfStyle w:val="001000000000" w:firstRow="0" w:lastRow="0" w:firstColumn="1" w:lastColumn="0" w:oddVBand="0" w:evenVBand="0" w:oddHBand="0" w:evenHBand="0" w:firstRowFirstColumn="0" w:firstRowLastColumn="0" w:lastRowFirstColumn="0" w:lastRowLastColumn="0"/>
          <w:tcW w:w="454" w:type="dxa"/>
          <w:shd w:val="clear" w:color="auto" w:fill="auto"/>
        </w:tcPr>
        <w:p w14:paraId="50F23333" w14:textId="77777777" w:rsidR="00A40FB6" w:rsidRPr="001A45DD" w:rsidRDefault="00A40FB6" w:rsidP="006E4721">
          <w:pPr>
            <w:pStyle w:val="Footer"/>
            <w:spacing w:before="0"/>
            <w:rPr>
              <w:rStyle w:val="PageNumber"/>
            </w:rPr>
          </w:pPr>
          <w:r w:rsidRPr="001A45DD">
            <w:rPr>
              <w:rStyle w:val="PageNumber"/>
            </w:rPr>
            <w:fldChar w:fldCharType="begin"/>
          </w:r>
          <w:r w:rsidRPr="001A45DD">
            <w:rPr>
              <w:rStyle w:val="PageNumber"/>
            </w:rPr>
            <w:instrText xml:space="preserve"> PAGE   \* MERGEFORMAT </w:instrText>
          </w:r>
          <w:r w:rsidRPr="001A45DD">
            <w:rPr>
              <w:rStyle w:val="PageNumber"/>
            </w:rPr>
            <w:fldChar w:fldCharType="separate"/>
          </w:r>
          <w:r w:rsidR="00EF686D">
            <w:rPr>
              <w:rStyle w:val="PageNumber"/>
              <w:noProof/>
            </w:rPr>
            <w:t>3</w:t>
          </w:r>
          <w:r w:rsidRPr="001A45DD">
            <w:rPr>
              <w:rStyle w:val="PageNumber"/>
            </w:rPr>
            <w:fldChar w:fldCharType="end"/>
          </w:r>
        </w:p>
      </w:tc>
    </w:tr>
  </w:tbl>
  <w:p w14:paraId="6573CB71" w14:textId="4E999609" w:rsidR="00A40FB6" w:rsidRDefault="00A40FB6" w:rsidP="00A40FB6">
    <w:pPr>
      <w:pStyle w:val="Footer"/>
      <w:ind w:left="567" w:right="567"/>
    </w:pPr>
    <w:r>
      <w:rPr>
        <w:noProof/>
        <w:lang w:eastAsia="en-AU"/>
      </w:rPr>
      <w:drawing>
        <wp:anchor distT="0" distB="0" distL="114300" distR="114300" simplePos="0" relativeHeight="251631616" behindDoc="1" locked="0" layoutInCell="1" allowOverlap="1" wp14:anchorId="7D66D6F1" wp14:editId="172DD30A">
          <wp:simplePos x="0" y="0"/>
          <wp:positionH relativeFrom="column">
            <wp:posOffset>-5715</wp:posOffset>
          </wp:positionH>
          <wp:positionV relativeFrom="paragraph">
            <wp:posOffset>47943</wp:posOffset>
          </wp:positionV>
          <wp:extent cx="279400" cy="279400"/>
          <wp:effectExtent l="0" t="0" r="6350" b="6350"/>
          <wp:wrapTight wrapText="bothSides">
            <wp:wrapPolygon edited="0">
              <wp:start x="0" y="0"/>
              <wp:lineTo x="0" y="20618"/>
              <wp:lineTo x="20618" y="20618"/>
              <wp:lineTo x="20618" y="0"/>
              <wp:lineTo x="0" y="0"/>
            </wp:wrapPolygon>
          </wp:wrapTight>
          <wp:docPr id="18" name="Picture 18" descr="C:\Users\sargent\Desktop\10898_ESC_Logo_Social_Circle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rgent\Desktop\10898_ESC_Logo_Social_Circle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Essential Services Commission </w:t>
    </w:r>
    <w:sdt>
      <w:sdtPr>
        <w:rPr>
          <w:b/>
        </w:rPr>
        <w:alias w:val="Title"/>
        <w:tag w:val=""/>
        <w:id w:val="-1507821235"/>
        <w:dataBinding w:prefixMappings="xmlns:ns0='http://purl.org/dc/elements/1.1/' xmlns:ns1='http://schemas.openxmlformats.org/package/2006/metadata/core-properties' " w:xpath="/ns1:coreProperties[1]/ns0:title[1]" w:storeItemID="{6C3C8BC8-F283-45AE-878A-BAB7291924A1}"/>
        <w:text/>
      </w:sdtPr>
      <w:sdtEndPr/>
      <w:sdtContent>
        <w:r w:rsidR="00BC19FC">
          <w:rPr>
            <w:b/>
          </w:rPr>
          <w:t>Goulburn</w:t>
        </w:r>
        <w:r w:rsidR="00B4347E">
          <w:rPr>
            <w:b/>
          </w:rPr>
          <w:t>-</w:t>
        </w:r>
        <w:r w:rsidR="00BC19FC">
          <w:rPr>
            <w:b/>
          </w:rPr>
          <w:t>Murray Water: customer fact sheet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CEAA2" w14:textId="77777777" w:rsidR="00E33B56" w:rsidRPr="00CF33F6" w:rsidRDefault="00E33B56" w:rsidP="00AE03FA">
      <w:pPr>
        <w:spacing w:after="0"/>
        <w:rPr>
          <w:color w:val="75787B" w:themeColor="background2"/>
        </w:rPr>
      </w:pPr>
      <w:bookmarkStart w:id="0" w:name="_Hlk480978878"/>
      <w:bookmarkEnd w:id="0"/>
      <w:r w:rsidRPr="00CF33F6">
        <w:rPr>
          <w:color w:val="75787B" w:themeColor="background2"/>
        </w:rPr>
        <w:separator/>
      </w:r>
    </w:p>
    <w:p w14:paraId="7E12082A" w14:textId="77777777" w:rsidR="00E33B56" w:rsidRDefault="00E33B56" w:rsidP="00CF33F6">
      <w:pPr>
        <w:pStyle w:val="NoSpacing"/>
      </w:pPr>
    </w:p>
  </w:footnote>
  <w:footnote w:type="continuationSeparator" w:id="0">
    <w:p w14:paraId="0F5F098E" w14:textId="77777777" w:rsidR="00E33B56" w:rsidRDefault="00E33B56" w:rsidP="00AE03FA">
      <w:pPr>
        <w:spacing w:after="0"/>
      </w:pPr>
      <w:r>
        <w:continuationSeparator/>
      </w:r>
    </w:p>
    <w:p w14:paraId="4BFE4947" w14:textId="77777777" w:rsidR="00E33B56" w:rsidRDefault="00E33B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EEC02" w14:textId="77777777" w:rsidR="00FA53DC" w:rsidRPr="00633068" w:rsidRDefault="00FA53DC" w:rsidP="00633068">
    <w:pPr>
      <w:tabs>
        <w:tab w:val="left" w:pos="2236"/>
      </w:tabs>
    </w:pPr>
    <w:r>
      <w:rPr>
        <w:noProof/>
        <w:lang w:eastAsia="en-AU"/>
      </w:rPr>
      <w:drawing>
        <wp:anchor distT="0" distB="0" distL="114300" distR="114300" simplePos="0" relativeHeight="251659264" behindDoc="0" locked="0" layoutInCell="1" allowOverlap="1" wp14:anchorId="64A4D13A" wp14:editId="117FA80B">
          <wp:simplePos x="0" y="0"/>
          <wp:positionH relativeFrom="column">
            <wp:posOffset>5516937</wp:posOffset>
          </wp:positionH>
          <wp:positionV relativeFrom="paragraph">
            <wp:posOffset>-190908</wp:posOffset>
          </wp:positionV>
          <wp:extent cx="540000" cy="540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sset Bank\Icons\Group icons\Transport icon transparent (grey).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1829">
      <w:rPr>
        <w:noProof/>
        <w:lang w:eastAsia="en-AU"/>
      </w:rPr>
      <mc:AlternateContent>
        <mc:Choice Requires="wps">
          <w:drawing>
            <wp:anchor distT="0" distB="180340" distL="114300" distR="114300" simplePos="0" relativeHeight="251658240" behindDoc="0" locked="0" layoutInCell="1" allowOverlap="1" wp14:anchorId="4830EBEF" wp14:editId="695E7A59">
              <wp:simplePos x="0" y="0"/>
              <wp:positionH relativeFrom="column">
                <wp:posOffset>-709930</wp:posOffset>
              </wp:positionH>
              <wp:positionV relativeFrom="paragraph">
                <wp:posOffset>-450215</wp:posOffset>
              </wp:positionV>
              <wp:extent cx="11796395" cy="989965"/>
              <wp:effectExtent l="0" t="0" r="0" b="635"/>
              <wp:wrapTopAndBottom/>
              <wp:docPr id="8" name="Rectangle 8"/>
              <wp:cNvGraphicFramePr/>
              <a:graphic xmlns:a="http://schemas.openxmlformats.org/drawingml/2006/main">
                <a:graphicData uri="http://schemas.microsoft.com/office/word/2010/wordprocessingShape">
                  <wps:wsp>
                    <wps:cNvSpPr/>
                    <wps:spPr>
                      <a:xfrm>
                        <a:off x="0" y="0"/>
                        <a:ext cx="11796395" cy="989965"/>
                      </a:xfrm>
                      <a:prstGeom prst="rect">
                        <a:avLst/>
                      </a:prstGeom>
                      <a:solidFill>
                        <a:schemeClr val="accent3"/>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059E5" id="Rectangle 8" o:spid="_x0000_s1026" style="position:absolute;margin-left:-55.9pt;margin-top:-35.45pt;width:928.85pt;height:77.95pt;z-index:251658240;visibility:visible;mso-wrap-style:square;mso-width-percent:0;mso-height-percent:0;mso-wrap-distance-left:9pt;mso-wrap-distance-top:0;mso-wrap-distance-right:9pt;mso-wrap-distance-bottom:14.2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" fillcolor="#4986a0 [3206]" stroked="f" strokeweight="1pt">
              <w10:wrap type="topAndBotto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3EF8D" w14:textId="77777777" w:rsidR="00FA53DC" w:rsidRDefault="0070740F">
    <w:pPr>
      <w:pStyle w:val="Header"/>
    </w:pPr>
    <w:r>
      <w:rPr>
        <w:noProof/>
        <w:lang w:eastAsia="en-AU"/>
      </w:rPr>
      <w:drawing>
        <wp:anchor distT="0" distB="0" distL="114300" distR="114300" simplePos="0" relativeHeight="251657216" behindDoc="0" locked="0" layoutInCell="1" allowOverlap="1" wp14:anchorId="0BBE137B" wp14:editId="587DBD94">
          <wp:simplePos x="0" y="0"/>
          <wp:positionH relativeFrom="column">
            <wp:posOffset>4792980</wp:posOffset>
          </wp:positionH>
          <wp:positionV relativeFrom="paragraph">
            <wp:posOffset>-150495</wp:posOffset>
          </wp:positionV>
          <wp:extent cx="1259840" cy="125984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sset Bank\Icons\Group icons\Transport icon transparent (grey).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5984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3DC" w:rsidRPr="00611829">
      <w:rPr>
        <w:noProof/>
        <w:lang w:eastAsia="en-AU"/>
      </w:rPr>
      <mc:AlternateContent>
        <mc:Choice Requires="wps">
          <w:drawing>
            <wp:anchor distT="0" distB="0" distL="114300" distR="114300" simplePos="0" relativeHeight="251656192" behindDoc="0" locked="0" layoutInCell="1" allowOverlap="1" wp14:anchorId="50755BC0" wp14:editId="6ADEAE48">
              <wp:simplePos x="0" y="0"/>
              <wp:positionH relativeFrom="column">
                <wp:posOffset>-26095</wp:posOffset>
              </wp:positionH>
              <wp:positionV relativeFrom="paragraph">
                <wp:posOffset>-72774</wp:posOffset>
              </wp:positionV>
              <wp:extent cx="4574392" cy="125412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4392" cy="1254125"/>
                      </a:xfrm>
                      <a:prstGeom prst="rect">
                        <a:avLst/>
                      </a:prstGeom>
                      <a:noFill/>
                      <a:ln w="9525">
                        <a:noFill/>
                        <a:miter lim="800000"/>
                        <a:headEnd/>
                        <a:tailEnd/>
                      </a:ln>
                    </wps:spPr>
                    <wps:txbx>
                      <w:txbxContent>
                        <w:p w14:paraId="22A66CE6" w14:textId="239EB1C8" w:rsidR="00FA53DC" w:rsidRDefault="00E11BF0" w:rsidP="008D6E08">
                          <w:pPr>
                            <w:pStyle w:val="Heading1"/>
                          </w:pPr>
                          <w:r>
                            <w:t>Goulburn</w:t>
                          </w:r>
                          <w:r w:rsidR="00DF4088">
                            <w:t>-</w:t>
                          </w:r>
                          <w:r>
                            <w:t>Murray</w:t>
                          </w:r>
                          <w:r w:rsidR="00D857A8">
                            <w:t xml:space="preserve"> Water</w:t>
                          </w:r>
                        </w:p>
                        <w:p w14:paraId="65AC77D0" w14:textId="018ECDA0" w:rsidR="0080204B" w:rsidRPr="00CA1DCD" w:rsidRDefault="00DF4088" w:rsidP="0080204B">
                          <w:pPr>
                            <w:rPr>
                              <w:color w:val="FFFFFF" w:themeColor="background1"/>
                              <w:sz w:val="28"/>
                            </w:rPr>
                          </w:pPr>
                          <w:r>
                            <w:rPr>
                              <w:color w:val="FFFFFF" w:themeColor="background1"/>
                              <w:sz w:val="28"/>
                            </w:rPr>
                            <w:t>2020</w:t>
                          </w:r>
                          <w:r w:rsidR="0080204B" w:rsidRPr="00CA1DCD">
                            <w:rPr>
                              <w:color w:val="FFFFFF" w:themeColor="background1"/>
                              <w:sz w:val="28"/>
                            </w:rPr>
                            <w:t xml:space="preserve"> water price review </w:t>
                          </w:r>
                          <w:r w:rsidR="0080204B" w:rsidRPr="00CA1DCD">
                            <w:rPr>
                              <w:rFonts w:cstheme="minorHAnsi"/>
                              <w:color w:val="FFFFFF" w:themeColor="background1"/>
                              <w:sz w:val="28"/>
                            </w:rPr>
                            <w:t>│customer fact sheet</w:t>
                          </w:r>
                        </w:p>
                        <w:p w14:paraId="247D529C" w14:textId="77777777" w:rsidR="00FA53DC" w:rsidRPr="008D6E08" w:rsidRDefault="00FA53DC" w:rsidP="008D6E08">
                          <w:pPr>
                            <w:pStyle w:val="Heading1"/>
                          </w:pPr>
                        </w:p>
                        <w:p w14:paraId="76D701A9" w14:textId="77777777" w:rsidR="00FA53DC" w:rsidRPr="00261CC2" w:rsidRDefault="00FA53DC" w:rsidP="008D6E08">
                          <w:pPr>
                            <w:pStyle w:val="Heading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755BC0" id="_x0000_t202" coordsize="21600,21600" o:spt="202" path="m,l,21600r21600,l21600,xe">
              <v:stroke joinstyle="miter"/>
              <v:path gradientshapeok="t" o:connecttype="rect"/>
            </v:shapetype>
            <v:shape id="Text Box 2" o:spid="_x0000_s1026" type="#_x0000_t202" style="position:absolute;margin-left:-2.05pt;margin-top:-5.75pt;width:360.2pt;height:9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" filled="f" stroked="f">
              <v:textbox>
                <w:txbxContent>
                  <w:p w14:paraId="22A66CE6" w14:textId="239EB1C8" w:rsidR="00FA53DC" w:rsidRDefault="00E11BF0" w:rsidP="008D6E08">
                    <w:pPr>
                      <w:pStyle w:val="Heading1"/>
                    </w:pPr>
                    <w:r>
                      <w:t>Goulburn</w:t>
                    </w:r>
                    <w:r w:rsidR="00DF4088">
                      <w:t>-</w:t>
                    </w:r>
                    <w:r>
                      <w:t>Murray</w:t>
                    </w:r>
                    <w:r w:rsidR="00D857A8">
                      <w:t xml:space="preserve"> Water</w:t>
                    </w:r>
                  </w:p>
                  <w:p w14:paraId="65AC77D0" w14:textId="018ECDA0" w:rsidR="0080204B" w:rsidRPr="00CA1DCD" w:rsidRDefault="00DF4088" w:rsidP="0080204B">
                    <w:pPr>
                      <w:rPr>
                        <w:color w:val="FFFFFF" w:themeColor="background1"/>
                        <w:sz w:val="28"/>
                      </w:rPr>
                    </w:pPr>
                    <w:r>
                      <w:rPr>
                        <w:color w:val="FFFFFF" w:themeColor="background1"/>
                        <w:sz w:val="28"/>
                      </w:rPr>
                      <w:t>2020</w:t>
                    </w:r>
                    <w:r w:rsidR="0080204B" w:rsidRPr="00CA1DCD">
                      <w:rPr>
                        <w:color w:val="FFFFFF" w:themeColor="background1"/>
                        <w:sz w:val="28"/>
                      </w:rPr>
                      <w:t xml:space="preserve"> water price review </w:t>
                    </w:r>
                    <w:r w:rsidR="0080204B" w:rsidRPr="00CA1DCD">
                      <w:rPr>
                        <w:rFonts w:cstheme="minorHAnsi"/>
                        <w:color w:val="FFFFFF" w:themeColor="background1"/>
                        <w:sz w:val="28"/>
                      </w:rPr>
                      <w:t>│customer fact sheet</w:t>
                    </w:r>
                  </w:p>
                  <w:p w14:paraId="247D529C" w14:textId="77777777" w:rsidR="00FA53DC" w:rsidRPr="008D6E08" w:rsidRDefault="00FA53DC" w:rsidP="008D6E08">
                    <w:pPr>
                      <w:pStyle w:val="Heading1"/>
                    </w:pPr>
                  </w:p>
                  <w:p w14:paraId="76D701A9" w14:textId="77777777" w:rsidR="00FA53DC" w:rsidRPr="00261CC2" w:rsidRDefault="00FA53DC" w:rsidP="008D6E08">
                    <w:pPr>
                      <w:pStyle w:val="Heading1"/>
                    </w:pPr>
                  </w:p>
                </w:txbxContent>
              </v:textbox>
            </v:shape>
          </w:pict>
        </mc:Fallback>
      </mc:AlternateContent>
    </w:r>
    <w:r w:rsidR="00FA53DC" w:rsidRPr="00611829">
      <w:rPr>
        <w:noProof/>
        <w:lang w:eastAsia="en-AU"/>
      </w:rPr>
      <mc:AlternateContent>
        <mc:Choice Requires="wps">
          <w:drawing>
            <wp:anchor distT="0" distB="180340" distL="114300" distR="114300" simplePos="0" relativeHeight="251654144" behindDoc="0" locked="0" layoutInCell="1" allowOverlap="1" wp14:anchorId="5F6B8348" wp14:editId="7BD0DFFC">
              <wp:simplePos x="0" y="0"/>
              <wp:positionH relativeFrom="column">
                <wp:posOffset>-720090</wp:posOffset>
              </wp:positionH>
              <wp:positionV relativeFrom="paragraph">
                <wp:posOffset>-450215</wp:posOffset>
              </wp:positionV>
              <wp:extent cx="11323320" cy="1748790"/>
              <wp:effectExtent l="0" t="0" r="0" b="3810"/>
              <wp:wrapTopAndBottom/>
              <wp:docPr id="3" name="Rectangle 3"/>
              <wp:cNvGraphicFramePr/>
              <a:graphic xmlns:a="http://schemas.openxmlformats.org/drawingml/2006/main">
                <a:graphicData uri="http://schemas.microsoft.com/office/word/2010/wordprocessingShape">
                  <wps:wsp>
                    <wps:cNvSpPr/>
                    <wps:spPr>
                      <a:xfrm>
                        <a:off x="0" y="0"/>
                        <a:ext cx="11323320" cy="1748790"/>
                      </a:xfrm>
                      <a:prstGeom prst="rect">
                        <a:avLst/>
                      </a:prstGeom>
                      <a:solidFill>
                        <a:schemeClr val="tx2"/>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5A13F" id="Rectangle 3" o:spid="_x0000_s1026" style="position:absolute;margin-left:-56.7pt;margin-top:-35.45pt;width:891.6pt;height:137.7pt;z-index:251654144;visibility:visible;mso-wrap-style:square;mso-width-percent:0;mso-height-percent:0;mso-wrap-distance-left:9pt;mso-wrap-distance-top:0;mso-wrap-distance-right:9pt;mso-wrap-distance-bottom:14.2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" fillcolor="#4986a0 [3215]" stroked="f" strokeweight="1pt">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238F1"/>
    <w:multiLevelType w:val="hybridMultilevel"/>
    <w:tmpl w:val="6D9EE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4510C0B"/>
    <w:multiLevelType w:val="multilevel"/>
    <w:tmpl w:val="3D66CBA2"/>
    <w:numStyleLink w:val="CustomNumberlist"/>
  </w:abstractNum>
  <w:abstractNum w:abstractNumId="15" w15:restartNumberingAfterBreak="0">
    <w:nsid w:val="1B3C049B"/>
    <w:multiLevelType w:val="multilevel"/>
    <w:tmpl w:val="6D9A2BC2"/>
    <w:numStyleLink w:val="NumberedHeadings"/>
  </w:abstractNum>
  <w:abstractNum w:abstractNumId="16" w15:restartNumberingAfterBreak="0">
    <w:nsid w:val="1E8052EF"/>
    <w:multiLevelType w:val="multilevel"/>
    <w:tmpl w:val="DF4A9966"/>
    <w:numStyleLink w:val="TableBullets"/>
  </w:abstractNum>
  <w:abstractNum w:abstractNumId="17"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2391238"/>
    <w:multiLevelType w:val="multilevel"/>
    <w:tmpl w:val="6D9A2BC2"/>
    <w:numStyleLink w:val="NumberedHeadings"/>
  </w:abstractNum>
  <w:abstractNum w:abstractNumId="19" w15:restartNumberingAfterBreak="0">
    <w:nsid w:val="359E348D"/>
    <w:multiLevelType w:val="multilevel"/>
    <w:tmpl w:val="3D66CBA2"/>
    <w:numStyleLink w:val="CustomNumberlist"/>
  </w:abstractNum>
  <w:abstractNum w:abstractNumId="20" w15:restartNumberingAfterBreak="0">
    <w:nsid w:val="39C20E77"/>
    <w:multiLevelType w:val="multilevel"/>
    <w:tmpl w:val="6D9A2BC2"/>
    <w:numStyleLink w:val="NumberedHeadings"/>
  </w:abstractNum>
  <w:abstractNum w:abstractNumId="21" w15:restartNumberingAfterBreak="0">
    <w:nsid w:val="3A0750ED"/>
    <w:multiLevelType w:val="hybridMultilevel"/>
    <w:tmpl w:val="B31E1A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A454D7"/>
    <w:multiLevelType w:val="multilevel"/>
    <w:tmpl w:val="6D9A2BC2"/>
    <w:numStyleLink w:val="NumberedHeadings"/>
  </w:abstractNum>
  <w:abstractNum w:abstractNumId="23"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A8B0109"/>
    <w:multiLevelType w:val="multilevel"/>
    <w:tmpl w:val="3D66CBA2"/>
    <w:numStyleLink w:val="CustomNumberlist"/>
  </w:abstractNum>
  <w:abstractNum w:abstractNumId="26"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05317"/>
    <w:multiLevelType w:val="multilevel"/>
    <w:tmpl w:val="3D66CBA2"/>
    <w:numStyleLink w:val="CustomNumberlist"/>
  </w:abstractNum>
  <w:abstractNum w:abstractNumId="29"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3"/>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7"/>
  </w:num>
  <w:num w:numId="15">
    <w:abstractNumId w:val="18"/>
  </w:num>
  <w:num w:numId="16">
    <w:abstractNumId w:val="12"/>
  </w:num>
  <w:num w:numId="17">
    <w:abstractNumId w:val="24"/>
  </w:num>
  <w:num w:numId="18">
    <w:abstractNumId w:val="24"/>
  </w:num>
  <w:num w:numId="19">
    <w:abstractNumId w:val="19"/>
  </w:num>
  <w:num w:numId="20">
    <w:abstractNumId w:val="14"/>
  </w:num>
  <w:num w:numId="21">
    <w:abstractNumId w:val="26"/>
  </w:num>
  <w:num w:numId="22">
    <w:abstractNumId w:val="28"/>
  </w:num>
  <w:num w:numId="23">
    <w:abstractNumId w:val="13"/>
  </w:num>
  <w:num w:numId="24">
    <w:abstractNumId w:val="30"/>
  </w:num>
  <w:num w:numId="25">
    <w:abstractNumId w:val="27"/>
  </w:num>
  <w:num w:numId="26">
    <w:abstractNumId w:val="29"/>
  </w:num>
  <w:num w:numId="27">
    <w:abstractNumId w:val="16"/>
  </w:num>
  <w:num w:numId="28">
    <w:abstractNumId w:val="22"/>
  </w:num>
  <w:num w:numId="29">
    <w:abstractNumId w:val="20"/>
  </w:num>
  <w:num w:numId="30">
    <w:abstractNumId w:val="15"/>
  </w:num>
  <w:num w:numId="31">
    <w:abstractNumId w:val="25"/>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7A8"/>
    <w:rsid w:val="00001254"/>
    <w:rsid w:val="000046BD"/>
    <w:rsid w:val="0001114E"/>
    <w:rsid w:val="00015588"/>
    <w:rsid w:val="00015EB4"/>
    <w:rsid w:val="000162E0"/>
    <w:rsid w:val="00033ED0"/>
    <w:rsid w:val="00035D6D"/>
    <w:rsid w:val="00050BCB"/>
    <w:rsid w:val="000518F3"/>
    <w:rsid w:val="000559E1"/>
    <w:rsid w:val="000566E0"/>
    <w:rsid w:val="00073EE3"/>
    <w:rsid w:val="000A1292"/>
    <w:rsid w:val="000A759D"/>
    <w:rsid w:val="000A7FD9"/>
    <w:rsid w:val="000B5680"/>
    <w:rsid w:val="000B7B8C"/>
    <w:rsid w:val="001018A6"/>
    <w:rsid w:val="00102472"/>
    <w:rsid w:val="00126761"/>
    <w:rsid w:val="00136DAB"/>
    <w:rsid w:val="00152B60"/>
    <w:rsid w:val="00153081"/>
    <w:rsid w:val="001801C9"/>
    <w:rsid w:val="00184CEF"/>
    <w:rsid w:val="001869B0"/>
    <w:rsid w:val="00187998"/>
    <w:rsid w:val="00187ACF"/>
    <w:rsid w:val="00187FF3"/>
    <w:rsid w:val="00195003"/>
    <w:rsid w:val="001A1212"/>
    <w:rsid w:val="001A4ACF"/>
    <w:rsid w:val="001B4EF7"/>
    <w:rsid w:val="001C750A"/>
    <w:rsid w:val="001D07CD"/>
    <w:rsid w:val="001D2AD0"/>
    <w:rsid w:val="001E3CE3"/>
    <w:rsid w:val="001F3997"/>
    <w:rsid w:val="001F64A3"/>
    <w:rsid w:val="002021DC"/>
    <w:rsid w:val="00204C88"/>
    <w:rsid w:val="002256FD"/>
    <w:rsid w:val="00235B40"/>
    <w:rsid w:val="0024060A"/>
    <w:rsid w:val="00261CC2"/>
    <w:rsid w:val="0027476E"/>
    <w:rsid w:val="002750C4"/>
    <w:rsid w:val="00292869"/>
    <w:rsid w:val="002966CE"/>
    <w:rsid w:val="002A059D"/>
    <w:rsid w:val="002C2ADF"/>
    <w:rsid w:val="002D3B02"/>
    <w:rsid w:val="002E48AC"/>
    <w:rsid w:val="0030597A"/>
    <w:rsid w:val="00312BBD"/>
    <w:rsid w:val="00317C67"/>
    <w:rsid w:val="00325EA4"/>
    <w:rsid w:val="00333ED7"/>
    <w:rsid w:val="00353663"/>
    <w:rsid w:val="00357882"/>
    <w:rsid w:val="00360763"/>
    <w:rsid w:val="00375CBF"/>
    <w:rsid w:val="00375EFC"/>
    <w:rsid w:val="003822A4"/>
    <w:rsid w:val="003837CC"/>
    <w:rsid w:val="003904B9"/>
    <w:rsid w:val="00395CFE"/>
    <w:rsid w:val="00397B4B"/>
    <w:rsid w:val="003A16E1"/>
    <w:rsid w:val="003A2748"/>
    <w:rsid w:val="003C4A01"/>
    <w:rsid w:val="003C6AD0"/>
    <w:rsid w:val="003D09BF"/>
    <w:rsid w:val="003E6B8E"/>
    <w:rsid w:val="00401ECA"/>
    <w:rsid w:val="0041213C"/>
    <w:rsid w:val="00420B52"/>
    <w:rsid w:val="0043066B"/>
    <w:rsid w:val="004309BF"/>
    <w:rsid w:val="00432797"/>
    <w:rsid w:val="0043623C"/>
    <w:rsid w:val="00437B75"/>
    <w:rsid w:val="004558CC"/>
    <w:rsid w:val="004740EB"/>
    <w:rsid w:val="00474670"/>
    <w:rsid w:val="0048419E"/>
    <w:rsid w:val="004855CE"/>
    <w:rsid w:val="00496B0B"/>
    <w:rsid w:val="00496CF9"/>
    <w:rsid w:val="004C48D2"/>
    <w:rsid w:val="004F3F8F"/>
    <w:rsid w:val="0050064B"/>
    <w:rsid w:val="00505AD3"/>
    <w:rsid w:val="00541F9A"/>
    <w:rsid w:val="00556FB8"/>
    <w:rsid w:val="00557787"/>
    <w:rsid w:val="00563AD8"/>
    <w:rsid w:val="00565057"/>
    <w:rsid w:val="00572ED3"/>
    <w:rsid w:val="0058364C"/>
    <w:rsid w:val="005B38C8"/>
    <w:rsid w:val="005C6E04"/>
    <w:rsid w:val="005E2A78"/>
    <w:rsid w:val="005E2E03"/>
    <w:rsid w:val="005F3D90"/>
    <w:rsid w:val="005F5578"/>
    <w:rsid w:val="00600CAF"/>
    <w:rsid w:val="00611829"/>
    <w:rsid w:val="00615C49"/>
    <w:rsid w:val="00621F9F"/>
    <w:rsid w:val="00633068"/>
    <w:rsid w:val="0063494B"/>
    <w:rsid w:val="006508CA"/>
    <w:rsid w:val="006817B0"/>
    <w:rsid w:val="00686B03"/>
    <w:rsid w:val="00696BDD"/>
    <w:rsid w:val="006C5246"/>
    <w:rsid w:val="006D06A6"/>
    <w:rsid w:val="006D0A5E"/>
    <w:rsid w:val="006D4CD9"/>
    <w:rsid w:val="006D7C58"/>
    <w:rsid w:val="006E6549"/>
    <w:rsid w:val="006E6B2B"/>
    <w:rsid w:val="006F29EA"/>
    <w:rsid w:val="00703C67"/>
    <w:rsid w:val="0070740F"/>
    <w:rsid w:val="00707B2F"/>
    <w:rsid w:val="00710792"/>
    <w:rsid w:val="00711BA5"/>
    <w:rsid w:val="007134D9"/>
    <w:rsid w:val="00715FED"/>
    <w:rsid w:val="00717CCA"/>
    <w:rsid w:val="007202C6"/>
    <w:rsid w:val="00740720"/>
    <w:rsid w:val="00747563"/>
    <w:rsid w:val="00747AD6"/>
    <w:rsid w:val="00757EE6"/>
    <w:rsid w:val="00772EB1"/>
    <w:rsid w:val="00781227"/>
    <w:rsid w:val="007921F2"/>
    <w:rsid w:val="00792B10"/>
    <w:rsid w:val="00795CF5"/>
    <w:rsid w:val="00797590"/>
    <w:rsid w:val="007A5734"/>
    <w:rsid w:val="007C7E2D"/>
    <w:rsid w:val="007E2BCE"/>
    <w:rsid w:val="007E3A3A"/>
    <w:rsid w:val="0080204B"/>
    <w:rsid w:val="008023E2"/>
    <w:rsid w:val="0082375F"/>
    <w:rsid w:val="00830FC7"/>
    <w:rsid w:val="0083412B"/>
    <w:rsid w:val="008365E8"/>
    <w:rsid w:val="0084087E"/>
    <w:rsid w:val="00855DF6"/>
    <w:rsid w:val="00865ECE"/>
    <w:rsid w:val="008679BA"/>
    <w:rsid w:val="00881E07"/>
    <w:rsid w:val="00882783"/>
    <w:rsid w:val="008A7D0E"/>
    <w:rsid w:val="008B3C05"/>
    <w:rsid w:val="008B6874"/>
    <w:rsid w:val="008B76F7"/>
    <w:rsid w:val="008C1818"/>
    <w:rsid w:val="008C5256"/>
    <w:rsid w:val="008C59C7"/>
    <w:rsid w:val="008D2C44"/>
    <w:rsid w:val="008D5E13"/>
    <w:rsid w:val="008D6E08"/>
    <w:rsid w:val="008F0C42"/>
    <w:rsid w:val="008F7087"/>
    <w:rsid w:val="009058B1"/>
    <w:rsid w:val="00907732"/>
    <w:rsid w:val="00916721"/>
    <w:rsid w:val="009230CE"/>
    <w:rsid w:val="0092572E"/>
    <w:rsid w:val="009422BA"/>
    <w:rsid w:val="00943BDE"/>
    <w:rsid w:val="00954875"/>
    <w:rsid w:val="00961E03"/>
    <w:rsid w:val="00986A98"/>
    <w:rsid w:val="00986BF2"/>
    <w:rsid w:val="00986CF3"/>
    <w:rsid w:val="0099126B"/>
    <w:rsid w:val="009A2E4E"/>
    <w:rsid w:val="009A47E1"/>
    <w:rsid w:val="009A4DB9"/>
    <w:rsid w:val="009A5B80"/>
    <w:rsid w:val="009B3807"/>
    <w:rsid w:val="009B583F"/>
    <w:rsid w:val="009C3565"/>
    <w:rsid w:val="009D5E04"/>
    <w:rsid w:val="009E15D6"/>
    <w:rsid w:val="009F18ED"/>
    <w:rsid w:val="00A2027E"/>
    <w:rsid w:val="00A26591"/>
    <w:rsid w:val="00A27C06"/>
    <w:rsid w:val="00A27D94"/>
    <w:rsid w:val="00A27F67"/>
    <w:rsid w:val="00A40FB6"/>
    <w:rsid w:val="00A52458"/>
    <w:rsid w:val="00A67A25"/>
    <w:rsid w:val="00A93CAF"/>
    <w:rsid w:val="00AA5609"/>
    <w:rsid w:val="00AA72E4"/>
    <w:rsid w:val="00AB2BBB"/>
    <w:rsid w:val="00AB68A7"/>
    <w:rsid w:val="00AB6999"/>
    <w:rsid w:val="00AD2E14"/>
    <w:rsid w:val="00AE03FA"/>
    <w:rsid w:val="00AE0C8F"/>
    <w:rsid w:val="00AF63AC"/>
    <w:rsid w:val="00B027ED"/>
    <w:rsid w:val="00B04857"/>
    <w:rsid w:val="00B15772"/>
    <w:rsid w:val="00B17F9F"/>
    <w:rsid w:val="00B37A15"/>
    <w:rsid w:val="00B400E5"/>
    <w:rsid w:val="00B4347E"/>
    <w:rsid w:val="00B503C2"/>
    <w:rsid w:val="00B52E6C"/>
    <w:rsid w:val="00B655D9"/>
    <w:rsid w:val="00B72AB0"/>
    <w:rsid w:val="00B91DF0"/>
    <w:rsid w:val="00B95049"/>
    <w:rsid w:val="00BA3341"/>
    <w:rsid w:val="00BC0E1F"/>
    <w:rsid w:val="00BC19FC"/>
    <w:rsid w:val="00BC4A83"/>
    <w:rsid w:val="00BD24AA"/>
    <w:rsid w:val="00BF2BAF"/>
    <w:rsid w:val="00C03765"/>
    <w:rsid w:val="00C313B7"/>
    <w:rsid w:val="00C3427B"/>
    <w:rsid w:val="00C34EF4"/>
    <w:rsid w:val="00C36E8A"/>
    <w:rsid w:val="00C45BF3"/>
    <w:rsid w:val="00C47364"/>
    <w:rsid w:val="00C622B7"/>
    <w:rsid w:val="00C66A11"/>
    <w:rsid w:val="00C753B8"/>
    <w:rsid w:val="00C763D8"/>
    <w:rsid w:val="00C80CDA"/>
    <w:rsid w:val="00C81979"/>
    <w:rsid w:val="00C848F1"/>
    <w:rsid w:val="00C9324B"/>
    <w:rsid w:val="00C9786E"/>
    <w:rsid w:val="00CA357C"/>
    <w:rsid w:val="00CA6A22"/>
    <w:rsid w:val="00CB7FB8"/>
    <w:rsid w:val="00CD3446"/>
    <w:rsid w:val="00CE324D"/>
    <w:rsid w:val="00CE5B02"/>
    <w:rsid w:val="00CE6383"/>
    <w:rsid w:val="00CF2B15"/>
    <w:rsid w:val="00CF33F6"/>
    <w:rsid w:val="00D21B96"/>
    <w:rsid w:val="00D23A3D"/>
    <w:rsid w:val="00D250C4"/>
    <w:rsid w:val="00D30FA8"/>
    <w:rsid w:val="00D3670C"/>
    <w:rsid w:val="00D36E74"/>
    <w:rsid w:val="00D40D49"/>
    <w:rsid w:val="00D44CDE"/>
    <w:rsid w:val="00D45FF9"/>
    <w:rsid w:val="00D5591B"/>
    <w:rsid w:val="00D857A8"/>
    <w:rsid w:val="00D92D95"/>
    <w:rsid w:val="00D94AA8"/>
    <w:rsid w:val="00DA005C"/>
    <w:rsid w:val="00DB4F57"/>
    <w:rsid w:val="00DB79C6"/>
    <w:rsid w:val="00DC2B59"/>
    <w:rsid w:val="00DC3BE7"/>
    <w:rsid w:val="00DF2D63"/>
    <w:rsid w:val="00DF3964"/>
    <w:rsid w:val="00DF4088"/>
    <w:rsid w:val="00E03B00"/>
    <w:rsid w:val="00E04398"/>
    <w:rsid w:val="00E11BF0"/>
    <w:rsid w:val="00E130B8"/>
    <w:rsid w:val="00E13C57"/>
    <w:rsid w:val="00E33B56"/>
    <w:rsid w:val="00E35830"/>
    <w:rsid w:val="00E36DA7"/>
    <w:rsid w:val="00E5390E"/>
    <w:rsid w:val="00E640D1"/>
    <w:rsid w:val="00E736EA"/>
    <w:rsid w:val="00E84671"/>
    <w:rsid w:val="00E9393A"/>
    <w:rsid w:val="00E96A82"/>
    <w:rsid w:val="00EA23C9"/>
    <w:rsid w:val="00EA47A3"/>
    <w:rsid w:val="00EB6E73"/>
    <w:rsid w:val="00EC2BC5"/>
    <w:rsid w:val="00EC6C0B"/>
    <w:rsid w:val="00EE323C"/>
    <w:rsid w:val="00EE3779"/>
    <w:rsid w:val="00EE5935"/>
    <w:rsid w:val="00EF3F48"/>
    <w:rsid w:val="00EF686D"/>
    <w:rsid w:val="00F121AB"/>
    <w:rsid w:val="00F42952"/>
    <w:rsid w:val="00F510A3"/>
    <w:rsid w:val="00F64CA2"/>
    <w:rsid w:val="00F666F0"/>
    <w:rsid w:val="00F805F3"/>
    <w:rsid w:val="00F81408"/>
    <w:rsid w:val="00FA53DC"/>
    <w:rsid w:val="00FB2CF8"/>
    <w:rsid w:val="00FC5279"/>
    <w:rsid w:val="00FE077A"/>
    <w:rsid w:val="00FE5676"/>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AFBAC6"/>
  <w15:docId w15:val="{AD8A82EA-ABC6-4259-BCD8-DE8A0764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261CC2"/>
    <w:pPr>
      <w:keepNext/>
      <w:keepLines/>
      <w:pageBreakBefore/>
      <w:spacing w:before="240" w:after="320"/>
      <w:contextualSpacing/>
      <w:outlineLvl w:val="0"/>
    </w:pPr>
    <w:rPr>
      <w:rFonts w:ascii="Tahoma" w:eastAsiaTheme="majorEastAsia" w:hAnsi="Tahoma" w:cstheme="majorBidi"/>
      <w:color w:val="FFFFFF" w:themeColor="background1"/>
      <w:sz w:val="52"/>
      <w:szCs w:val="48"/>
    </w:rPr>
  </w:style>
  <w:style w:type="paragraph" w:styleId="Heading2">
    <w:name w:val="heading 2"/>
    <w:basedOn w:val="Normal"/>
    <w:next w:val="Normal"/>
    <w:link w:val="Heading2Char"/>
    <w:uiPriority w:val="9"/>
    <w:unhideWhenUsed/>
    <w:qFormat/>
    <w:rsid w:val="00D36E74"/>
    <w:pPr>
      <w:keepNext/>
      <w:keepLines/>
      <w:spacing w:before="240"/>
      <w:outlineLvl w:val="1"/>
    </w:pPr>
    <w:rPr>
      <w:rFonts w:ascii="Tahoma" w:eastAsiaTheme="majorEastAsia" w:hAnsi="Tahoma" w:cstheme="majorBidi"/>
      <w:b/>
      <w:color w:val="236192" w:themeColor="accent1"/>
      <w:sz w:val="26"/>
      <w:szCs w:val="26"/>
    </w:rPr>
  </w:style>
  <w:style w:type="paragraph" w:styleId="Heading3">
    <w:name w:val="heading 3"/>
    <w:basedOn w:val="Normal"/>
    <w:next w:val="Normal"/>
    <w:link w:val="Heading3Char"/>
    <w:uiPriority w:val="9"/>
    <w:unhideWhenUsed/>
    <w:qFormat/>
    <w:rsid w:val="00D36E74"/>
    <w:pPr>
      <w:keepNext/>
      <w:keepLines/>
      <w:spacing w:before="200" w:after="120"/>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1A1212"/>
    <w:pPr>
      <w:numPr>
        <w:ilvl w:val="1"/>
      </w:numPr>
      <w:spacing w:after="240"/>
    </w:pPr>
    <w:rPr>
      <w:rFonts w:eastAsiaTheme="minorEastAsia"/>
      <w:color w:val="FFFFFF" w:themeColor="background1"/>
      <w:sz w:val="28"/>
    </w:rPr>
  </w:style>
  <w:style w:type="character" w:customStyle="1" w:styleId="SubtitleChar">
    <w:name w:val="Subtitle Char"/>
    <w:basedOn w:val="DefaultParagraphFont"/>
    <w:link w:val="Subtitle"/>
    <w:uiPriority w:val="11"/>
    <w:rsid w:val="001A1212"/>
    <w:rPr>
      <w:rFonts w:eastAsiaTheme="minorEastAsia"/>
      <w:color w:val="FFFFFF" w:themeColor="background1"/>
      <w:sz w:val="28"/>
      <w:lang w:val="en-AU"/>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261CC2"/>
    <w:rPr>
      <w:rFonts w:ascii="Tahoma" w:eastAsiaTheme="majorEastAsia" w:hAnsi="Tahoma" w:cstheme="majorBidi"/>
      <w:color w:val="FFFFFF" w:themeColor="background1"/>
      <w:sz w:val="52"/>
      <w:szCs w:val="48"/>
      <w:lang w:val="en-AU"/>
    </w:rPr>
  </w:style>
  <w:style w:type="character" w:customStyle="1" w:styleId="Heading2Char">
    <w:name w:val="Heading 2 Char"/>
    <w:basedOn w:val="DefaultParagraphFont"/>
    <w:link w:val="Heading2"/>
    <w:uiPriority w:val="9"/>
    <w:rsid w:val="00D36E74"/>
    <w:rPr>
      <w:rFonts w:ascii="Tahoma" w:eastAsiaTheme="majorEastAsia" w:hAnsi="Tahoma" w:cstheme="majorBidi"/>
      <w:b/>
      <w:color w:val="236192" w:themeColor="accent1"/>
      <w:sz w:val="26"/>
      <w:szCs w:val="26"/>
      <w:lang w:val="en-AU"/>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D45FF9"/>
    <w:rPr>
      <w:b w:val="0"/>
      <w:color w:val="75787B" w:themeColor="background2"/>
      <w:sz w:val="22"/>
      <w:bdr w:val="none" w:sz="0" w:space="0" w:color="auto"/>
      <w:shd w:val="clear" w:color="auto" w:fill="FFFFFF" w:themeFill="background1"/>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D36E74"/>
    <w:rPr>
      <w:rFonts w:asciiTheme="majorHAnsi" w:eastAsiaTheme="majorEastAsia" w:hAnsiTheme="majorHAnsi" w:cstheme="majorBidi"/>
      <w:b/>
      <w:color w:val="000000" w:themeColor="text1"/>
      <w:szCs w:val="24"/>
      <w:lang w:val="en-AU"/>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C9324B"/>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C313B7"/>
    <w:rPr>
      <w:rFonts w:asciiTheme="majorHAnsi" w:eastAsiaTheme="majorEastAsia" w:hAnsiTheme="majorHAnsi" w:cstheme="majorBidi"/>
      <w:b/>
      <w:caps w:val="0"/>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lang w:val="en-AU"/>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B17F9F"/>
    <w:rPr>
      <w:sz w:val="16"/>
      <w:szCs w:val="16"/>
    </w:rPr>
  </w:style>
  <w:style w:type="paragraph" w:styleId="CommentText">
    <w:name w:val="annotation text"/>
    <w:basedOn w:val="Normal"/>
    <w:link w:val="CommentTextChar"/>
    <w:uiPriority w:val="99"/>
    <w:semiHidden/>
    <w:unhideWhenUsed/>
    <w:rsid w:val="00B17F9F"/>
    <w:pPr>
      <w:spacing w:line="240" w:lineRule="auto"/>
    </w:pPr>
    <w:rPr>
      <w:sz w:val="20"/>
      <w:szCs w:val="20"/>
    </w:rPr>
  </w:style>
  <w:style w:type="character" w:customStyle="1" w:styleId="CommentTextChar">
    <w:name w:val="Comment Text Char"/>
    <w:basedOn w:val="DefaultParagraphFont"/>
    <w:link w:val="CommentText"/>
    <w:uiPriority w:val="99"/>
    <w:semiHidden/>
    <w:rsid w:val="00B17F9F"/>
    <w:rPr>
      <w:sz w:val="20"/>
      <w:szCs w:val="20"/>
      <w:lang w:val="en-AU"/>
    </w:rPr>
  </w:style>
  <w:style w:type="paragraph" w:styleId="CommentSubject">
    <w:name w:val="annotation subject"/>
    <w:basedOn w:val="CommentText"/>
    <w:next w:val="CommentText"/>
    <w:link w:val="CommentSubjectChar"/>
    <w:uiPriority w:val="99"/>
    <w:semiHidden/>
    <w:unhideWhenUsed/>
    <w:rsid w:val="00B17F9F"/>
    <w:rPr>
      <w:b/>
      <w:bCs/>
    </w:rPr>
  </w:style>
  <w:style w:type="character" w:customStyle="1" w:styleId="CommentSubjectChar">
    <w:name w:val="Comment Subject Char"/>
    <w:basedOn w:val="CommentTextChar"/>
    <w:link w:val="CommentSubject"/>
    <w:uiPriority w:val="99"/>
    <w:semiHidden/>
    <w:rsid w:val="00B17F9F"/>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758214156">
      <w:bodyDiv w:val="1"/>
      <w:marLeft w:val="0"/>
      <w:marRight w:val="0"/>
      <w:marTop w:val="0"/>
      <w:marBottom w:val="0"/>
      <w:divBdr>
        <w:top w:val="none" w:sz="0" w:space="0" w:color="auto"/>
        <w:left w:val="none" w:sz="0" w:space="0" w:color="auto"/>
        <w:bottom w:val="none" w:sz="0" w:space="0" w:color="auto"/>
        <w:right w:val="none" w:sz="0" w:space="0" w:color="auto"/>
      </w:divBdr>
    </w:div>
    <w:div w:id="853303613">
      <w:bodyDiv w:val="1"/>
      <w:marLeft w:val="0"/>
      <w:marRight w:val="0"/>
      <w:marTop w:val="0"/>
      <w:marBottom w:val="0"/>
      <w:divBdr>
        <w:top w:val="none" w:sz="0" w:space="0" w:color="auto"/>
        <w:left w:val="none" w:sz="0" w:space="0" w:color="auto"/>
        <w:bottom w:val="none" w:sz="0" w:space="0" w:color="auto"/>
        <w:right w:val="none" w:sz="0" w:space="0" w:color="auto"/>
      </w:divBdr>
    </w:div>
    <w:div w:id="1154948992">
      <w:bodyDiv w:val="1"/>
      <w:marLeft w:val="0"/>
      <w:marRight w:val="0"/>
      <w:marTop w:val="0"/>
      <w:marBottom w:val="0"/>
      <w:divBdr>
        <w:top w:val="none" w:sz="0" w:space="0" w:color="auto"/>
        <w:left w:val="none" w:sz="0" w:space="0" w:color="auto"/>
        <w:bottom w:val="none" w:sz="0" w:space="0" w:color="auto"/>
        <w:right w:val="none" w:sz="0" w:space="0" w:color="auto"/>
      </w:divBdr>
    </w:div>
    <w:div w:id="1306547396">
      <w:bodyDiv w:val="1"/>
      <w:marLeft w:val="0"/>
      <w:marRight w:val="0"/>
      <w:marTop w:val="0"/>
      <w:marBottom w:val="0"/>
      <w:divBdr>
        <w:top w:val="none" w:sz="0" w:space="0" w:color="auto"/>
        <w:left w:val="none" w:sz="0" w:space="0" w:color="auto"/>
        <w:bottom w:val="none" w:sz="0" w:space="0" w:color="auto"/>
        <w:right w:val="none" w:sz="0" w:space="0" w:color="auto"/>
      </w:divBdr>
    </w:div>
    <w:div w:id="1922442155">
      <w:bodyDiv w:val="1"/>
      <w:marLeft w:val="0"/>
      <w:marRight w:val="0"/>
      <w:marTop w:val="0"/>
      <w:marBottom w:val="0"/>
      <w:divBdr>
        <w:top w:val="none" w:sz="0" w:space="0" w:color="auto"/>
        <w:left w:val="none" w:sz="0" w:space="0" w:color="auto"/>
        <w:bottom w:val="none" w:sz="0" w:space="0" w:color="auto"/>
        <w:right w:val="none" w:sz="0" w:space="0" w:color="auto"/>
      </w:divBdr>
    </w:div>
    <w:div w:id="202338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au.linkedin.com/company/essential-services-commissio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water@esc.vic.gov.au" TargetMode="External"/><Relationship Id="rId17" Type="http://schemas.openxmlformats.org/officeDocument/2006/relationships/hyperlink" Target="http://www.esc.vic.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c.vic.gov.au/waterpricerevie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twitter.com/essentialvi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gent\Desktop\Fact%20sheet%20-%20water.dotx" TargetMode="External"/></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0EB45-E421-44E5-89DF-B801776DE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water</Template>
  <TotalTime>72</TotalTime>
  <Pages>4</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Goulburn-Murray Water: customer fact sheet</vt:lpstr>
    </vt:vector>
  </TitlesOfParts>
  <Company>Essential Services Commission</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Goulburn-Murray Water: customer fact sheet</dc:title>
  <dc:subject/>
  <dc:creator>Siobhan Argent</dc:creator>
  <cp:keywords>Southern Rural Water</cp:keywords>
  <cp:lastModifiedBy>Lucy Weston (ESC)</cp:lastModifiedBy>
  <cp:revision>15</cp:revision>
  <cp:lastPrinted>2019-12-04T00:38:00Z</cp:lastPrinted>
  <dcterms:created xsi:type="dcterms:W3CDTF">2019-11-27T23:32:00Z</dcterms:created>
  <dcterms:modified xsi:type="dcterms:W3CDTF">2019-12-04T00:38:00Z</dcterms:modified>
</cp:coreProperties>
</file>