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CD4B" w14:textId="77777777"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03DEAAEA" w14:textId="77777777" w:rsidR="007E1738" w:rsidRDefault="007E1738" w:rsidP="00633068">
      <w:pPr>
        <w:pStyle w:val="NoSpacing"/>
      </w:pPr>
    </w:p>
    <w:p w14:paraId="104F7F72" w14:textId="77777777" w:rsidR="007E1738" w:rsidRDefault="007E1738" w:rsidP="00633068">
      <w:pPr>
        <w:pStyle w:val="NoSpacing"/>
      </w:pPr>
    </w:p>
    <w:p w14:paraId="54D8E0E0" w14:textId="77777777" w:rsidR="007E1738" w:rsidRDefault="007E1738" w:rsidP="00633068">
      <w:pPr>
        <w:pStyle w:val="NoSpacing"/>
      </w:pPr>
    </w:p>
    <w:p w14:paraId="1F37CE83" w14:textId="77777777" w:rsidR="007E1738" w:rsidRDefault="007E1738" w:rsidP="00633068">
      <w:pPr>
        <w:pStyle w:val="NoSpacing"/>
      </w:pPr>
    </w:p>
    <w:p w14:paraId="3AFA48F6" w14:textId="77777777" w:rsidR="007E1738" w:rsidRDefault="007E1738" w:rsidP="00633068">
      <w:pPr>
        <w:pStyle w:val="NoSpacing"/>
      </w:pPr>
    </w:p>
    <w:p w14:paraId="2ECDE93F" w14:textId="77777777" w:rsidR="007E1738" w:rsidRDefault="007E1738" w:rsidP="00633068">
      <w:pPr>
        <w:pStyle w:val="NoSpacing"/>
      </w:pPr>
    </w:p>
    <w:p w14:paraId="2C79F499" w14:textId="77777777" w:rsidR="007E1738" w:rsidRDefault="007E1738" w:rsidP="00633068">
      <w:pPr>
        <w:pStyle w:val="NoSpacing"/>
      </w:pPr>
    </w:p>
    <w:p w14:paraId="5DA95BD6" w14:textId="77777777" w:rsidR="007E1738" w:rsidRDefault="007E1738" w:rsidP="00633068">
      <w:pPr>
        <w:pStyle w:val="NoSpacing"/>
      </w:pPr>
    </w:p>
    <w:p w14:paraId="4534FACE" w14:textId="77777777" w:rsidR="007E1738" w:rsidRDefault="007E1738" w:rsidP="00633068">
      <w:pPr>
        <w:pStyle w:val="NoSpacing"/>
      </w:pPr>
    </w:p>
    <w:p w14:paraId="1C86976A" w14:textId="77777777" w:rsidR="007E1738" w:rsidRDefault="007E1738" w:rsidP="00633068">
      <w:pPr>
        <w:pStyle w:val="NoSpacing"/>
      </w:pPr>
    </w:p>
    <w:p w14:paraId="726B8A88" w14:textId="77777777" w:rsidR="007E1738" w:rsidRDefault="007E1738" w:rsidP="00633068">
      <w:pPr>
        <w:pStyle w:val="NoSpacing"/>
      </w:pPr>
    </w:p>
    <w:p w14:paraId="22AE791F" w14:textId="77777777" w:rsidR="007E1738" w:rsidRDefault="007E1738" w:rsidP="00633068">
      <w:pPr>
        <w:pStyle w:val="NoSpacing"/>
      </w:pPr>
    </w:p>
    <w:p w14:paraId="1A695B87" w14:textId="77777777" w:rsidR="007E1738" w:rsidRDefault="007E1738" w:rsidP="00633068">
      <w:pPr>
        <w:pStyle w:val="NoSpacing"/>
      </w:pPr>
    </w:p>
    <w:sdt>
      <w:sdtPr>
        <w:rPr>
          <w:lang w:val="en-AU"/>
        </w:rPr>
        <w:id w:val="-1806228930"/>
        <w:docPartObj>
          <w:docPartGallery w:val="Cover Pages"/>
          <w:docPartUnique/>
        </w:docPartObj>
      </w:sdtPr>
      <w:sdtContent>
        <w:p w14:paraId="56E90589" w14:textId="77777777" w:rsidR="00067DD9" w:rsidRDefault="00067DD9" w:rsidP="00633068">
          <w:pPr>
            <w:pStyle w:val="NoSpacing"/>
            <w:sectPr w:rsidR="00067DD9" w:rsidSect="00000778">
              <w:headerReference w:type="default" r:id="rId11"/>
              <w:headerReference w:type="first" r:id="rId12"/>
              <w:type w:val="continuous"/>
              <w:pgSz w:w="11906" w:h="16838" w:code="9"/>
              <w:pgMar w:top="1134" w:right="1134" w:bottom="1134" w:left="1134" w:header="709" w:footer="692" w:gutter="0"/>
              <w:pgNumType w:start="0"/>
              <w:cols w:space="708"/>
              <w:docGrid w:linePitch="360"/>
            </w:sectPr>
          </w:pPr>
        </w:p>
        <w:p w14:paraId="44863B27" w14:textId="3CD231C9" w:rsidR="00067DD9" w:rsidRPr="0063494B" w:rsidRDefault="00000000" w:rsidP="007E1738">
          <w:pPr>
            <w:pStyle w:val="Title"/>
            <w:jc w:val="center"/>
          </w:pPr>
          <w:sdt>
            <w:sdtPr>
              <w:alias w:val="Title"/>
              <w:tag w:val=""/>
              <w:id w:val="-1656833702"/>
              <w:placeholder>
                <w:docPart w:val="C2E27B771B0440D0A515618326D42F63"/>
              </w:placeholder>
              <w:dataBinding w:prefixMappings="xmlns:ns0='http://purl.org/dc/elements/1.1/' xmlns:ns1='http://schemas.openxmlformats.org/package/2006/metadata/core-properties' " w:xpath="/ns1:coreProperties[1]/ns0:title[1]" w:storeItemID="{6C3C8BC8-F283-45AE-878A-BAB7291924A1}"/>
              <w:text/>
            </w:sdtPr>
            <w:sdtContent>
              <w:r w:rsidR="00960722">
                <w:t>Minimum Electricity Feed-in Tariffs from 1 July 2024</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C980D99" w14:textId="11F22D75" w:rsidR="00067DD9" w:rsidRDefault="00275EF6" w:rsidP="007E1738">
              <w:pPr>
                <w:pStyle w:val="Subtitle"/>
                <w:jc w:val="center"/>
              </w:pPr>
              <w:r>
                <w:t>Final Decision</w:t>
              </w:r>
            </w:p>
          </w:sdtContent>
        </w:sdt>
        <w:p w14:paraId="204E9CE5" w14:textId="5E2AE933" w:rsidR="00067DD9" w:rsidRDefault="00000000" w:rsidP="007E1738">
          <w:pPr>
            <w:pStyle w:val="Subtitle"/>
            <w:jc w:val="center"/>
          </w:pPr>
          <w:sdt>
            <w:sdtPr>
              <w:id w:val="1251166870"/>
              <w:placeholder>
                <w:docPart w:val="6F03402753C9451895E0C26EA66B635F"/>
              </w:placeholder>
              <w:date w:fullDate="2024-02-27T00:00:00Z">
                <w:dateFormat w:val="d MMMM yyyy"/>
                <w:lid w:val="en-US"/>
                <w:storeMappedDataAs w:val="dateTime"/>
                <w:calendar w:val="gregorian"/>
              </w:date>
            </w:sdtPr>
            <w:sdtContent>
              <w:r w:rsidR="009A5B64">
                <w:rPr>
                  <w:lang w:val="en-US"/>
                </w:rPr>
                <w:t>27 February 2024</w:t>
              </w:r>
            </w:sdtContent>
          </w:sdt>
        </w:p>
        <w:p w14:paraId="02E5CFD7" w14:textId="77777777" w:rsidR="00067DD9" w:rsidRDefault="00067DD9"/>
        <w:p w14:paraId="45632BFE" w14:textId="77777777" w:rsidR="00067DD9" w:rsidRDefault="00067DD9">
          <w:pPr>
            <w:spacing w:line="259" w:lineRule="auto"/>
          </w:pPr>
          <w:r>
            <w:br w:type="page"/>
          </w:r>
        </w:p>
      </w:sdtContent>
    </w:sdt>
    <w:p w14:paraId="089B94A8" w14:textId="77777777" w:rsidR="00F83935" w:rsidRDefault="00F83935" w:rsidP="000D4547">
      <w:pPr>
        <w:pStyle w:val="NoSpacing"/>
        <w:rPr>
          <w:b/>
        </w:rPr>
      </w:pPr>
    </w:p>
    <w:bookmarkEnd w:id="1"/>
    <w:bookmarkEnd w:id="2"/>
    <w:bookmarkEnd w:id="3"/>
    <w:p w14:paraId="53A2B24B" w14:textId="77777777" w:rsidR="00FB5D3F" w:rsidRDefault="00FB5D3F" w:rsidP="00FB5D3F"/>
    <w:p w14:paraId="239EC91B" w14:textId="77777777" w:rsidR="00FB5D3F" w:rsidRDefault="00FB5D3F" w:rsidP="00FB5D3F"/>
    <w:p w14:paraId="1D95CCD4" w14:textId="77777777" w:rsidR="00FB5D3F" w:rsidRDefault="00FB5D3F" w:rsidP="00FB5D3F"/>
    <w:p w14:paraId="16DFA773" w14:textId="77777777" w:rsidR="00FB5D3F" w:rsidRDefault="00FB5D3F" w:rsidP="00FB5D3F"/>
    <w:p w14:paraId="1D27B6BA" w14:textId="77777777" w:rsidR="00FB5D3F" w:rsidRDefault="00FB5D3F" w:rsidP="00FB5D3F"/>
    <w:p w14:paraId="1799D025" w14:textId="77777777" w:rsidR="00FB5D3F" w:rsidRDefault="00FB5D3F" w:rsidP="00FB5D3F">
      <w:pPr>
        <w:pStyle w:val="Heading2"/>
      </w:pPr>
      <w:bookmarkStart w:id="5" w:name="_Toc159844529"/>
      <w:r>
        <w:t>Acknowledgement</w:t>
      </w:r>
      <w:bookmarkEnd w:id="5"/>
    </w:p>
    <w:p w14:paraId="02D2D55D" w14:textId="77777777" w:rsidR="00FB5D3F" w:rsidRDefault="00FB5D3F" w:rsidP="00FB5D3F">
      <w:r>
        <w:t>We acknowledge the Traditional Owners of the lands and waterways on which we work and live.</w:t>
      </w:r>
    </w:p>
    <w:p w14:paraId="6D5013EB" w14:textId="2983ECAB" w:rsidR="00FB5D3F" w:rsidRDefault="00FB5D3F" w:rsidP="00FB5D3F">
      <w:r>
        <w:t>We acknowledge all Aboriginal and Torres Strait Islander communities</w:t>
      </w:r>
      <w:r w:rsidR="004746EF">
        <w:t xml:space="preserve"> </w:t>
      </w:r>
      <w:r>
        <w:t>and pay our respects to Elders past and present.</w:t>
      </w:r>
    </w:p>
    <w:p w14:paraId="341914FC" w14:textId="77777777" w:rsidR="00FB5D3F" w:rsidRDefault="00FB5D3F" w:rsidP="00FB5D3F">
      <w:r>
        <w:t>As the First Peoples of this land, belonging to the world’s oldest living cultures, we recognise and value their knowledge, and ongoing role in shaping and enriching the story of Victoria.</w:t>
      </w:r>
    </w:p>
    <w:p w14:paraId="4146E6A2" w14:textId="77777777" w:rsidR="00FB5D3F" w:rsidRDefault="00FB5D3F" w:rsidP="00FB5D3F">
      <w:pPr>
        <w:pStyle w:val="NoSpacing"/>
        <w:rPr>
          <w:b/>
        </w:rPr>
      </w:pPr>
    </w:p>
    <w:p w14:paraId="580A9B95" w14:textId="77777777" w:rsidR="00FB5D3F" w:rsidRDefault="00FB5D3F" w:rsidP="00FB5D3F">
      <w:pPr>
        <w:spacing w:line="259" w:lineRule="auto"/>
        <w:rPr>
          <w:rStyle w:val="Strong"/>
        </w:rPr>
      </w:pPr>
    </w:p>
    <w:p w14:paraId="29FF8EF4" w14:textId="77777777" w:rsidR="00FB5D3F" w:rsidRDefault="00FB5D3F" w:rsidP="00FB5D3F">
      <w:pPr>
        <w:spacing w:line="259" w:lineRule="auto"/>
        <w:rPr>
          <w:rStyle w:val="Strong"/>
        </w:rPr>
      </w:pPr>
    </w:p>
    <w:p w14:paraId="4C1BE8BA" w14:textId="77777777" w:rsidR="00FB5D3F" w:rsidRDefault="00FB5D3F" w:rsidP="00FB5D3F">
      <w:pPr>
        <w:spacing w:line="259" w:lineRule="auto"/>
        <w:rPr>
          <w:rStyle w:val="Strong"/>
        </w:rPr>
      </w:pPr>
    </w:p>
    <w:p w14:paraId="65BC095A" w14:textId="77777777" w:rsidR="00FB5D3F" w:rsidRPr="00F83935" w:rsidRDefault="00FB5D3F" w:rsidP="00FB5D3F">
      <w:pPr>
        <w:spacing w:line="259" w:lineRule="auto"/>
        <w:rPr>
          <w:rStyle w:val="Strong"/>
          <w:b w:val="0"/>
          <w:bCs w:val="0"/>
        </w:rPr>
      </w:pPr>
      <w:r w:rsidRPr="00710792">
        <w:rPr>
          <w:rStyle w:val="Strong"/>
        </w:rPr>
        <w:t>An appropriate citation for this paper is:</w:t>
      </w:r>
    </w:p>
    <w:p w14:paraId="79BF9D1B" w14:textId="4CFD68BD" w:rsidR="00FB5D3F" w:rsidRDefault="00FB5D3F" w:rsidP="00FB5D3F">
      <w:r>
        <w:t xml:space="preserve">Essential Services Commission </w:t>
      </w:r>
      <w:sdt>
        <w:sdtPr>
          <w:alias w:val="Year"/>
          <w:tag w:val="Year"/>
          <w:id w:val="-1184668763"/>
          <w:placeholder>
            <w:docPart w:val="239B74B6562C4E07B295F08C831DCD72"/>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FD5449">
            <w:t>2024</w:t>
          </w:r>
        </w:sdtContent>
      </w:sdt>
      <w:r>
        <w:t xml:space="preserve">, </w:t>
      </w:r>
      <w:sdt>
        <w:sdtPr>
          <w:rPr>
            <w:i/>
            <w:iCs/>
          </w:rPr>
          <w:alias w:val="Title"/>
          <w:tag w:val=""/>
          <w:id w:val="1260560542"/>
          <w:placeholder>
            <w:docPart w:val="140E192DA8A1450993BE2E5E85F512CC"/>
          </w:placeholder>
          <w:dataBinding w:prefixMappings="xmlns:ns0='http://purl.org/dc/elements/1.1/' xmlns:ns1='http://schemas.openxmlformats.org/package/2006/metadata/core-properties' " w:xpath="/ns1:coreProperties[1]/ns0:title[1]" w:storeItemID="{6C3C8BC8-F283-45AE-878A-BAB7291924A1}"/>
          <w:text/>
        </w:sdtPr>
        <w:sdtContent>
          <w:r w:rsidR="00960722">
            <w:rPr>
              <w:i/>
              <w:iCs/>
            </w:rPr>
            <w:t>Minimum Electricity Feed-in Tariffs from 1 July 2024</w:t>
          </w:r>
        </w:sdtContent>
      </w:sdt>
      <w:r w:rsidRPr="00981D25">
        <w:rPr>
          <w:i/>
          <w:iCs/>
        </w:rPr>
        <w:t xml:space="preserve">: </w:t>
      </w:r>
      <w:sdt>
        <w:sdtPr>
          <w:rPr>
            <w:i/>
            <w:iCs/>
          </w:rPr>
          <w:alias w:val="Subtitle"/>
          <w:tag w:val=""/>
          <w:id w:val="-295916621"/>
          <w:placeholder>
            <w:docPart w:val="B4436841E4824DCE81F3F32E50702F23"/>
          </w:placeholder>
          <w:dataBinding w:prefixMappings="xmlns:ns0='http://purl.org/dc/elements/1.1/' xmlns:ns1='http://schemas.openxmlformats.org/package/2006/metadata/core-properties' " w:xpath="/ns1:coreProperties[1]/ns0:description[1]" w:storeItemID="{6C3C8BC8-F283-45AE-878A-BAB7291924A1}"/>
          <w:text w:multiLine="1"/>
        </w:sdtPr>
        <w:sdtContent>
          <w:r w:rsidR="00275EF6" w:rsidRPr="00981D25">
            <w:rPr>
              <w:i/>
              <w:iCs/>
            </w:rPr>
            <w:t>Final Decision</w:t>
          </w:r>
        </w:sdtContent>
      </w:sdt>
      <w:r w:rsidRPr="00981D25">
        <w:rPr>
          <w:i/>
          <w:iCs/>
        </w:rPr>
        <w:t xml:space="preserve">, </w:t>
      </w:r>
      <w:sdt>
        <w:sdtPr>
          <w:rPr>
            <w:i/>
            <w:iCs/>
          </w:rPr>
          <w:alias w:val="Date"/>
          <w:tag w:val="Year"/>
          <w:id w:val="-733004738"/>
          <w:placeholder>
            <w:docPart w:val="96481528163E47148202FE7F807A6399"/>
          </w:placeholder>
          <w:date w:fullDate="2023-02-27T00:00:00Z">
            <w:dateFormat w:val="d MMMM "/>
            <w:lid w:val="en-US"/>
            <w:storeMappedDataAs w:val="dateTime"/>
            <w:calendar w:val="gregorian"/>
          </w:date>
        </w:sdtPr>
        <w:sdtContent>
          <w:r w:rsidR="009A5B64" w:rsidRPr="00B40064">
            <w:rPr>
              <w:i/>
              <w:iCs/>
              <w:lang w:val="en-US"/>
            </w:rPr>
            <w:t xml:space="preserve">27 February </w:t>
          </w:r>
        </w:sdtContent>
      </w:sdt>
    </w:p>
    <w:p w14:paraId="46FB05BA" w14:textId="77777777" w:rsidR="00FB5D3F" w:rsidRDefault="00FB5D3F" w:rsidP="00FB5D3F">
      <w:pPr>
        <w:rPr>
          <w:rStyle w:val="Strong"/>
        </w:rPr>
      </w:pPr>
      <w:bookmarkStart w:id="6" w:name="_Toc480988876"/>
      <w:bookmarkStart w:id="7" w:name="_Toc481138188"/>
      <w:bookmarkStart w:id="8" w:name="_Toc481138396"/>
    </w:p>
    <w:bookmarkEnd w:id="6"/>
    <w:bookmarkEnd w:id="7"/>
    <w:bookmarkEnd w:id="8"/>
    <w:p w14:paraId="27178039" w14:textId="495EC215" w:rsidR="00FB5D3F" w:rsidRDefault="00FB5D3F" w:rsidP="00FB5D3F">
      <w:r>
        <w:t xml:space="preserve">© Essential Services Commission, </w:t>
      </w:r>
      <w:sdt>
        <w:sdtPr>
          <w:alias w:val="Year"/>
          <w:tag w:val="Year"/>
          <w:id w:val="1606076632"/>
          <w:placeholder>
            <w:docPart w:val="20C87AE358FB4BCAA4759E62FE3C9A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8B1FC1">
            <w:t>2024</w:t>
          </w:r>
        </w:sdtContent>
      </w:sdt>
    </w:p>
    <w:p w14:paraId="4B9EC168" w14:textId="77777777" w:rsidR="00FB5D3F" w:rsidRDefault="00FB5D3F" w:rsidP="00FB5D3F">
      <w:r w:rsidRPr="00F70F20">
        <w:rPr>
          <w:noProof/>
          <w:lang w:eastAsia="en-AU"/>
        </w:rPr>
        <w:drawing>
          <wp:inline distT="0" distB="0" distL="0" distR="0" wp14:anchorId="34900C1F" wp14:editId="152DC97F">
            <wp:extent cx="1198800" cy="421200"/>
            <wp:effectExtent l="0" t="0" r="1905" b="0"/>
            <wp:docPr id="4" name="Picture 4" descr="untitl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246E7D30" w14:textId="0E640861" w:rsidR="00FB5D3F" w:rsidRDefault="00FB5D3F" w:rsidP="00FB5D3F">
      <w:r>
        <w:t xml:space="preserve">This work, </w:t>
      </w:r>
      <w:sdt>
        <w:sdtPr>
          <w:alias w:val="Title"/>
          <w:tag w:val=""/>
          <w:id w:val="1731569904"/>
          <w:placeholder>
            <w:docPart w:val="081541628B584DC4B0333642607BDAD8"/>
          </w:placeholder>
          <w:dataBinding w:prefixMappings="xmlns:ns0='http://purl.org/dc/elements/1.1/' xmlns:ns1='http://schemas.openxmlformats.org/package/2006/metadata/core-properties' " w:xpath="/ns1:coreProperties[1]/ns0:title[1]" w:storeItemID="{6C3C8BC8-F283-45AE-878A-BAB7291924A1}"/>
          <w:text/>
        </w:sdtPr>
        <w:sdtContent>
          <w:r w:rsidR="00960722">
            <w:t>Minimum Electricity Feed-in Tariffs from 1 July 2024</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3DC55C13" w14:textId="77777777" w:rsidR="00FB5D3F" w:rsidRDefault="00FB5D3F" w:rsidP="00FB5D3F">
      <w:r>
        <w:t xml:space="preserve">The licence does not apply to any brand logo, </w:t>
      </w:r>
      <w:proofErr w:type="gramStart"/>
      <w:r>
        <w:t>images</w:t>
      </w:r>
      <w:proofErr w:type="gramEnd"/>
      <w:r>
        <w:t xml:space="preserve"> or photographs within the publication.</w:t>
      </w:r>
    </w:p>
    <w:p w14:paraId="576A233C" w14:textId="77777777" w:rsidR="00717CCA" w:rsidRDefault="00717CCA" w:rsidP="00881E07"/>
    <w:bookmarkEnd w:id="4" w:displacedByCustomXml="next"/>
    <w:sdt>
      <w:sdtPr>
        <w:id w:val="1641840776"/>
        <w:lock w:val="sdtContentLocked"/>
        <w:placeholder>
          <w:docPart w:val="89546CF0731A43EEA0DAC878284F1376"/>
        </w:placeholder>
        <w:showingPlcHdr/>
        <w:text/>
      </w:sdtPr>
      <w:sdtContent>
        <w:p w14:paraId="1DD6A8F0" w14:textId="77777777" w:rsidR="004309BF" w:rsidRDefault="004309BF" w:rsidP="004309BF">
          <w:r>
            <w:t xml:space="preserve">  </w:t>
          </w:r>
        </w:p>
      </w:sdtContent>
    </w:sdt>
    <w:p w14:paraId="4F1BC77E" w14:textId="77777777" w:rsidR="008F7087" w:rsidRDefault="008F7087" w:rsidP="00710792">
      <w:pPr>
        <w:pStyle w:val="Heading1"/>
        <w:sectPr w:rsidR="008F7087" w:rsidSect="00000778">
          <w:headerReference w:type="default" r:id="rId15"/>
          <w:footerReference w:type="default" r:id="rId16"/>
          <w:type w:val="continuous"/>
          <w:pgSz w:w="11906" w:h="16838" w:code="9"/>
          <w:pgMar w:top="1134" w:right="1134" w:bottom="1134" w:left="1134" w:header="709" w:footer="692" w:gutter="0"/>
          <w:pgNumType w:fmt="lowerRoman"/>
          <w:cols w:space="708"/>
          <w:docGrid w:linePitch="360"/>
        </w:sectPr>
      </w:pPr>
      <w:bookmarkStart w:id="9" w:name="_Toc481138189"/>
      <w:bookmarkStart w:id="10" w:name="_Toc481138397"/>
    </w:p>
    <w:bookmarkEnd w:id="9"/>
    <w:bookmarkEnd w:id="10"/>
    <w:p w14:paraId="334C4E27" w14:textId="04698E0B" w:rsidR="00D3670C" w:rsidRPr="00755FBF" w:rsidRDefault="00D3670C" w:rsidP="00755FBF">
      <w:pPr>
        <w:pStyle w:val="TOCHeading"/>
        <w:rPr>
          <w:rStyle w:val="Hyperlink"/>
          <w:color w:val="D50032" w:themeColor="accent6"/>
          <w:u w:val="none"/>
        </w:rPr>
      </w:pPr>
      <w:r w:rsidRPr="00755FBF">
        <w:rPr>
          <w:rStyle w:val="Hyperlink"/>
          <w:color w:val="D50032" w:themeColor="accent6"/>
          <w:u w:val="none"/>
        </w:rPr>
        <w:t>Contents</w:t>
      </w:r>
    </w:p>
    <w:p w14:paraId="54FFA800" w14:textId="19364815" w:rsidR="00FC70B9" w:rsidRDefault="00782E55">
      <w:pPr>
        <w:pStyle w:val="TOC3"/>
        <w:rPr>
          <w:rFonts w:eastAsiaTheme="minorEastAsia"/>
          <w:kern w:val="2"/>
          <w:lang w:eastAsia="en-AU"/>
          <w14:ligatures w14:val="standardContextual"/>
        </w:rPr>
      </w:pPr>
      <w:r>
        <w:rPr>
          <w:b/>
        </w:rPr>
        <w:fldChar w:fldCharType="begin"/>
      </w:r>
      <w:r>
        <w:instrText xml:space="preserve"> TOC \h \z \t "Heading 1,1,Heading 2,3,Heading 3,5,Heading 1 numbered,2,Heading 2 numbered,4,Heading 3 numbered,6" </w:instrText>
      </w:r>
      <w:r>
        <w:rPr>
          <w:b/>
        </w:rPr>
        <w:fldChar w:fldCharType="separate"/>
      </w:r>
      <w:hyperlink w:anchor="_Toc159844529" w:history="1">
        <w:r w:rsidR="00FC70B9" w:rsidRPr="005D0794">
          <w:rPr>
            <w:rStyle w:val="Hyperlink"/>
          </w:rPr>
          <w:t>Acknowledgement</w:t>
        </w:r>
        <w:r w:rsidR="00FC70B9">
          <w:rPr>
            <w:webHidden/>
          </w:rPr>
          <w:tab/>
        </w:r>
        <w:r w:rsidR="00FC70B9">
          <w:rPr>
            <w:webHidden/>
          </w:rPr>
          <w:fldChar w:fldCharType="begin"/>
        </w:r>
        <w:r w:rsidR="00FC70B9">
          <w:rPr>
            <w:webHidden/>
          </w:rPr>
          <w:instrText xml:space="preserve"> PAGEREF _Toc159844529 \h </w:instrText>
        </w:r>
        <w:r w:rsidR="00FC70B9">
          <w:rPr>
            <w:webHidden/>
          </w:rPr>
        </w:r>
        <w:r w:rsidR="00FC70B9">
          <w:rPr>
            <w:webHidden/>
          </w:rPr>
          <w:fldChar w:fldCharType="separate"/>
        </w:r>
        <w:r w:rsidR="00FC70B9">
          <w:rPr>
            <w:webHidden/>
          </w:rPr>
          <w:t>i</w:t>
        </w:r>
        <w:r w:rsidR="00FC70B9">
          <w:rPr>
            <w:webHidden/>
          </w:rPr>
          <w:fldChar w:fldCharType="end"/>
        </w:r>
      </w:hyperlink>
    </w:p>
    <w:p w14:paraId="6EDCDDDE" w14:textId="09035A14" w:rsidR="00FC70B9" w:rsidRDefault="00000000">
      <w:pPr>
        <w:pStyle w:val="TOC2"/>
        <w:rPr>
          <w:rFonts w:eastAsiaTheme="minorEastAsia"/>
          <w:kern w:val="2"/>
          <w:lang w:eastAsia="en-AU"/>
          <w14:ligatures w14:val="standardContextual"/>
        </w:rPr>
      </w:pPr>
      <w:hyperlink w:anchor="_Toc159844530" w:history="1">
        <w:r w:rsidR="00FC70B9" w:rsidRPr="005D0794">
          <w:rPr>
            <w:rStyle w:val="Hyperlink"/>
          </w:rPr>
          <w:t>Summary</w:t>
        </w:r>
        <w:r w:rsidR="00FC70B9">
          <w:rPr>
            <w:webHidden/>
          </w:rPr>
          <w:tab/>
        </w:r>
        <w:r w:rsidR="00FC70B9">
          <w:rPr>
            <w:webHidden/>
          </w:rPr>
          <w:fldChar w:fldCharType="begin"/>
        </w:r>
        <w:r w:rsidR="00FC70B9">
          <w:rPr>
            <w:webHidden/>
          </w:rPr>
          <w:instrText xml:space="preserve"> PAGEREF _Toc159844530 \h </w:instrText>
        </w:r>
        <w:r w:rsidR="00FC70B9">
          <w:rPr>
            <w:webHidden/>
          </w:rPr>
        </w:r>
        <w:r w:rsidR="00FC70B9">
          <w:rPr>
            <w:webHidden/>
          </w:rPr>
          <w:fldChar w:fldCharType="separate"/>
        </w:r>
        <w:r w:rsidR="00FC70B9">
          <w:rPr>
            <w:webHidden/>
          </w:rPr>
          <w:t>1</w:t>
        </w:r>
        <w:r w:rsidR="00FC70B9">
          <w:rPr>
            <w:webHidden/>
          </w:rPr>
          <w:fldChar w:fldCharType="end"/>
        </w:r>
      </w:hyperlink>
    </w:p>
    <w:p w14:paraId="2A386DA2" w14:textId="729ECEFF" w:rsidR="00FC70B9" w:rsidRDefault="00000000">
      <w:pPr>
        <w:pStyle w:val="TOC4"/>
        <w:rPr>
          <w:rFonts w:eastAsiaTheme="minorEastAsia"/>
          <w:kern w:val="2"/>
          <w:lang w:eastAsia="en-AU"/>
          <w14:ligatures w14:val="standardContextual"/>
        </w:rPr>
      </w:pPr>
      <w:hyperlink w:anchor="_Toc159844531" w:history="1">
        <w:r w:rsidR="00FC70B9" w:rsidRPr="005D0794">
          <w:rPr>
            <w:rStyle w:val="Hyperlink"/>
          </w:rPr>
          <w:t>The feed-in tariff is paid to customers for exported energy</w:t>
        </w:r>
        <w:r w:rsidR="00FC70B9">
          <w:rPr>
            <w:webHidden/>
          </w:rPr>
          <w:tab/>
        </w:r>
        <w:r w:rsidR="00FC70B9">
          <w:rPr>
            <w:webHidden/>
          </w:rPr>
          <w:fldChar w:fldCharType="begin"/>
        </w:r>
        <w:r w:rsidR="00FC70B9">
          <w:rPr>
            <w:webHidden/>
          </w:rPr>
          <w:instrText xml:space="preserve"> PAGEREF _Toc159844531 \h </w:instrText>
        </w:r>
        <w:r w:rsidR="00FC70B9">
          <w:rPr>
            <w:webHidden/>
          </w:rPr>
        </w:r>
        <w:r w:rsidR="00FC70B9">
          <w:rPr>
            <w:webHidden/>
          </w:rPr>
          <w:fldChar w:fldCharType="separate"/>
        </w:r>
        <w:r w:rsidR="00FC70B9">
          <w:rPr>
            <w:webHidden/>
          </w:rPr>
          <w:t>1</w:t>
        </w:r>
        <w:r w:rsidR="00FC70B9">
          <w:rPr>
            <w:webHidden/>
          </w:rPr>
          <w:fldChar w:fldCharType="end"/>
        </w:r>
      </w:hyperlink>
    </w:p>
    <w:p w14:paraId="51D2AD8D" w14:textId="1064F20F" w:rsidR="00FC70B9" w:rsidRDefault="00000000">
      <w:pPr>
        <w:pStyle w:val="TOC6"/>
        <w:rPr>
          <w:rFonts w:eastAsiaTheme="minorEastAsia"/>
          <w:noProof/>
          <w:kern w:val="2"/>
          <w:lang w:eastAsia="en-AU"/>
          <w14:ligatures w14:val="standardContextual"/>
        </w:rPr>
      </w:pPr>
      <w:hyperlink w:anchor="_Toc159844532" w:history="1">
        <w:r w:rsidR="00FC70B9" w:rsidRPr="005D0794">
          <w:rPr>
            <w:rStyle w:val="Hyperlink"/>
            <w:noProof/>
          </w:rPr>
          <w:t>Solar customers</w:t>
        </w:r>
        <w:r w:rsidR="00FC70B9">
          <w:rPr>
            <w:noProof/>
            <w:webHidden/>
          </w:rPr>
          <w:tab/>
        </w:r>
        <w:r w:rsidR="00FC70B9">
          <w:rPr>
            <w:noProof/>
            <w:webHidden/>
          </w:rPr>
          <w:fldChar w:fldCharType="begin"/>
        </w:r>
        <w:r w:rsidR="00FC70B9">
          <w:rPr>
            <w:noProof/>
            <w:webHidden/>
          </w:rPr>
          <w:instrText xml:space="preserve"> PAGEREF _Toc159844532 \h </w:instrText>
        </w:r>
        <w:r w:rsidR="00FC70B9">
          <w:rPr>
            <w:noProof/>
            <w:webHidden/>
          </w:rPr>
        </w:r>
        <w:r w:rsidR="00FC70B9">
          <w:rPr>
            <w:noProof/>
            <w:webHidden/>
          </w:rPr>
          <w:fldChar w:fldCharType="separate"/>
        </w:r>
        <w:r w:rsidR="00FC70B9">
          <w:rPr>
            <w:noProof/>
            <w:webHidden/>
          </w:rPr>
          <w:t>2</w:t>
        </w:r>
        <w:r w:rsidR="00FC70B9">
          <w:rPr>
            <w:noProof/>
            <w:webHidden/>
          </w:rPr>
          <w:fldChar w:fldCharType="end"/>
        </w:r>
      </w:hyperlink>
    </w:p>
    <w:p w14:paraId="1A58E1ED" w14:textId="7109AA6F" w:rsidR="00FC70B9" w:rsidRDefault="00000000">
      <w:pPr>
        <w:pStyle w:val="TOC3"/>
        <w:rPr>
          <w:rFonts w:eastAsiaTheme="minorEastAsia"/>
          <w:kern w:val="2"/>
          <w:lang w:eastAsia="en-AU"/>
          <w14:ligatures w14:val="standardContextual"/>
        </w:rPr>
      </w:pPr>
      <w:hyperlink w:anchor="_Toc159844533" w:history="1">
        <w:r w:rsidR="00FC70B9" w:rsidRPr="005D0794">
          <w:rPr>
            <w:rStyle w:val="Hyperlink"/>
          </w:rPr>
          <w:t>We must set the minimum feed-in tariffs</w:t>
        </w:r>
        <w:r w:rsidR="00FC70B9">
          <w:rPr>
            <w:webHidden/>
          </w:rPr>
          <w:tab/>
        </w:r>
        <w:r w:rsidR="00FC70B9">
          <w:rPr>
            <w:webHidden/>
          </w:rPr>
          <w:fldChar w:fldCharType="begin"/>
        </w:r>
        <w:r w:rsidR="00FC70B9">
          <w:rPr>
            <w:webHidden/>
          </w:rPr>
          <w:instrText xml:space="preserve"> PAGEREF _Toc159844533 \h </w:instrText>
        </w:r>
        <w:r w:rsidR="00FC70B9">
          <w:rPr>
            <w:webHidden/>
          </w:rPr>
        </w:r>
        <w:r w:rsidR="00FC70B9">
          <w:rPr>
            <w:webHidden/>
          </w:rPr>
          <w:fldChar w:fldCharType="separate"/>
        </w:r>
        <w:r w:rsidR="00FC70B9">
          <w:rPr>
            <w:webHidden/>
          </w:rPr>
          <w:t>2</w:t>
        </w:r>
        <w:r w:rsidR="00FC70B9">
          <w:rPr>
            <w:webHidden/>
          </w:rPr>
          <w:fldChar w:fldCharType="end"/>
        </w:r>
      </w:hyperlink>
    </w:p>
    <w:p w14:paraId="5EE0038F" w14:textId="630AD8E5" w:rsidR="00FC70B9" w:rsidRDefault="00000000">
      <w:pPr>
        <w:pStyle w:val="TOC3"/>
        <w:rPr>
          <w:rFonts w:eastAsiaTheme="minorEastAsia"/>
          <w:kern w:val="2"/>
          <w:lang w:eastAsia="en-AU"/>
          <w14:ligatures w14:val="standardContextual"/>
        </w:rPr>
      </w:pPr>
      <w:hyperlink w:anchor="_Toc159844534" w:history="1">
        <w:r w:rsidR="00FC70B9" w:rsidRPr="005D0794">
          <w:rPr>
            <w:rStyle w:val="Hyperlink"/>
          </w:rPr>
          <w:t>We protect the interests of solar and non-solar customers</w:t>
        </w:r>
        <w:r w:rsidR="00FC70B9">
          <w:rPr>
            <w:webHidden/>
          </w:rPr>
          <w:tab/>
        </w:r>
        <w:r w:rsidR="00FC70B9">
          <w:rPr>
            <w:webHidden/>
          </w:rPr>
          <w:fldChar w:fldCharType="begin"/>
        </w:r>
        <w:r w:rsidR="00FC70B9">
          <w:rPr>
            <w:webHidden/>
          </w:rPr>
          <w:instrText xml:space="preserve"> PAGEREF _Toc159844534 \h </w:instrText>
        </w:r>
        <w:r w:rsidR="00FC70B9">
          <w:rPr>
            <w:webHidden/>
          </w:rPr>
        </w:r>
        <w:r w:rsidR="00FC70B9">
          <w:rPr>
            <w:webHidden/>
          </w:rPr>
          <w:fldChar w:fldCharType="separate"/>
        </w:r>
        <w:r w:rsidR="00FC70B9">
          <w:rPr>
            <w:webHidden/>
          </w:rPr>
          <w:t>3</w:t>
        </w:r>
        <w:r w:rsidR="00FC70B9">
          <w:rPr>
            <w:webHidden/>
          </w:rPr>
          <w:fldChar w:fldCharType="end"/>
        </w:r>
      </w:hyperlink>
    </w:p>
    <w:p w14:paraId="52F56335" w14:textId="4D04B9A0" w:rsidR="00FC70B9" w:rsidRDefault="00000000">
      <w:pPr>
        <w:pStyle w:val="TOC6"/>
        <w:rPr>
          <w:rFonts w:eastAsiaTheme="minorEastAsia"/>
          <w:noProof/>
          <w:kern w:val="2"/>
          <w:lang w:eastAsia="en-AU"/>
          <w14:ligatures w14:val="standardContextual"/>
        </w:rPr>
      </w:pPr>
      <w:hyperlink w:anchor="_Toc159844535" w:history="1">
        <w:r w:rsidR="00FC70B9" w:rsidRPr="005D0794">
          <w:rPr>
            <w:rStyle w:val="Hyperlink"/>
            <w:noProof/>
          </w:rPr>
          <w:t>The value of solar exports</w:t>
        </w:r>
        <w:r w:rsidR="00FC70B9">
          <w:rPr>
            <w:noProof/>
            <w:webHidden/>
          </w:rPr>
          <w:tab/>
        </w:r>
        <w:r w:rsidR="00FC70B9">
          <w:rPr>
            <w:noProof/>
            <w:webHidden/>
          </w:rPr>
          <w:fldChar w:fldCharType="begin"/>
        </w:r>
        <w:r w:rsidR="00FC70B9">
          <w:rPr>
            <w:noProof/>
            <w:webHidden/>
          </w:rPr>
          <w:instrText xml:space="preserve"> PAGEREF _Toc159844535 \h </w:instrText>
        </w:r>
        <w:r w:rsidR="00FC70B9">
          <w:rPr>
            <w:noProof/>
            <w:webHidden/>
          </w:rPr>
        </w:r>
        <w:r w:rsidR="00FC70B9">
          <w:rPr>
            <w:noProof/>
            <w:webHidden/>
          </w:rPr>
          <w:fldChar w:fldCharType="separate"/>
        </w:r>
        <w:r w:rsidR="00FC70B9">
          <w:rPr>
            <w:noProof/>
            <w:webHidden/>
          </w:rPr>
          <w:t>3</w:t>
        </w:r>
        <w:r w:rsidR="00FC70B9">
          <w:rPr>
            <w:noProof/>
            <w:webHidden/>
          </w:rPr>
          <w:fldChar w:fldCharType="end"/>
        </w:r>
      </w:hyperlink>
    </w:p>
    <w:p w14:paraId="2AEBD56D" w14:textId="35C8261D" w:rsidR="00FC70B9" w:rsidRDefault="00000000">
      <w:pPr>
        <w:pStyle w:val="TOC4"/>
        <w:rPr>
          <w:rFonts w:eastAsiaTheme="minorEastAsia"/>
          <w:kern w:val="2"/>
          <w:lang w:eastAsia="en-AU"/>
          <w14:ligatures w14:val="standardContextual"/>
        </w:rPr>
      </w:pPr>
      <w:hyperlink w:anchor="_Toc159844536" w:history="1">
        <w:r w:rsidR="00FC70B9" w:rsidRPr="005D0794">
          <w:rPr>
            <w:rStyle w:val="Hyperlink"/>
          </w:rPr>
          <w:t>Our final decision will lower the feed-in tariffs</w:t>
        </w:r>
        <w:r w:rsidR="00FC70B9">
          <w:rPr>
            <w:webHidden/>
          </w:rPr>
          <w:tab/>
        </w:r>
        <w:r w:rsidR="00FC70B9">
          <w:rPr>
            <w:webHidden/>
          </w:rPr>
          <w:fldChar w:fldCharType="begin"/>
        </w:r>
        <w:r w:rsidR="00FC70B9">
          <w:rPr>
            <w:webHidden/>
          </w:rPr>
          <w:instrText xml:space="preserve"> PAGEREF _Toc159844536 \h </w:instrText>
        </w:r>
        <w:r w:rsidR="00FC70B9">
          <w:rPr>
            <w:webHidden/>
          </w:rPr>
        </w:r>
        <w:r w:rsidR="00FC70B9">
          <w:rPr>
            <w:webHidden/>
          </w:rPr>
          <w:fldChar w:fldCharType="separate"/>
        </w:r>
        <w:r w:rsidR="00FC70B9">
          <w:rPr>
            <w:webHidden/>
          </w:rPr>
          <w:t>3</w:t>
        </w:r>
        <w:r w:rsidR="00FC70B9">
          <w:rPr>
            <w:webHidden/>
          </w:rPr>
          <w:fldChar w:fldCharType="end"/>
        </w:r>
      </w:hyperlink>
    </w:p>
    <w:p w14:paraId="34678307" w14:textId="41A510B0" w:rsidR="00FC70B9" w:rsidRDefault="00000000">
      <w:pPr>
        <w:pStyle w:val="TOC4"/>
        <w:rPr>
          <w:rFonts w:eastAsiaTheme="minorEastAsia"/>
          <w:kern w:val="2"/>
          <w:lang w:eastAsia="en-AU"/>
          <w14:ligatures w14:val="standardContextual"/>
        </w:rPr>
      </w:pPr>
      <w:hyperlink w:anchor="_Toc159844537" w:history="1">
        <w:r w:rsidR="00FC70B9" w:rsidRPr="005D0794">
          <w:rPr>
            <w:rStyle w:val="Hyperlink"/>
          </w:rPr>
          <w:t>Solar weighted wholesale prices drive changes in the feed-in tariffs</w:t>
        </w:r>
        <w:r w:rsidR="00FC70B9">
          <w:rPr>
            <w:webHidden/>
          </w:rPr>
          <w:tab/>
        </w:r>
        <w:r w:rsidR="00FC70B9">
          <w:rPr>
            <w:webHidden/>
          </w:rPr>
          <w:fldChar w:fldCharType="begin"/>
        </w:r>
        <w:r w:rsidR="00FC70B9">
          <w:rPr>
            <w:webHidden/>
          </w:rPr>
          <w:instrText xml:space="preserve"> PAGEREF _Toc159844537 \h </w:instrText>
        </w:r>
        <w:r w:rsidR="00FC70B9">
          <w:rPr>
            <w:webHidden/>
          </w:rPr>
        </w:r>
        <w:r w:rsidR="00FC70B9">
          <w:rPr>
            <w:webHidden/>
          </w:rPr>
          <w:fldChar w:fldCharType="separate"/>
        </w:r>
        <w:r w:rsidR="00FC70B9">
          <w:rPr>
            <w:webHidden/>
          </w:rPr>
          <w:t>4</w:t>
        </w:r>
        <w:r w:rsidR="00FC70B9">
          <w:rPr>
            <w:webHidden/>
          </w:rPr>
          <w:fldChar w:fldCharType="end"/>
        </w:r>
      </w:hyperlink>
    </w:p>
    <w:p w14:paraId="021A6183" w14:textId="2658C255" w:rsidR="00FC70B9" w:rsidRDefault="00000000">
      <w:pPr>
        <w:pStyle w:val="TOC5"/>
        <w:rPr>
          <w:rFonts w:eastAsiaTheme="minorEastAsia"/>
          <w:noProof/>
          <w:kern w:val="2"/>
          <w:lang w:eastAsia="en-AU"/>
          <w14:ligatures w14:val="standardContextual"/>
        </w:rPr>
      </w:pPr>
      <w:hyperlink w:anchor="_Toc159844538" w:history="1">
        <w:r w:rsidR="00FC70B9" w:rsidRPr="005D0794">
          <w:rPr>
            <w:rStyle w:val="Hyperlink"/>
            <w:noProof/>
          </w:rPr>
          <w:t>Solar weighted wholesale prices are lower</w:t>
        </w:r>
        <w:r w:rsidR="00FC70B9">
          <w:rPr>
            <w:noProof/>
            <w:webHidden/>
          </w:rPr>
          <w:tab/>
        </w:r>
        <w:r w:rsidR="00FC70B9">
          <w:rPr>
            <w:noProof/>
            <w:webHidden/>
          </w:rPr>
          <w:fldChar w:fldCharType="begin"/>
        </w:r>
        <w:r w:rsidR="00FC70B9">
          <w:rPr>
            <w:noProof/>
            <w:webHidden/>
          </w:rPr>
          <w:instrText xml:space="preserve"> PAGEREF _Toc159844538 \h </w:instrText>
        </w:r>
        <w:r w:rsidR="00FC70B9">
          <w:rPr>
            <w:noProof/>
            <w:webHidden/>
          </w:rPr>
        </w:r>
        <w:r w:rsidR="00FC70B9">
          <w:rPr>
            <w:noProof/>
            <w:webHidden/>
          </w:rPr>
          <w:fldChar w:fldCharType="separate"/>
        </w:r>
        <w:r w:rsidR="00FC70B9">
          <w:rPr>
            <w:noProof/>
            <w:webHidden/>
          </w:rPr>
          <w:t>5</w:t>
        </w:r>
        <w:r w:rsidR="00FC70B9">
          <w:rPr>
            <w:noProof/>
            <w:webHidden/>
          </w:rPr>
          <w:fldChar w:fldCharType="end"/>
        </w:r>
      </w:hyperlink>
    </w:p>
    <w:p w14:paraId="491B9A62" w14:textId="76DFB9CF" w:rsidR="00FC70B9" w:rsidRDefault="00000000">
      <w:pPr>
        <w:pStyle w:val="TOC3"/>
        <w:rPr>
          <w:rFonts w:eastAsiaTheme="minorEastAsia"/>
          <w:kern w:val="2"/>
          <w:lang w:eastAsia="en-AU"/>
          <w14:ligatures w14:val="standardContextual"/>
        </w:rPr>
      </w:pPr>
      <w:hyperlink w:anchor="_Toc159844539" w:history="1">
        <w:r w:rsidR="00FC70B9" w:rsidRPr="005D0794">
          <w:rPr>
            <w:rStyle w:val="Hyperlink"/>
          </w:rPr>
          <w:t>Electricity generators and retailers have different costs</w:t>
        </w:r>
        <w:r w:rsidR="00FC70B9">
          <w:rPr>
            <w:webHidden/>
          </w:rPr>
          <w:tab/>
        </w:r>
        <w:r w:rsidR="00FC70B9">
          <w:rPr>
            <w:webHidden/>
          </w:rPr>
          <w:fldChar w:fldCharType="begin"/>
        </w:r>
        <w:r w:rsidR="00FC70B9">
          <w:rPr>
            <w:webHidden/>
          </w:rPr>
          <w:instrText xml:space="preserve"> PAGEREF _Toc159844539 \h </w:instrText>
        </w:r>
        <w:r w:rsidR="00FC70B9">
          <w:rPr>
            <w:webHidden/>
          </w:rPr>
        </w:r>
        <w:r w:rsidR="00FC70B9">
          <w:rPr>
            <w:webHidden/>
          </w:rPr>
          <w:fldChar w:fldCharType="separate"/>
        </w:r>
        <w:r w:rsidR="00FC70B9">
          <w:rPr>
            <w:webHidden/>
          </w:rPr>
          <w:t>7</w:t>
        </w:r>
        <w:r w:rsidR="00FC70B9">
          <w:rPr>
            <w:webHidden/>
          </w:rPr>
          <w:fldChar w:fldCharType="end"/>
        </w:r>
      </w:hyperlink>
    </w:p>
    <w:p w14:paraId="42FE797F" w14:textId="5C545C0E" w:rsidR="00FC70B9" w:rsidRDefault="00000000">
      <w:pPr>
        <w:pStyle w:val="TOC4"/>
        <w:rPr>
          <w:rFonts w:eastAsiaTheme="minorEastAsia"/>
          <w:kern w:val="2"/>
          <w:lang w:eastAsia="en-AU"/>
          <w14:ligatures w14:val="standardContextual"/>
        </w:rPr>
      </w:pPr>
      <w:hyperlink w:anchor="_Toc159844540" w:history="1">
        <w:r w:rsidR="00FC70B9" w:rsidRPr="005D0794">
          <w:rPr>
            <w:rStyle w:val="Hyperlink"/>
          </w:rPr>
          <w:t>We have used the same approach as we have in past reviews</w:t>
        </w:r>
        <w:r w:rsidR="00FC70B9">
          <w:rPr>
            <w:webHidden/>
          </w:rPr>
          <w:tab/>
        </w:r>
        <w:r w:rsidR="00FC70B9">
          <w:rPr>
            <w:webHidden/>
          </w:rPr>
          <w:fldChar w:fldCharType="begin"/>
        </w:r>
        <w:r w:rsidR="00FC70B9">
          <w:rPr>
            <w:webHidden/>
          </w:rPr>
          <w:instrText xml:space="preserve"> PAGEREF _Toc159844540 \h </w:instrText>
        </w:r>
        <w:r w:rsidR="00FC70B9">
          <w:rPr>
            <w:webHidden/>
          </w:rPr>
        </w:r>
        <w:r w:rsidR="00FC70B9">
          <w:rPr>
            <w:webHidden/>
          </w:rPr>
          <w:fldChar w:fldCharType="separate"/>
        </w:r>
        <w:r w:rsidR="00FC70B9">
          <w:rPr>
            <w:webHidden/>
          </w:rPr>
          <w:t>8</w:t>
        </w:r>
        <w:r w:rsidR="00FC70B9">
          <w:rPr>
            <w:webHidden/>
          </w:rPr>
          <w:fldChar w:fldCharType="end"/>
        </w:r>
      </w:hyperlink>
    </w:p>
    <w:p w14:paraId="3787CA17" w14:textId="18802FA4" w:rsidR="00FC70B9" w:rsidRDefault="00000000">
      <w:pPr>
        <w:pStyle w:val="TOC4"/>
        <w:rPr>
          <w:rFonts w:eastAsiaTheme="minorEastAsia"/>
          <w:kern w:val="2"/>
          <w:lang w:eastAsia="en-AU"/>
          <w14:ligatures w14:val="standardContextual"/>
        </w:rPr>
      </w:pPr>
      <w:hyperlink w:anchor="_Toc159844541" w:history="1">
        <w:r w:rsidR="00FC70B9" w:rsidRPr="005D0794">
          <w:rPr>
            <w:rStyle w:val="Hyperlink"/>
          </w:rPr>
          <w:t>We have had regard to stakeholders’ feedback</w:t>
        </w:r>
        <w:r w:rsidR="00FC70B9">
          <w:rPr>
            <w:webHidden/>
          </w:rPr>
          <w:tab/>
        </w:r>
        <w:r w:rsidR="00FC70B9">
          <w:rPr>
            <w:webHidden/>
          </w:rPr>
          <w:fldChar w:fldCharType="begin"/>
        </w:r>
        <w:r w:rsidR="00FC70B9">
          <w:rPr>
            <w:webHidden/>
          </w:rPr>
          <w:instrText xml:space="preserve"> PAGEREF _Toc159844541 \h </w:instrText>
        </w:r>
        <w:r w:rsidR="00FC70B9">
          <w:rPr>
            <w:webHidden/>
          </w:rPr>
        </w:r>
        <w:r w:rsidR="00FC70B9">
          <w:rPr>
            <w:webHidden/>
          </w:rPr>
          <w:fldChar w:fldCharType="separate"/>
        </w:r>
        <w:r w:rsidR="00FC70B9">
          <w:rPr>
            <w:webHidden/>
          </w:rPr>
          <w:t>9</w:t>
        </w:r>
        <w:r w:rsidR="00FC70B9">
          <w:rPr>
            <w:webHidden/>
          </w:rPr>
          <w:fldChar w:fldCharType="end"/>
        </w:r>
      </w:hyperlink>
    </w:p>
    <w:p w14:paraId="6F609CBC" w14:textId="4921932F" w:rsidR="00FC70B9" w:rsidRDefault="00000000">
      <w:pPr>
        <w:pStyle w:val="TOC1"/>
        <w:rPr>
          <w:rFonts w:eastAsiaTheme="minorEastAsia"/>
          <w:b w:val="0"/>
          <w:noProof/>
          <w:kern w:val="2"/>
          <w:lang w:eastAsia="en-AU"/>
          <w14:ligatures w14:val="standardContextual"/>
        </w:rPr>
      </w:pPr>
      <w:hyperlink w:anchor="_Toc159844542" w:history="1">
        <w:r w:rsidR="00FC70B9" w:rsidRPr="005D0794">
          <w:rPr>
            <w:rStyle w:val="Hyperlink"/>
            <w:noProof/>
          </w:rPr>
          <w:t>Our minimum feed-in tariff decision</w:t>
        </w:r>
        <w:r w:rsidR="00FC70B9">
          <w:rPr>
            <w:noProof/>
            <w:webHidden/>
          </w:rPr>
          <w:tab/>
        </w:r>
        <w:r w:rsidR="00FC70B9">
          <w:rPr>
            <w:noProof/>
            <w:webHidden/>
          </w:rPr>
          <w:fldChar w:fldCharType="begin"/>
        </w:r>
        <w:r w:rsidR="00FC70B9">
          <w:rPr>
            <w:noProof/>
            <w:webHidden/>
          </w:rPr>
          <w:instrText xml:space="preserve"> PAGEREF _Toc159844542 \h </w:instrText>
        </w:r>
        <w:r w:rsidR="00FC70B9">
          <w:rPr>
            <w:noProof/>
            <w:webHidden/>
          </w:rPr>
        </w:r>
        <w:r w:rsidR="00FC70B9">
          <w:rPr>
            <w:noProof/>
            <w:webHidden/>
          </w:rPr>
          <w:fldChar w:fldCharType="separate"/>
        </w:r>
        <w:r w:rsidR="00FC70B9">
          <w:rPr>
            <w:noProof/>
            <w:webHidden/>
          </w:rPr>
          <w:t>10</w:t>
        </w:r>
        <w:r w:rsidR="00FC70B9">
          <w:rPr>
            <w:noProof/>
            <w:webHidden/>
          </w:rPr>
          <w:fldChar w:fldCharType="end"/>
        </w:r>
      </w:hyperlink>
    </w:p>
    <w:p w14:paraId="6869C3F7" w14:textId="6AE25700" w:rsidR="00FC70B9" w:rsidRDefault="00000000">
      <w:pPr>
        <w:pStyle w:val="TOC4"/>
        <w:rPr>
          <w:rFonts w:eastAsiaTheme="minorEastAsia"/>
          <w:kern w:val="2"/>
          <w:lang w:eastAsia="en-AU"/>
          <w14:ligatures w14:val="standardContextual"/>
        </w:rPr>
      </w:pPr>
      <w:hyperlink w:anchor="_Toc159844543" w:history="1">
        <w:r w:rsidR="00FC70B9" w:rsidRPr="005D0794">
          <w:rPr>
            <w:rStyle w:val="Hyperlink"/>
          </w:rPr>
          <w:t>The flat minimum feed-in tariff</w:t>
        </w:r>
        <w:r w:rsidR="00FC70B9">
          <w:rPr>
            <w:webHidden/>
          </w:rPr>
          <w:tab/>
        </w:r>
        <w:r w:rsidR="00FC70B9">
          <w:rPr>
            <w:webHidden/>
          </w:rPr>
          <w:fldChar w:fldCharType="begin"/>
        </w:r>
        <w:r w:rsidR="00FC70B9">
          <w:rPr>
            <w:webHidden/>
          </w:rPr>
          <w:instrText xml:space="preserve"> PAGEREF _Toc159844543 \h </w:instrText>
        </w:r>
        <w:r w:rsidR="00FC70B9">
          <w:rPr>
            <w:webHidden/>
          </w:rPr>
        </w:r>
        <w:r w:rsidR="00FC70B9">
          <w:rPr>
            <w:webHidden/>
          </w:rPr>
          <w:fldChar w:fldCharType="separate"/>
        </w:r>
        <w:r w:rsidR="00FC70B9">
          <w:rPr>
            <w:webHidden/>
          </w:rPr>
          <w:t>10</w:t>
        </w:r>
        <w:r w:rsidR="00FC70B9">
          <w:rPr>
            <w:webHidden/>
          </w:rPr>
          <w:fldChar w:fldCharType="end"/>
        </w:r>
      </w:hyperlink>
    </w:p>
    <w:p w14:paraId="3C8FDBAF" w14:textId="04515A6E" w:rsidR="00FC70B9" w:rsidRDefault="00000000">
      <w:pPr>
        <w:pStyle w:val="TOC3"/>
        <w:rPr>
          <w:rFonts w:eastAsiaTheme="minorEastAsia"/>
          <w:kern w:val="2"/>
          <w:lang w:eastAsia="en-AU"/>
          <w14:ligatures w14:val="standardContextual"/>
        </w:rPr>
      </w:pPr>
      <w:hyperlink w:anchor="_Toc159844544" w:history="1">
        <w:r w:rsidR="00FC70B9" w:rsidRPr="005D0794">
          <w:rPr>
            <w:rStyle w:val="Hyperlink"/>
          </w:rPr>
          <w:t>The two time-varying minimum feed-in tariffs are lower than in 2023–24</w:t>
        </w:r>
        <w:r w:rsidR="00FC70B9">
          <w:rPr>
            <w:webHidden/>
          </w:rPr>
          <w:tab/>
        </w:r>
        <w:r w:rsidR="00FC70B9">
          <w:rPr>
            <w:webHidden/>
          </w:rPr>
          <w:fldChar w:fldCharType="begin"/>
        </w:r>
        <w:r w:rsidR="00FC70B9">
          <w:rPr>
            <w:webHidden/>
          </w:rPr>
          <w:instrText xml:space="preserve"> PAGEREF _Toc159844544 \h </w:instrText>
        </w:r>
        <w:r w:rsidR="00FC70B9">
          <w:rPr>
            <w:webHidden/>
          </w:rPr>
        </w:r>
        <w:r w:rsidR="00FC70B9">
          <w:rPr>
            <w:webHidden/>
          </w:rPr>
          <w:fldChar w:fldCharType="separate"/>
        </w:r>
        <w:r w:rsidR="00FC70B9">
          <w:rPr>
            <w:webHidden/>
          </w:rPr>
          <w:t>10</w:t>
        </w:r>
        <w:r w:rsidR="00FC70B9">
          <w:rPr>
            <w:webHidden/>
          </w:rPr>
          <w:fldChar w:fldCharType="end"/>
        </w:r>
      </w:hyperlink>
    </w:p>
    <w:p w14:paraId="75EB9333" w14:textId="3DC66EB7" w:rsidR="00FC70B9" w:rsidRDefault="00000000">
      <w:pPr>
        <w:pStyle w:val="TOC4"/>
        <w:rPr>
          <w:rFonts w:eastAsiaTheme="minorEastAsia"/>
          <w:kern w:val="2"/>
          <w:lang w:eastAsia="en-AU"/>
          <w14:ligatures w14:val="standardContextual"/>
        </w:rPr>
      </w:pPr>
      <w:hyperlink w:anchor="_Toc159844545" w:history="1">
        <w:r w:rsidR="00FC70B9" w:rsidRPr="005D0794">
          <w:rPr>
            <w:rStyle w:val="Hyperlink"/>
          </w:rPr>
          <w:t>Components of the feed-in tariff</w:t>
        </w:r>
        <w:r w:rsidR="00FC70B9">
          <w:rPr>
            <w:webHidden/>
          </w:rPr>
          <w:tab/>
        </w:r>
        <w:r w:rsidR="00FC70B9">
          <w:rPr>
            <w:webHidden/>
          </w:rPr>
          <w:fldChar w:fldCharType="begin"/>
        </w:r>
        <w:r w:rsidR="00FC70B9">
          <w:rPr>
            <w:webHidden/>
          </w:rPr>
          <w:instrText xml:space="preserve"> PAGEREF _Toc159844545 \h </w:instrText>
        </w:r>
        <w:r w:rsidR="00FC70B9">
          <w:rPr>
            <w:webHidden/>
          </w:rPr>
        </w:r>
        <w:r w:rsidR="00FC70B9">
          <w:rPr>
            <w:webHidden/>
          </w:rPr>
          <w:fldChar w:fldCharType="separate"/>
        </w:r>
        <w:r w:rsidR="00FC70B9">
          <w:rPr>
            <w:webHidden/>
          </w:rPr>
          <w:t>11</w:t>
        </w:r>
        <w:r w:rsidR="00FC70B9">
          <w:rPr>
            <w:webHidden/>
          </w:rPr>
          <w:fldChar w:fldCharType="end"/>
        </w:r>
      </w:hyperlink>
    </w:p>
    <w:p w14:paraId="697B086E" w14:textId="7C4612BB" w:rsidR="00FC70B9" w:rsidRDefault="00000000">
      <w:pPr>
        <w:pStyle w:val="TOC4"/>
        <w:rPr>
          <w:rFonts w:eastAsiaTheme="minorEastAsia"/>
          <w:kern w:val="2"/>
          <w:lang w:eastAsia="en-AU"/>
          <w14:ligatures w14:val="standardContextual"/>
        </w:rPr>
      </w:pPr>
      <w:hyperlink w:anchor="_Toc159844546" w:history="1">
        <w:r w:rsidR="00FC70B9" w:rsidRPr="005D0794">
          <w:rPr>
            <w:rStyle w:val="Hyperlink"/>
          </w:rPr>
          <w:t>Minimum feed-in tariffs over time</w:t>
        </w:r>
        <w:r w:rsidR="00FC70B9">
          <w:rPr>
            <w:webHidden/>
          </w:rPr>
          <w:tab/>
        </w:r>
        <w:r w:rsidR="00FC70B9">
          <w:rPr>
            <w:webHidden/>
          </w:rPr>
          <w:fldChar w:fldCharType="begin"/>
        </w:r>
        <w:r w:rsidR="00FC70B9">
          <w:rPr>
            <w:webHidden/>
          </w:rPr>
          <w:instrText xml:space="preserve"> PAGEREF _Toc159844546 \h </w:instrText>
        </w:r>
        <w:r w:rsidR="00FC70B9">
          <w:rPr>
            <w:webHidden/>
          </w:rPr>
        </w:r>
        <w:r w:rsidR="00FC70B9">
          <w:rPr>
            <w:webHidden/>
          </w:rPr>
          <w:fldChar w:fldCharType="separate"/>
        </w:r>
        <w:r w:rsidR="00FC70B9">
          <w:rPr>
            <w:webHidden/>
          </w:rPr>
          <w:t>12</w:t>
        </w:r>
        <w:r w:rsidR="00FC70B9">
          <w:rPr>
            <w:webHidden/>
          </w:rPr>
          <w:fldChar w:fldCharType="end"/>
        </w:r>
      </w:hyperlink>
    </w:p>
    <w:p w14:paraId="2FFF5C5F" w14:textId="517A9593" w:rsidR="00FC70B9" w:rsidRDefault="00000000">
      <w:pPr>
        <w:pStyle w:val="TOC1"/>
        <w:rPr>
          <w:rFonts w:eastAsiaTheme="minorEastAsia"/>
          <w:b w:val="0"/>
          <w:noProof/>
          <w:kern w:val="2"/>
          <w:lang w:eastAsia="en-AU"/>
          <w14:ligatures w14:val="standardContextual"/>
        </w:rPr>
      </w:pPr>
      <w:hyperlink w:anchor="_Toc159844547" w:history="1">
        <w:r w:rsidR="00FC70B9" w:rsidRPr="005D0794">
          <w:rPr>
            <w:rStyle w:val="Hyperlink"/>
            <w:noProof/>
          </w:rPr>
          <w:t>How we set the minimum feed-in tariffs</w:t>
        </w:r>
        <w:r w:rsidR="00FC70B9">
          <w:rPr>
            <w:noProof/>
            <w:webHidden/>
          </w:rPr>
          <w:tab/>
        </w:r>
        <w:r w:rsidR="00FC70B9">
          <w:rPr>
            <w:noProof/>
            <w:webHidden/>
          </w:rPr>
          <w:fldChar w:fldCharType="begin"/>
        </w:r>
        <w:r w:rsidR="00FC70B9">
          <w:rPr>
            <w:noProof/>
            <w:webHidden/>
          </w:rPr>
          <w:instrText xml:space="preserve"> PAGEREF _Toc159844547 \h </w:instrText>
        </w:r>
        <w:r w:rsidR="00FC70B9">
          <w:rPr>
            <w:noProof/>
            <w:webHidden/>
          </w:rPr>
        </w:r>
        <w:r w:rsidR="00FC70B9">
          <w:rPr>
            <w:noProof/>
            <w:webHidden/>
          </w:rPr>
          <w:fldChar w:fldCharType="separate"/>
        </w:r>
        <w:r w:rsidR="00FC70B9">
          <w:rPr>
            <w:noProof/>
            <w:webHidden/>
          </w:rPr>
          <w:t>13</w:t>
        </w:r>
        <w:r w:rsidR="00FC70B9">
          <w:rPr>
            <w:noProof/>
            <w:webHidden/>
          </w:rPr>
          <w:fldChar w:fldCharType="end"/>
        </w:r>
      </w:hyperlink>
    </w:p>
    <w:p w14:paraId="72877E60" w14:textId="609C00A4" w:rsidR="00FC70B9" w:rsidRDefault="00000000">
      <w:pPr>
        <w:pStyle w:val="TOC4"/>
        <w:rPr>
          <w:rFonts w:eastAsiaTheme="minorEastAsia"/>
          <w:kern w:val="2"/>
          <w:lang w:eastAsia="en-AU"/>
          <w14:ligatures w14:val="standardContextual"/>
        </w:rPr>
      </w:pPr>
      <w:hyperlink w:anchor="_Toc159844548" w:history="1">
        <w:r w:rsidR="00FC70B9" w:rsidRPr="005D0794">
          <w:rPr>
            <w:rStyle w:val="Hyperlink"/>
          </w:rPr>
          <w:t>We must consider certain costs in setting minimum feed-in tariffs</w:t>
        </w:r>
        <w:r w:rsidR="00FC70B9">
          <w:rPr>
            <w:webHidden/>
          </w:rPr>
          <w:tab/>
        </w:r>
        <w:r w:rsidR="00FC70B9">
          <w:rPr>
            <w:webHidden/>
          </w:rPr>
          <w:fldChar w:fldCharType="begin"/>
        </w:r>
        <w:r w:rsidR="00FC70B9">
          <w:rPr>
            <w:webHidden/>
          </w:rPr>
          <w:instrText xml:space="preserve"> PAGEREF _Toc159844548 \h </w:instrText>
        </w:r>
        <w:r w:rsidR="00FC70B9">
          <w:rPr>
            <w:webHidden/>
          </w:rPr>
        </w:r>
        <w:r w:rsidR="00FC70B9">
          <w:rPr>
            <w:webHidden/>
          </w:rPr>
          <w:fldChar w:fldCharType="separate"/>
        </w:r>
        <w:r w:rsidR="00FC70B9">
          <w:rPr>
            <w:webHidden/>
          </w:rPr>
          <w:t>14</w:t>
        </w:r>
        <w:r w:rsidR="00FC70B9">
          <w:rPr>
            <w:webHidden/>
          </w:rPr>
          <w:fldChar w:fldCharType="end"/>
        </w:r>
      </w:hyperlink>
    </w:p>
    <w:p w14:paraId="53082F38" w14:textId="601C7F50" w:rsidR="00FC70B9" w:rsidRDefault="00000000">
      <w:pPr>
        <w:pStyle w:val="TOC3"/>
        <w:rPr>
          <w:rFonts w:eastAsiaTheme="minorEastAsia"/>
          <w:kern w:val="2"/>
          <w:lang w:eastAsia="en-AU"/>
          <w14:ligatures w14:val="standardContextual"/>
        </w:rPr>
      </w:pPr>
      <w:hyperlink w:anchor="_Toc159844549" w:history="1">
        <w:r w:rsidR="00FC70B9" w:rsidRPr="005D0794">
          <w:rPr>
            <w:rStyle w:val="Hyperlink"/>
          </w:rPr>
          <w:t>The steps for setting the minimum feed-in tariffs</w:t>
        </w:r>
        <w:r w:rsidR="00FC70B9">
          <w:rPr>
            <w:webHidden/>
          </w:rPr>
          <w:tab/>
        </w:r>
        <w:r w:rsidR="00FC70B9">
          <w:rPr>
            <w:webHidden/>
          </w:rPr>
          <w:fldChar w:fldCharType="begin"/>
        </w:r>
        <w:r w:rsidR="00FC70B9">
          <w:rPr>
            <w:webHidden/>
          </w:rPr>
          <w:instrText xml:space="preserve"> PAGEREF _Toc159844549 \h </w:instrText>
        </w:r>
        <w:r w:rsidR="00FC70B9">
          <w:rPr>
            <w:webHidden/>
          </w:rPr>
        </w:r>
        <w:r w:rsidR="00FC70B9">
          <w:rPr>
            <w:webHidden/>
          </w:rPr>
          <w:fldChar w:fldCharType="separate"/>
        </w:r>
        <w:r w:rsidR="00FC70B9">
          <w:rPr>
            <w:webHidden/>
          </w:rPr>
          <w:t>15</w:t>
        </w:r>
        <w:r w:rsidR="00FC70B9">
          <w:rPr>
            <w:webHidden/>
          </w:rPr>
          <w:fldChar w:fldCharType="end"/>
        </w:r>
      </w:hyperlink>
    </w:p>
    <w:p w14:paraId="7C086B68" w14:textId="53D39D51" w:rsidR="00FC70B9" w:rsidRDefault="00000000">
      <w:pPr>
        <w:pStyle w:val="TOC1"/>
        <w:rPr>
          <w:rFonts w:eastAsiaTheme="minorEastAsia"/>
          <w:b w:val="0"/>
          <w:noProof/>
          <w:kern w:val="2"/>
          <w:lang w:eastAsia="en-AU"/>
          <w14:ligatures w14:val="standardContextual"/>
        </w:rPr>
      </w:pPr>
      <w:hyperlink w:anchor="_Toc159844550" w:history="1">
        <w:r w:rsidR="00FC70B9" w:rsidRPr="005D0794">
          <w:rPr>
            <w:rStyle w:val="Hyperlink"/>
            <w:noProof/>
          </w:rPr>
          <w:t>The wholesale value of solar energy</w:t>
        </w:r>
        <w:r w:rsidR="00FC70B9">
          <w:rPr>
            <w:noProof/>
            <w:webHidden/>
          </w:rPr>
          <w:tab/>
        </w:r>
        <w:r w:rsidR="00FC70B9">
          <w:rPr>
            <w:noProof/>
            <w:webHidden/>
          </w:rPr>
          <w:fldChar w:fldCharType="begin"/>
        </w:r>
        <w:r w:rsidR="00FC70B9">
          <w:rPr>
            <w:noProof/>
            <w:webHidden/>
          </w:rPr>
          <w:instrText xml:space="preserve"> PAGEREF _Toc159844550 \h </w:instrText>
        </w:r>
        <w:r w:rsidR="00FC70B9">
          <w:rPr>
            <w:noProof/>
            <w:webHidden/>
          </w:rPr>
        </w:r>
        <w:r w:rsidR="00FC70B9">
          <w:rPr>
            <w:noProof/>
            <w:webHidden/>
          </w:rPr>
          <w:fldChar w:fldCharType="separate"/>
        </w:r>
        <w:r w:rsidR="00FC70B9">
          <w:rPr>
            <w:noProof/>
            <w:webHidden/>
          </w:rPr>
          <w:t>17</w:t>
        </w:r>
        <w:r w:rsidR="00FC70B9">
          <w:rPr>
            <w:noProof/>
            <w:webHidden/>
          </w:rPr>
          <w:fldChar w:fldCharType="end"/>
        </w:r>
      </w:hyperlink>
    </w:p>
    <w:p w14:paraId="6A0D5C7B" w14:textId="693A8A9A" w:rsidR="00FC70B9" w:rsidRDefault="00000000">
      <w:pPr>
        <w:pStyle w:val="TOC3"/>
        <w:rPr>
          <w:rFonts w:eastAsiaTheme="minorEastAsia"/>
          <w:kern w:val="2"/>
          <w:lang w:eastAsia="en-AU"/>
          <w14:ligatures w14:val="standardContextual"/>
        </w:rPr>
      </w:pPr>
      <w:hyperlink w:anchor="_Toc159844551" w:history="1">
        <w:r w:rsidR="00FC70B9" w:rsidRPr="005D0794">
          <w:rPr>
            <w:rStyle w:val="Hyperlink"/>
          </w:rPr>
          <w:t>The solar weighted wholesale costs for the flat minimum feed-in tariff</w:t>
        </w:r>
        <w:r w:rsidR="00FC70B9">
          <w:rPr>
            <w:webHidden/>
          </w:rPr>
          <w:tab/>
        </w:r>
        <w:r w:rsidR="00FC70B9">
          <w:rPr>
            <w:webHidden/>
          </w:rPr>
          <w:fldChar w:fldCharType="begin"/>
        </w:r>
        <w:r w:rsidR="00FC70B9">
          <w:rPr>
            <w:webHidden/>
          </w:rPr>
          <w:instrText xml:space="preserve"> PAGEREF _Toc159844551 \h </w:instrText>
        </w:r>
        <w:r w:rsidR="00FC70B9">
          <w:rPr>
            <w:webHidden/>
          </w:rPr>
        </w:r>
        <w:r w:rsidR="00FC70B9">
          <w:rPr>
            <w:webHidden/>
          </w:rPr>
          <w:fldChar w:fldCharType="separate"/>
        </w:r>
        <w:r w:rsidR="00FC70B9">
          <w:rPr>
            <w:webHidden/>
          </w:rPr>
          <w:t>17</w:t>
        </w:r>
        <w:r w:rsidR="00FC70B9">
          <w:rPr>
            <w:webHidden/>
          </w:rPr>
          <w:fldChar w:fldCharType="end"/>
        </w:r>
      </w:hyperlink>
    </w:p>
    <w:p w14:paraId="1DA1C383" w14:textId="61A6D0CF" w:rsidR="00FC70B9" w:rsidRDefault="00000000">
      <w:pPr>
        <w:pStyle w:val="TOC4"/>
        <w:rPr>
          <w:rFonts w:eastAsiaTheme="minorEastAsia"/>
          <w:kern w:val="2"/>
          <w:lang w:eastAsia="en-AU"/>
          <w14:ligatures w14:val="standardContextual"/>
        </w:rPr>
      </w:pPr>
      <w:hyperlink w:anchor="_Toc159844552" w:history="1">
        <w:r w:rsidR="00FC70B9" w:rsidRPr="005D0794">
          <w:rPr>
            <w:rStyle w:val="Hyperlink"/>
          </w:rPr>
          <w:t>We forecast solar weighted wholesale prices for different parts of the day</w:t>
        </w:r>
        <w:r w:rsidR="00FC70B9">
          <w:rPr>
            <w:webHidden/>
          </w:rPr>
          <w:tab/>
        </w:r>
        <w:r w:rsidR="00FC70B9">
          <w:rPr>
            <w:webHidden/>
          </w:rPr>
          <w:fldChar w:fldCharType="begin"/>
        </w:r>
        <w:r w:rsidR="00FC70B9">
          <w:rPr>
            <w:webHidden/>
          </w:rPr>
          <w:instrText xml:space="preserve"> PAGEREF _Toc159844552 \h </w:instrText>
        </w:r>
        <w:r w:rsidR="00FC70B9">
          <w:rPr>
            <w:webHidden/>
          </w:rPr>
        </w:r>
        <w:r w:rsidR="00FC70B9">
          <w:rPr>
            <w:webHidden/>
          </w:rPr>
          <w:fldChar w:fldCharType="separate"/>
        </w:r>
        <w:r w:rsidR="00FC70B9">
          <w:rPr>
            <w:webHidden/>
          </w:rPr>
          <w:t>18</w:t>
        </w:r>
        <w:r w:rsidR="00FC70B9">
          <w:rPr>
            <w:webHidden/>
          </w:rPr>
          <w:fldChar w:fldCharType="end"/>
        </w:r>
      </w:hyperlink>
    </w:p>
    <w:p w14:paraId="61D6307C" w14:textId="2E90D33B" w:rsidR="00FC70B9" w:rsidRDefault="00000000">
      <w:pPr>
        <w:pStyle w:val="TOC3"/>
        <w:rPr>
          <w:rFonts w:eastAsiaTheme="minorEastAsia"/>
          <w:kern w:val="2"/>
          <w:lang w:eastAsia="en-AU"/>
          <w14:ligatures w14:val="standardContextual"/>
        </w:rPr>
      </w:pPr>
      <w:hyperlink w:anchor="_Toc159844553" w:history="1">
        <w:r w:rsidR="00FC70B9" w:rsidRPr="005D0794">
          <w:rPr>
            <w:rStyle w:val="Hyperlink"/>
          </w:rPr>
          <w:t>We use a different futures market approach than the Victorian Default Offer</w:t>
        </w:r>
        <w:r w:rsidR="00FC70B9">
          <w:rPr>
            <w:webHidden/>
          </w:rPr>
          <w:tab/>
        </w:r>
        <w:r w:rsidR="00FC70B9">
          <w:rPr>
            <w:webHidden/>
          </w:rPr>
          <w:fldChar w:fldCharType="begin"/>
        </w:r>
        <w:r w:rsidR="00FC70B9">
          <w:rPr>
            <w:webHidden/>
          </w:rPr>
          <w:instrText xml:space="preserve"> PAGEREF _Toc159844553 \h </w:instrText>
        </w:r>
        <w:r w:rsidR="00FC70B9">
          <w:rPr>
            <w:webHidden/>
          </w:rPr>
        </w:r>
        <w:r w:rsidR="00FC70B9">
          <w:rPr>
            <w:webHidden/>
          </w:rPr>
          <w:fldChar w:fldCharType="separate"/>
        </w:r>
        <w:r w:rsidR="00FC70B9">
          <w:rPr>
            <w:webHidden/>
          </w:rPr>
          <w:t>19</w:t>
        </w:r>
        <w:r w:rsidR="00FC70B9">
          <w:rPr>
            <w:webHidden/>
          </w:rPr>
          <w:fldChar w:fldCharType="end"/>
        </w:r>
      </w:hyperlink>
    </w:p>
    <w:p w14:paraId="710EF237" w14:textId="2BA6A894" w:rsidR="00FC70B9" w:rsidRDefault="00000000">
      <w:pPr>
        <w:pStyle w:val="TOC1"/>
        <w:rPr>
          <w:rFonts w:eastAsiaTheme="minorEastAsia"/>
          <w:b w:val="0"/>
          <w:noProof/>
          <w:kern w:val="2"/>
          <w:lang w:eastAsia="en-AU"/>
          <w14:ligatures w14:val="standardContextual"/>
        </w:rPr>
      </w:pPr>
      <w:hyperlink w:anchor="_Toc159844554" w:history="1">
        <w:r w:rsidR="00FC70B9" w:rsidRPr="005D0794">
          <w:rPr>
            <w:rStyle w:val="Hyperlink"/>
            <w:noProof/>
          </w:rPr>
          <w:t>We account for AEMO fees, charges and line losses</w:t>
        </w:r>
        <w:r w:rsidR="00FC70B9">
          <w:rPr>
            <w:noProof/>
            <w:webHidden/>
          </w:rPr>
          <w:tab/>
        </w:r>
        <w:r w:rsidR="00FC70B9">
          <w:rPr>
            <w:noProof/>
            <w:webHidden/>
          </w:rPr>
          <w:fldChar w:fldCharType="begin"/>
        </w:r>
        <w:r w:rsidR="00FC70B9">
          <w:rPr>
            <w:noProof/>
            <w:webHidden/>
          </w:rPr>
          <w:instrText xml:space="preserve"> PAGEREF _Toc159844554 \h </w:instrText>
        </w:r>
        <w:r w:rsidR="00FC70B9">
          <w:rPr>
            <w:noProof/>
            <w:webHidden/>
          </w:rPr>
        </w:r>
        <w:r w:rsidR="00FC70B9">
          <w:rPr>
            <w:noProof/>
            <w:webHidden/>
          </w:rPr>
          <w:fldChar w:fldCharType="separate"/>
        </w:r>
        <w:r w:rsidR="00FC70B9">
          <w:rPr>
            <w:noProof/>
            <w:webHidden/>
          </w:rPr>
          <w:t>20</w:t>
        </w:r>
        <w:r w:rsidR="00FC70B9">
          <w:rPr>
            <w:noProof/>
            <w:webHidden/>
          </w:rPr>
          <w:fldChar w:fldCharType="end"/>
        </w:r>
      </w:hyperlink>
    </w:p>
    <w:p w14:paraId="656F1AC5" w14:textId="08F87C97" w:rsidR="00FC70B9" w:rsidRDefault="00000000">
      <w:pPr>
        <w:pStyle w:val="TOC1"/>
        <w:rPr>
          <w:rFonts w:eastAsiaTheme="minorEastAsia"/>
          <w:b w:val="0"/>
          <w:noProof/>
          <w:kern w:val="2"/>
          <w:lang w:eastAsia="en-AU"/>
          <w14:ligatures w14:val="standardContextual"/>
        </w:rPr>
      </w:pPr>
      <w:hyperlink w:anchor="_Toc159844555" w:history="1">
        <w:r w:rsidR="00FC70B9" w:rsidRPr="005D0794">
          <w:rPr>
            <w:rStyle w:val="Hyperlink"/>
            <w:noProof/>
          </w:rPr>
          <w:t>We consider carbon and human health costs</w:t>
        </w:r>
        <w:r w:rsidR="00FC70B9">
          <w:rPr>
            <w:noProof/>
            <w:webHidden/>
          </w:rPr>
          <w:tab/>
        </w:r>
        <w:r w:rsidR="00FC70B9">
          <w:rPr>
            <w:noProof/>
            <w:webHidden/>
          </w:rPr>
          <w:fldChar w:fldCharType="begin"/>
        </w:r>
        <w:r w:rsidR="00FC70B9">
          <w:rPr>
            <w:noProof/>
            <w:webHidden/>
          </w:rPr>
          <w:instrText xml:space="preserve"> PAGEREF _Toc159844555 \h </w:instrText>
        </w:r>
        <w:r w:rsidR="00FC70B9">
          <w:rPr>
            <w:noProof/>
            <w:webHidden/>
          </w:rPr>
        </w:r>
        <w:r w:rsidR="00FC70B9">
          <w:rPr>
            <w:noProof/>
            <w:webHidden/>
          </w:rPr>
          <w:fldChar w:fldCharType="separate"/>
        </w:r>
        <w:r w:rsidR="00FC70B9">
          <w:rPr>
            <w:noProof/>
            <w:webHidden/>
          </w:rPr>
          <w:t>22</w:t>
        </w:r>
        <w:r w:rsidR="00FC70B9">
          <w:rPr>
            <w:noProof/>
            <w:webHidden/>
          </w:rPr>
          <w:fldChar w:fldCharType="end"/>
        </w:r>
      </w:hyperlink>
    </w:p>
    <w:p w14:paraId="7262DBE5" w14:textId="2287DBA6" w:rsidR="00FC70B9" w:rsidRDefault="00000000">
      <w:pPr>
        <w:pStyle w:val="TOC4"/>
        <w:rPr>
          <w:rFonts w:eastAsiaTheme="minorEastAsia"/>
          <w:kern w:val="2"/>
          <w:lang w:eastAsia="en-AU"/>
          <w14:ligatures w14:val="standardContextual"/>
        </w:rPr>
      </w:pPr>
      <w:hyperlink w:anchor="_Toc159844556" w:history="1">
        <w:r w:rsidR="00FC70B9" w:rsidRPr="005D0794">
          <w:rPr>
            <w:rStyle w:val="Hyperlink"/>
          </w:rPr>
          <w:t>Cost of carbon</w:t>
        </w:r>
        <w:r w:rsidR="00FC70B9">
          <w:rPr>
            <w:webHidden/>
          </w:rPr>
          <w:tab/>
        </w:r>
        <w:r w:rsidR="00FC70B9">
          <w:rPr>
            <w:webHidden/>
          </w:rPr>
          <w:fldChar w:fldCharType="begin"/>
        </w:r>
        <w:r w:rsidR="00FC70B9">
          <w:rPr>
            <w:webHidden/>
          </w:rPr>
          <w:instrText xml:space="preserve"> PAGEREF _Toc159844556 \h </w:instrText>
        </w:r>
        <w:r w:rsidR="00FC70B9">
          <w:rPr>
            <w:webHidden/>
          </w:rPr>
        </w:r>
        <w:r w:rsidR="00FC70B9">
          <w:rPr>
            <w:webHidden/>
          </w:rPr>
          <w:fldChar w:fldCharType="separate"/>
        </w:r>
        <w:r w:rsidR="00FC70B9">
          <w:rPr>
            <w:webHidden/>
          </w:rPr>
          <w:t>22</w:t>
        </w:r>
        <w:r w:rsidR="00FC70B9">
          <w:rPr>
            <w:webHidden/>
          </w:rPr>
          <w:fldChar w:fldCharType="end"/>
        </w:r>
      </w:hyperlink>
    </w:p>
    <w:p w14:paraId="559AC259" w14:textId="378AFE06" w:rsidR="00FC70B9" w:rsidRDefault="00000000">
      <w:pPr>
        <w:pStyle w:val="TOC4"/>
        <w:rPr>
          <w:rFonts w:eastAsiaTheme="minorEastAsia"/>
          <w:kern w:val="2"/>
          <w:lang w:eastAsia="en-AU"/>
          <w14:ligatures w14:val="standardContextual"/>
        </w:rPr>
      </w:pPr>
      <w:hyperlink w:anchor="_Toc159844557" w:history="1">
        <w:r w:rsidR="00FC70B9" w:rsidRPr="005D0794">
          <w:rPr>
            <w:rStyle w:val="Hyperlink"/>
          </w:rPr>
          <w:t>Human health costs</w:t>
        </w:r>
        <w:r w:rsidR="00FC70B9">
          <w:rPr>
            <w:webHidden/>
          </w:rPr>
          <w:tab/>
        </w:r>
        <w:r w:rsidR="00FC70B9">
          <w:rPr>
            <w:webHidden/>
          </w:rPr>
          <w:fldChar w:fldCharType="begin"/>
        </w:r>
        <w:r w:rsidR="00FC70B9">
          <w:rPr>
            <w:webHidden/>
          </w:rPr>
          <w:instrText xml:space="preserve"> PAGEREF _Toc159844557 \h </w:instrText>
        </w:r>
        <w:r w:rsidR="00FC70B9">
          <w:rPr>
            <w:webHidden/>
          </w:rPr>
        </w:r>
        <w:r w:rsidR="00FC70B9">
          <w:rPr>
            <w:webHidden/>
          </w:rPr>
          <w:fldChar w:fldCharType="separate"/>
        </w:r>
        <w:r w:rsidR="00FC70B9">
          <w:rPr>
            <w:webHidden/>
          </w:rPr>
          <w:t>23</w:t>
        </w:r>
        <w:r w:rsidR="00FC70B9">
          <w:rPr>
            <w:webHidden/>
          </w:rPr>
          <w:fldChar w:fldCharType="end"/>
        </w:r>
      </w:hyperlink>
    </w:p>
    <w:p w14:paraId="2D1EA860" w14:textId="77ADAD4D" w:rsidR="00FC70B9" w:rsidRDefault="00000000">
      <w:pPr>
        <w:pStyle w:val="TOC1"/>
        <w:rPr>
          <w:rFonts w:eastAsiaTheme="minorEastAsia"/>
          <w:b w:val="0"/>
          <w:noProof/>
          <w:kern w:val="2"/>
          <w:lang w:eastAsia="en-AU"/>
          <w14:ligatures w14:val="standardContextual"/>
        </w:rPr>
      </w:pPr>
      <w:hyperlink w:anchor="_Toc159844558" w:history="1">
        <w:r w:rsidR="00FC70B9" w:rsidRPr="005D0794">
          <w:rPr>
            <w:rStyle w:val="Hyperlink"/>
            <w:noProof/>
          </w:rPr>
          <w:t>Themes from submissions and our responses</w:t>
        </w:r>
        <w:r w:rsidR="00FC70B9">
          <w:rPr>
            <w:noProof/>
            <w:webHidden/>
          </w:rPr>
          <w:tab/>
        </w:r>
        <w:r w:rsidR="00FC70B9">
          <w:rPr>
            <w:noProof/>
            <w:webHidden/>
          </w:rPr>
          <w:fldChar w:fldCharType="begin"/>
        </w:r>
        <w:r w:rsidR="00FC70B9">
          <w:rPr>
            <w:noProof/>
            <w:webHidden/>
          </w:rPr>
          <w:instrText xml:space="preserve"> PAGEREF _Toc159844558 \h </w:instrText>
        </w:r>
        <w:r w:rsidR="00FC70B9">
          <w:rPr>
            <w:noProof/>
            <w:webHidden/>
          </w:rPr>
        </w:r>
        <w:r w:rsidR="00FC70B9">
          <w:rPr>
            <w:noProof/>
            <w:webHidden/>
          </w:rPr>
          <w:fldChar w:fldCharType="separate"/>
        </w:r>
        <w:r w:rsidR="00FC70B9">
          <w:rPr>
            <w:noProof/>
            <w:webHidden/>
          </w:rPr>
          <w:t>24</w:t>
        </w:r>
        <w:r w:rsidR="00FC70B9">
          <w:rPr>
            <w:noProof/>
            <w:webHidden/>
          </w:rPr>
          <w:fldChar w:fldCharType="end"/>
        </w:r>
      </w:hyperlink>
    </w:p>
    <w:p w14:paraId="0C2E2EC3" w14:textId="41CC4AA7" w:rsidR="00FC70B9" w:rsidRDefault="00000000">
      <w:pPr>
        <w:pStyle w:val="TOC3"/>
        <w:rPr>
          <w:rFonts w:eastAsiaTheme="minorEastAsia"/>
          <w:kern w:val="2"/>
          <w:lang w:eastAsia="en-AU"/>
          <w14:ligatures w14:val="standardContextual"/>
        </w:rPr>
      </w:pPr>
      <w:hyperlink w:anchor="_Toc159844559" w:history="1">
        <w:r w:rsidR="00FC70B9" w:rsidRPr="005D0794">
          <w:rPr>
            <w:rStyle w:val="Hyperlink"/>
          </w:rPr>
          <w:t>Feed-in tariffs are based on facts and the best available information</w:t>
        </w:r>
        <w:r w:rsidR="00FC70B9">
          <w:rPr>
            <w:webHidden/>
          </w:rPr>
          <w:tab/>
        </w:r>
        <w:r w:rsidR="00FC70B9">
          <w:rPr>
            <w:webHidden/>
          </w:rPr>
          <w:fldChar w:fldCharType="begin"/>
        </w:r>
        <w:r w:rsidR="00FC70B9">
          <w:rPr>
            <w:webHidden/>
          </w:rPr>
          <w:instrText xml:space="preserve"> PAGEREF _Toc159844559 \h </w:instrText>
        </w:r>
        <w:r w:rsidR="00FC70B9">
          <w:rPr>
            <w:webHidden/>
          </w:rPr>
        </w:r>
        <w:r w:rsidR="00FC70B9">
          <w:rPr>
            <w:webHidden/>
          </w:rPr>
          <w:fldChar w:fldCharType="separate"/>
        </w:r>
        <w:r w:rsidR="00FC70B9">
          <w:rPr>
            <w:webHidden/>
          </w:rPr>
          <w:t>24</w:t>
        </w:r>
        <w:r w:rsidR="00FC70B9">
          <w:rPr>
            <w:webHidden/>
          </w:rPr>
          <w:fldChar w:fldCharType="end"/>
        </w:r>
      </w:hyperlink>
    </w:p>
    <w:p w14:paraId="62C4B80B" w14:textId="1AF5F22A" w:rsidR="00FC70B9" w:rsidRDefault="00000000">
      <w:pPr>
        <w:pStyle w:val="TOC3"/>
        <w:rPr>
          <w:rFonts w:eastAsiaTheme="minorEastAsia"/>
          <w:kern w:val="2"/>
          <w:lang w:eastAsia="en-AU"/>
          <w14:ligatures w14:val="standardContextual"/>
        </w:rPr>
      </w:pPr>
      <w:hyperlink w:anchor="_Toc159844560" w:history="1">
        <w:r w:rsidR="00FC70B9" w:rsidRPr="005D0794">
          <w:rPr>
            <w:rStyle w:val="Hyperlink"/>
          </w:rPr>
          <w:t>Average wholesale prices are up but daytime prices are down</w:t>
        </w:r>
        <w:r w:rsidR="00FC70B9">
          <w:rPr>
            <w:webHidden/>
          </w:rPr>
          <w:tab/>
        </w:r>
        <w:r w:rsidR="00FC70B9">
          <w:rPr>
            <w:webHidden/>
          </w:rPr>
          <w:fldChar w:fldCharType="begin"/>
        </w:r>
        <w:r w:rsidR="00FC70B9">
          <w:rPr>
            <w:webHidden/>
          </w:rPr>
          <w:instrText xml:space="preserve"> PAGEREF _Toc159844560 \h </w:instrText>
        </w:r>
        <w:r w:rsidR="00FC70B9">
          <w:rPr>
            <w:webHidden/>
          </w:rPr>
        </w:r>
        <w:r w:rsidR="00FC70B9">
          <w:rPr>
            <w:webHidden/>
          </w:rPr>
          <w:fldChar w:fldCharType="separate"/>
        </w:r>
        <w:r w:rsidR="00FC70B9">
          <w:rPr>
            <w:webHidden/>
          </w:rPr>
          <w:t>25</w:t>
        </w:r>
        <w:r w:rsidR="00FC70B9">
          <w:rPr>
            <w:webHidden/>
          </w:rPr>
          <w:fldChar w:fldCharType="end"/>
        </w:r>
      </w:hyperlink>
    </w:p>
    <w:p w14:paraId="2FD56998" w14:textId="1B5E3F89" w:rsidR="00FC70B9" w:rsidRDefault="00000000">
      <w:pPr>
        <w:pStyle w:val="TOC3"/>
        <w:rPr>
          <w:rFonts w:eastAsiaTheme="minorEastAsia"/>
          <w:kern w:val="2"/>
          <w:lang w:eastAsia="en-AU"/>
          <w14:ligatures w14:val="standardContextual"/>
        </w:rPr>
      </w:pPr>
      <w:hyperlink w:anchor="_Toc159844561" w:history="1">
        <w:r w:rsidR="00FC70B9" w:rsidRPr="005D0794">
          <w:rPr>
            <w:rStyle w:val="Hyperlink"/>
          </w:rPr>
          <w:t>Promoting the interests of all customers</w:t>
        </w:r>
        <w:r w:rsidR="00FC70B9">
          <w:rPr>
            <w:webHidden/>
          </w:rPr>
          <w:tab/>
        </w:r>
        <w:r w:rsidR="00FC70B9">
          <w:rPr>
            <w:webHidden/>
          </w:rPr>
          <w:fldChar w:fldCharType="begin"/>
        </w:r>
        <w:r w:rsidR="00FC70B9">
          <w:rPr>
            <w:webHidden/>
          </w:rPr>
          <w:instrText xml:space="preserve"> PAGEREF _Toc159844561 \h </w:instrText>
        </w:r>
        <w:r w:rsidR="00FC70B9">
          <w:rPr>
            <w:webHidden/>
          </w:rPr>
        </w:r>
        <w:r w:rsidR="00FC70B9">
          <w:rPr>
            <w:webHidden/>
          </w:rPr>
          <w:fldChar w:fldCharType="separate"/>
        </w:r>
        <w:r w:rsidR="00FC70B9">
          <w:rPr>
            <w:webHidden/>
          </w:rPr>
          <w:t>25</w:t>
        </w:r>
        <w:r w:rsidR="00FC70B9">
          <w:rPr>
            <w:webHidden/>
          </w:rPr>
          <w:fldChar w:fldCharType="end"/>
        </w:r>
      </w:hyperlink>
    </w:p>
    <w:p w14:paraId="2940BFC4" w14:textId="14398987" w:rsidR="00FC70B9" w:rsidRDefault="00000000">
      <w:pPr>
        <w:pStyle w:val="TOC3"/>
        <w:rPr>
          <w:rFonts w:eastAsiaTheme="minorEastAsia"/>
          <w:kern w:val="2"/>
          <w:lang w:eastAsia="en-AU"/>
          <w14:ligatures w14:val="standardContextual"/>
        </w:rPr>
      </w:pPr>
      <w:hyperlink w:anchor="_Toc159844562" w:history="1">
        <w:r w:rsidR="00FC70B9" w:rsidRPr="005D0794">
          <w:rPr>
            <w:rStyle w:val="Hyperlink"/>
          </w:rPr>
          <w:t>Legislation places limits on how we can set the minimum feed-in tariffs</w:t>
        </w:r>
        <w:r w:rsidR="00FC70B9">
          <w:rPr>
            <w:webHidden/>
          </w:rPr>
          <w:tab/>
        </w:r>
        <w:r w:rsidR="00FC70B9">
          <w:rPr>
            <w:webHidden/>
          </w:rPr>
          <w:fldChar w:fldCharType="begin"/>
        </w:r>
        <w:r w:rsidR="00FC70B9">
          <w:rPr>
            <w:webHidden/>
          </w:rPr>
          <w:instrText xml:space="preserve"> PAGEREF _Toc159844562 \h </w:instrText>
        </w:r>
        <w:r w:rsidR="00FC70B9">
          <w:rPr>
            <w:webHidden/>
          </w:rPr>
        </w:r>
        <w:r w:rsidR="00FC70B9">
          <w:rPr>
            <w:webHidden/>
          </w:rPr>
          <w:fldChar w:fldCharType="separate"/>
        </w:r>
        <w:r w:rsidR="00FC70B9">
          <w:rPr>
            <w:webHidden/>
          </w:rPr>
          <w:t>26</w:t>
        </w:r>
        <w:r w:rsidR="00FC70B9">
          <w:rPr>
            <w:webHidden/>
          </w:rPr>
          <w:fldChar w:fldCharType="end"/>
        </w:r>
      </w:hyperlink>
    </w:p>
    <w:p w14:paraId="340989FC" w14:textId="67216917" w:rsidR="00FC70B9" w:rsidRDefault="00000000">
      <w:pPr>
        <w:pStyle w:val="TOC3"/>
        <w:rPr>
          <w:rFonts w:eastAsiaTheme="minorEastAsia"/>
          <w:kern w:val="2"/>
          <w:lang w:eastAsia="en-AU"/>
          <w14:ligatures w14:val="standardContextual"/>
        </w:rPr>
      </w:pPr>
      <w:hyperlink w:anchor="_Toc159844563" w:history="1">
        <w:r w:rsidR="00FC70B9" w:rsidRPr="005D0794">
          <w:rPr>
            <w:rStyle w:val="Hyperlink"/>
          </w:rPr>
          <w:t>Customers can still make significant savings on their electricity bills</w:t>
        </w:r>
        <w:r w:rsidR="00FC70B9">
          <w:rPr>
            <w:webHidden/>
          </w:rPr>
          <w:tab/>
        </w:r>
        <w:r w:rsidR="00FC70B9">
          <w:rPr>
            <w:webHidden/>
          </w:rPr>
          <w:fldChar w:fldCharType="begin"/>
        </w:r>
        <w:r w:rsidR="00FC70B9">
          <w:rPr>
            <w:webHidden/>
          </w:rPr>
          <w:instrText xml:space="preserve"> PAGEREF _Toc159844563 \h </w:instrText>
        </w:r>
        <w:r w:rsidR="00FC70B9">
          <w:rPr>
            <w:webHidden/>
          </w:rPr>
        </w:r>
        <w:r w:rsidR="00FC70B9">
          <w:rPr>
            <w:webHidden/>
          </w:rPr>
          <w:fldChar w:fldCharType="separate"/>
        </w:r>
        <w:r w:rsidR="00FC70B9">
          <w:rPr>
            <w:webHidden/>
          </w:rPr>
          <w:t>27</w:t>
        </w:r>
        <w:r w:rsidR="00FC70B9">
          <w:rPr>
            <w:webHidden/>
          </w:rPr>
          <w:fldChar w:fldCharType="end"/>
        </w:r>
      </w:hyperlink>
    </w:p>
    <w:p w14:paraId="6CFF62D5" w14:textId="58ACAAE2" w:rsidR="00FC70B9" w:rsidRDefault="00000000">
      <w:pPr>
        <w:pStyle w:val="TOC3"/>
        <w:rPr>
          <w:rFonts w:eastAsiaTheme="minorEastAsia"/>
          <w:kern w:val="2"/>
          <w:lang w:eastAsia="en-AU"/>
          <w14:ligatures w14:val="standardContextual"/>
        </w:rPr>
      </w:pPr>
      <w:hyperlink w:anchor="_Toc159844564" w:history="1">
        <w:r w:rsidR="00FC70B9" w:rsidRPr="005D0794">
          <w:rPr>
            <w:rStyle w:val="Hyperlink"/>
          </w:rPr>
          <w:t>We will monitor how the value of solar changes across the day</w:t>
        </w:r>
        <w:r w:rsidR="00FC70B9">
          <w:rPr>
            <w:webHidden/>
          </w:rPr>
          <w:tab/>
        </w:r>
        <w:r w:rsidR="00FC70B9">
          <w:rPr>
            <w:webHidden/>
          </w:rPr>
          <w:fldChar w:fldCharType="begin"/>
        </w:r>
        <w:r w:rsidR="00FC70B9">
          <w:rPr>
            <w:webHidden/>
          </w:rPr>
          <w:instrText xml:space="preserve"> PAGEREF _Toc159844564 \h </w:instrText>
        </w:r>
        <w:r w:rsidR="00FC70B9">
          <w:rPr>
            <w:webHidden/>
          </w:rPr>
        </w:r>
        <w:r w:rsidR="00FC70B9">
          <w:rPr>
            <w:webHidden/>
          </w:rPr>
          <w:fldChar w:fldCharType="separate"/>
        </w:r>
        <w:r w:rsidR="00FC70B9">
          <w:rPr>
            <w:webHidden/>
          </w:rPr>
          <w:t>28</w:t>
        </w:r>
        <w:r w:rsidR="00FC70B9">
          <w:rPr>
            <w:webHidden/>
          </w:rPr>
          <w:fldChar w:fldCharType="end"/>
        </w:r>
      </w:hyperlink>
    </w:p>
    <w:p w14:paraId="1C7F80DD" w14:textId="50B3BDE4" w:rsidR="00FC70B9" w:rsidRDefault="00000000">
      <w:pPr>
        <w:pStyle w:val="TOC3"/>
        <w:rPr>
          <w:rFonts w:eastAsiaTheme="minorEastAsia"/>
          <w:kern w:val="2"/>
          <w:lang w:eastAsia="en-AU"/>
          <w14:ligatures w14:val="standardContextual"/>
        </w:rPr>
      </w:pPr>
      <w:hyperlink w:anchor="_Toc159844565" w:history="1">
        <w:r w:rsidR="00FC70B9" w:rsidRPr="005D0794">
          <w:rPr>
            <w:rStyle w:val="Hyperlink"/>
          </w:rPr>
          <w:t>Energy markets are complex</w:t>
        </w:r>
        <w:r w:rsidR="00FC70B9">
          <w:rPr>
            <w:webHidden/>
          </w:rPr>
          <w:tab/>
        </w:r>
        <w:r w:rsidR="00FC70B9">
          <w:rPr>
            <w:webHidden/>
          </w:rPr>
          <w:fldChar w:fldCharType="begin"/>
        </w:r>
        <w:r w:rsidR="00FC70B9">
          <w:rPr>
            <w:webHidden/>
          </w:rPr>
          <w:instrText xml:space="preserve"> PAGEREF _Toc159844565 \h </w:instrText>
        </w:r>
        <w:r w:rsidR="00FC70B9">
          <w:rPr>
            <w:webHidden/>
          </w:rPr>
        </w:r>
        <w:r w:rsidR="00FC70B9">
          <w:rPr>
            <w:webHidden/>
          </w:rPr>
          <w:fldChar w:fldCharType="separate"/>
        </w:r>
        <w:r w:rsidR="00FC70B9">
          <w:rPr>
            <w:webHidden/>
          </w:rPr>
          <w:t>29</w:t>
        </w:r>
        <w:r w:rsidR="00FC70B9">
          <w:rPr>
            <w:webHidden/>
          </w:rPr>
          <w:fldChar w:fldCharType="end"/>
        </w:r>
      </w:hyperlink>
    </w:p>
    <w:p w14:paraId="627F5EF2" w14:textId="5F8FFE6D" w:rsidR="00FC70B9" w:rsidRDefault="00000000">
      <w:pPr>
        <w:pStyle w:val="TOC3"/>
        <w:rPr>
          <w:rFonts w:eastAsiaTheme="minorEastAsia"/>
          <w:kern w:val="2"/>
          <w:lang w:eastAsia="en-AU"/>
          <w14:ligatures w14:val="standardContextual"/>
        </w:rPr>
      </w:pPr>
      <w:hyperlink w:anchor="_Toc159844566" w:history="1">
        <w:r w:rsidR="00FC70B9" w:rsidRPr="005D0794">
          <w:rPr>
            <w:rStyle w:val="Hyperlink"/>
          </w:rPr>
          <w:t>We have consulted on our draft decision</w:t>
        </w:r>
        <w:r w:rsidR="00FC70B9">
          <w:rPr>
            <w:webHidden/>
          </w:rPr>
          <w:tab/>
        </w:r>
        <w:r w:rsidR="00FC70B9">
          <w:rPr>
            <w:webHidden/>
          </w:rPr>
          <w:fldChar w:fldCharType="begin"/>
        </w:r>
        <w:r w:rsidR="00FC70B9">
          <w:rPr>
            <w:webHidden/>
          </w:rPr>
          <w:instrText xml:space="preserve"> PAGEREF _Toc159844566 \h </w:instrText>
        </w:r>
        <w:r w:rsidR="00FC70B9">
          <w:rPr>
            <w:webHidden/>
          </w:rPr>
        </w:r>
        <w:r w:rsidR="00FC70B9">
          <w:rPr>
            <w:webHidden/>
          </w:rPr>
          <w:fldChar w:fldCharType="separate"/>
        </w:r>
        <w:r w:rsidR="00FC70B9">
          <w:rPr>
            <w:webHidden/>
          </w:rPr>
          <w:t>30</w:t>
        </w:r>
        <w:r w:rsidR="00FC70B9">
          <w:rPr>
            <w:webHidden/>
          </w:rPr>
          <w:fldChar w:fldCharType="end"/>
        </w:r>
      </w:hyperlink>
    </w:p>
    <w:p w14:paraId="4B6A60C0" w14:textId="38B41944" w:rsidR="00FC70B9" w:rsidRDefault="00000000">
      <w:pPr>
        <w:pStyle w:val="TOC3"/>
        <w:rPr>
          <w:rFonts w:eastAsiaTheme="minorEastAsia"/>
          <w:kern w:val="2"/>
          <w:lang w:eastAsia="en-AU"/>
          <w14:ligatures w14:val="standardContextual"/>
        </w:rPr>
      </w:pPr>
      <w:hyperlink w:anchor="_Toc159844567" w:history="1">
        <w:r w:rsidR="00FC70B9" w:rsidRPr="005D0794">
          <w:rPr>
            <w:rStyle w:val="Hyperlink"/>
          </w:rPr>
          <w:t>The social cost of carbon is set out in the Order in Council</w:t>
        </w:r>
        <w:r w:rsidR="00FC70B9">
          <w:rPr>
            <w:webHidden/>
          </w:rPr>
          <w:tab/>
        </w:r>
        <w:r w:rsidR="00FC70B9">
          <w:rPr>
            <w:webHidden/>
          </w:rPr>
          <w:fldChar w:fldCharType="begin"/>
        </w:r>
        <w:r w:rsidR="00FC70B9">
          <w:rPr>
            <w:webHidden/>
          </w:rPr>
          <w:instrText xml:space="preserve"> PAGEREF _Toc159844567 \h </w:instrText>
        </w:r>
        <w:r w:rsidR="00FC70B9">
          <w:rPr>
            <w:webHidden/>
          </w:rPr>
        </w:r>
        <w:r w:rsidR="00FC70B9">
          <w:rPr>
            <w:webHidden/>
          </w:rPr>
          <w:fldChar w:fldCharType="separate"/>
        </w:r>
        <w:r w:rsidR="00FC70B9">
          <w:rPr>
            <w:webHidden/>
          </w:rPr>
          <w:t>30</w:t>
        </w:r>
        <w:r w:rsidR="00FC70B9">
          <w:rPr>
            <w:webHidden/>
          </w:rPr>
          <w:fldChar w:fldCharType="end"/>
        </w:r>
      </w:hyperlink>
    </w:p>
    <w:p w14:paraId="4B0E82BC" w14:textId="6F22F839" w:rsidR="00FC70B9" w:rsidRDefault="00000000">
      <w:pPr>
        <w:pStyle w:val="TOC3"/>
        <w:rPr>
          <w:rFonts w:eastAsiaTheme="minorEastAsia"/>
          <w:kern w:val="2"/>
          <w:lang w:eastAsia="en-AU"/>
          <w14:ligatures w14:val="standardContextual"/>
        </w:rPr>
      </w:pPr>
      <w:hyperlink w:anchor="_Toc159844568" w:history="1">
        <w:r w:rsidR="00FC70B9" w:rsidRPr="005D0794">
          <w:rPr>
            <w:rStyle w:val="Hyperlink"/>
          </w:rPr>
          <w:t>We have considered avoided human health costs</w:t>
        </w:r>
        <w:r w:rsidR="00FC70B9">
          <w:rPr>
            <w:webHidden/>
          </w:rPr>
          <w:tab/>
        </w:r>
        <w:r w:rsidR="00FC70B9">
          <w:rPr>
            <w:webHidden/>
          </w:rPr>
          <w:fldChar w:fldCharType="begin"/>
        </w:r>
        <w:r w:rsidR="00FC70B9">
          <w:rPr>
            <w:webHidden/>
          </w:rPr>
          <w:instrText xml:space="preserve"> PAGEREF _Toc159844568 \h </w:instrText>
        </w:r>
        <w:r w:rsidR="00FC70B9">
          <w:rPr>
            <w:webHidden/>
          </w:rPr>
        </w:r>
        <w:r w:rsidR="00FC70B9">
          <w:rPr>
            <w:webHidden/>
          </w:rPr>
          <w:fldChar w:fldCharType="separate"/>
        </w:r>
        <w:r w:rsidR="00FC70B9">
          <w:rPr>
            <w:webHidden/>
          </w:rPr>
          <w:t>31</w:t>
        </w:r>
        <w:r w:rsidR="00FC70B9">
          <w:rPr>
            <w:webHidden/>
          </w:rPr>
          <w:fldChar w:fldCharType="end"/>
        </w:r>
      </w:hyperlink>
    </w:p>
    <w:p w14:paraId="06BA5019" w14:textId="01A0AA63" w:rsidR="00FC70B9" w:rsidRDefault="00000000">
      <w:pPr>
        <w:pStyle w:val="TOC3"/>
        <w:rPr>
          <w:rFonts w:eastAsiaTheme="minorEastAsia"/>
          <w:kern w:val="2"/>
          <w:lang w:eastAsia="en-AU"/>
          <w14:ligatures w14:val="standardContextual"/>
        </w:rPr>
      </w:pPr>
      <w:hyperlink w:anchor="_Toc159844569" w:history="1">
        <w:r w:rsidR="00FC70B9" w:rsidRPr="005D0794">
          <w:rPr>
            <w:rStyle w:val="Hyperlink"/>
          </w:rPr>
          <w:t>We are required to consider the wholesale price of electricity</w:t>
        </w:r>
        <w:r w:rsidR="00FC70B9">
          <w:rPr>
            <w:webHidden/>
          </w:rPr>
          <w:tab/>
        </w:r>
        <w:r w:rsidR="00FC70B9">
          <w:rPr>
            <w:webHidden/>
          </w:rPr>
          <w:fldChar w:fldCharType="begin"/>
        </w:r>
        <w:r w:rsidR="00FC70B9">
          <w:rPr>
            <w:webHidden/>
          </w:rPr>
          <w:instrText xml:space="preserve"> PAGEREF _Toc159844569 \h </w:instrText>
        </w:r>
        <w:r w:rsidR="00FC70B9">
          <w:rPr>
            <w:webHidden/>
          </w:rPr>
        </w:r>
        <w:r w:rsidR="00FC70B9">
          <w:rPr>
            <w:webHidden/>
          </w:rPr>
          <w:fldChar w:fldCharType="separate"/>
        </w:r>
        <w:r w:rsidR="00FC70B9">
          <w:rPr>
            <w:webHidden/>
          </w:rPr>
          <w:t>32</w:t>
        </w:r>
        <w:r w:rsidR="00FC70B9">
          <w:rPr>
            <w:webHidden/>
          </w:rPr>
          <w:fldChar w:fldCharType="end"/>
        </w:r>
      </w:hyperlink>
    </w:p>
    <w:p w14:paraId="349F94D7" w14:textId="6F8A7FE2" w:rsidR="00FC70B9" w:rsidRDefault="00000000">
      <w:pPr>
        <w:pStyle w:val="TOC3"/>
        <w:rPr>
          <w:rFonts w:eastAsiaTheme="minorEastAsia"/>
          <w:kern w:val="2"/>
          <w:lang w:eastAsia="en-AU"/>
          <w14:ligatures w14:val="standardContextual"/>
        </w:rPr>
      </w:pPr>
      <w:hyperlink w:anchor="_Toc159844570" w:history="1">
        <w:r w:rsidR="00FC70B9" w:rsidRPr="005D0794">
          <w:rPr>
            <w:rStyle w:val="Hyperlink"/>
          </w:rPr>
          <w:t>A stepped feed-in tariff is unnecessarily complex</w:t>
        </w:r>
        <w:r w:rsidR="00FC70B9">
          <w:rPr>
            <w:webHidden/>
          </w:rPr>
          <w:tab/>
        </w:r>
        <w:r w:rsidR="00FC70B9">
          <w:rPr>
            <w:webHidden/>
          </w:rPr>
          <w:fldChar w:fldCharType="begin"/>
        </w:r>
        <w:r w:rsidR="00FC70B9">
          <w:rPr>
            <w:webHidden/>
          </w:rPr>
          <w:instrText xml:space="preserve"> PAGEREF _Toc159844570 \h </w:instrText>
        </w:r>
        <w:r w:rsidR="00FC70B9">
          <w:rPr>
            <w:webHidden/>
          </w:rPr>
        </w:r>
        <w:r w:rsidR="00FC70B9">
          <w:rPr>
            <w:webHidden/>
          </w:rPr>
          <w:fldChar w:fldCharType="separate"/>
        </w:r>
        <w:r w:rsidR="00FC70B9">
          <w:rPr>
            <w:webHidden/>
          </w:rPr>
          <w:t>32</w:t>
        </w:r>
        <w:r w:rsidR="00FC70B9">
          <w:rPr>
            <w:webHidden/>
          </w:rPr>
          <w:fldChar w:fldCharType="end"/>
        </w:r>
      </w:hyperlink>
    </w:p>
    <w:p w14:paraId="691DDA10" w14:textId="1E518848" w:rsidR="00FC70B9" w:rsidRDefault="00000000">
      <w:pPr>
        <w:pStyle w:val="TOC3"/>
        <w:rPr>
          <w:rFonts w:eastAsiaTheme="minorEastAsia"/>
          <w:kern w:val="2"/>
          <w:lang w:eastAsia="en-AU"/>
          <w14:ligatures w14:val="standardContextual"/>
        </w:rPr>
      </w:pPr>
      <w:hyperlink w:anchor="_Toc159844571" w:history="1">
        <w:r w:rsidR="00FC70B9" w:rsidRPr="005D0794">
          <w:rPr>
            <w:rStyle w:val="Hyperlink"/>
          </w:rPr>
          <w:t>Retailers cannot use their customers’ solar energy for carbon credits</w:t>
        </w:r>
        <w:r w:rsidR="00FC70B9">
          <w:rPr>
            <w:webHidden/>
          </w:rPr>
          <w:tab/>
        </w:r>
        <w:r w:rsidR="00FC70B9">
          <w:rPr>
            <w:webHidden/>
          </w:rPr>
          <w:fldChar w:fldCharType="begin"/>
        </w:r>
        <w:r w:rsidR="00FC70B9">
          <w:rPr>
            <w:webHidden/>
          </w:rPr>
          <w:instrText xml:space="preserve"> PAGEREF _Toc159844571 \h </w:instrText>
        </w:r>
        <w:r w:rsidR="00FC70B9">
          <w:rPr>
            <w:webHidden/>
          </w:rPr>
        </w:r>
        <w:r w:rsidR="00FC70B9">
          <w:rPr>
            <w:webHidden/>
          </w:rPr>
          <w:fldChar w:fldCharType="separate"/>
        </w:r>
        <w:r w:rsidR="00FC70B9">
          <w:rPr>
            <w:webHidden/>
          </w:rPr>
          <w:t>32</w:t>
        </w:r>
        <w:r w:rsidR="00FC70B9">
          <w:rPr>
            <w:webHidden/>
          </w:rPr>
          <w:fldChar w:fldCharType="end"/>
        </w:r>
      </w:hyperlink>
    </w:p>
    <w:p w14:paraId="39438F79" w14:textId="20CBBB2C" w:rsidR="00FC70B9" w:rsidRDefault="00000000">
      <w:pPr>
        <w:pStyle w:val="TOC1"/>
        <w:rPr>
          <w:rFonts w:eastAsiaTheme="minorEastAsia"/>
          <w:b w:val="0"/>
          <w:noProof/>
          <w:kern w:val="2"/>
          <w:lang w:eastAsia="en-AU"/>
          <w14:ligatures w14:val="standardContextual"/>
        </w:rPr>
      </w:pPr>
      <w:hyperlink w:anchor="_Toc159844572" w:history="1">
        <w:r w:rsidR="00FC70B9" w:rsidRPr="005D0794">
          <w:rPr>
            <w:rStyle w:val="Hyperlink"/>
            <w:noProof/>
          </w:rPr>
          <w:t>Appendix A – Technical methodology</w:t>
        </w:r>
        <w:r w:rsidR="00FC70B9">
          <w:rPr>
            <w:noProof/>
            <w:webHidden/>
          </w:rPr>
          <w:tab/>
        </w:r>
        <w:r w:rsidR="00FC70B9">
          <w:rPr>
            <w:noProof/>
            <w:webHidden/>
          </w:rPr>
          <w:fldChar w:fldCharType="begin"/>
        </w:r>
        <w:r w:rsidR="00FC70B9">
          <w:rPr>
            <w:noProof/>
            <w:webHidden/>
          </w:rPr>
          <w:instrText xml:space="preserve"> PAGEREF _Toc159844572 \h </w:instrText>
        </w:r>
        <w:r w:rsidR="00FC70B9">
          <w:rPr>
            <w:noProof/>
            <w:webHidden/>
          </w:rPr>
        </w:r>
        <w:r w:rsidR="00FC70B9">
          <w:rPr>
            <w:noProof/>
            <w:webHidden/>
          </w:rPr>
          <w:fldChar w:fldCharType="separate"/>
        </w:r>
        <w:r w:rsidR="00FC70B9">
          <w:rPr>
            <w:noProof/>
            <w:webHidden/>
          </w:rPr>
          <w:t>34</w:t>
        </w:r>
        <w:r w:rsidR="00FC70B9">
          <w:rPr>
            <w:noProof/>
            <w:webHidden/>
          </w:rPr>
          <w:fldChar w:fldCharType="end"/>
        </w:r>
      </w:hyperlink>
    </w:p>
    <w:p w14:paraId="6FE3F1DE" w14:textId="0DA414F5" w:rsidR="00FC70B9" w:rsidRDefault="00000000">
      <w:pPr>
        <w:pStyle w:val="TOC4"/>
        <w:rPr>
          <w:rFonts w:eastAsiaTheme="minorEastAsia"/>
          <w:kern w:val="2"/>
          <w:lang w:eastAsia="en-AU"/>
          <w14:ligatures w14:val="standardContextual"/>
        </w:rPr>
      </w:pPr>
      <w:hyperlink w:anchor="_Toc159844573" w:history="1">
        <w:r w:rsidR="00FC70B9" w:rsidRPr="005D0794">
          <w:rPr>
            <w:rStyle w:val="Hyperlink"/>
          </w:rPr>
          <w:t>Forecasting solar weighted wholesale electricity prices</w:t>
        </w:r>
        <w:r w:rsidR="00FC70B9">
          <w:rPr>
            <w:webHidden/>
          </w:rPr>
          <w:tab/>
        </w:r>
        <w:r w:rsidR="00FC70B9">
          <w:rPr>
            <w:webHidden/>
          </w:rPr>
          <w:fldChar w:fldCharType="begin"/>
        </w:r>
        <w:r w:rsidR="00FC70B9">
          <w:rPr>
            <w:webHidden/>
          </w:rPr>
          <w:instrText xml:space="preserve"> PAGEREF _Toc159844573 \h </w:instrText>
        </w:r>
        <w:r w:rsidR="00FC70B9">
          <w:rPr>
            <w:webHidden/>
          </w:rPr>
        </w:r>
        <w:r w:rsidR="00FC70B9">
          <w:rPr>
            <w:webHidden/>
          </w:rPr>
          <w:fldChar w:fldCharType="separate"/>
        </w:r>
        <w:r w:rsidR="00FC70B9">
          <w:rPr>
            <w:webHidden/>
          </w:rPr>
          <w:t>35</w:t>
        </w:r>
        <w:r w:rsidR="00FC70B9">
          <w:rPr>
            <w:webHidden/>
          </w:rPr>
          <w:fldChar w:fldCharType="end"/>
        </w:r>
      </w:hyperlink>
    </w:p>
    <w:p w14:paraId="16C2B47B" w14:textId="75BE3E82" w:rsidR="00FC70B9" w:rsidRDefault="00000000">
      <w:pPr>
        <w:pStyle w:val="TOC5"/>
        <w:rPr>
          <w:rFonts w:eastAsiaTheme="minorEastAsia"/>
          <w:noProof/>
          <w:kern w:val="2"/>
          <w:lang w:eastAsia="en-AU"/>
          <w14:ligatures w14:val="standardContextual"/>
        </w:rPr>
      </w:pPr>
      <w:hyperlink w:anchor="_Toc159844574" w:history="1">
        <w:r w:rsidR="00FC70B9" w:rsidRPr="005D0794">
          <w:rPr>
            <w:rStyle w:val="Hyperlink"/>
            <w:noProof/>
          </w:rPr>
          <w:t>Solar weighted wholesale price forecasts for 2024–25</w:t>
        </w:r>
        <w:r w:rsidR="00FC70B9">
          <w:rPr>
            <w:noProof/>
            <w:webHidden/>
          </w:rPr>
          <w:tab/>
        </w:r>
        <w:r w:rsidR="00FC70B9">
          <w:rPr>
            <w:noProof/>
            <w:webHidden/>
          </w:rPr>
          <w:fldChar w:fldCharType="begin"/>
        </w:r>
        <w:r w:rsidR="00FC70B9">
          <w:rPr>
            <w:noProof/>
            <w:webHidden/>
          </w:rPr>
          <w:instrText xml:space="preserve"> PAGEREF _Toc159844574 \h </w:instrText>
        </w:r>
        <w:r w:rsidR="00FC70B9">
          <w:rPr>
            <w:noProof/>
            <w:webHidden/>
          </w:rPr>
        </w:r>
        <w:r w:rsidR="00FC70B9">
          <w:rPr>
            <w:noProof/>
            <w:webHidden/>
          </w:rPr>
          <w:fldChar w:fldCharType="separate"/>
        </w:r>
        <w:r w:rsidR="00FC70B9">
          <w:rPr>
            <w:noProof/>
            <w:webHidden/>
          </w:rPr>
          <w:t>35</w:t>
        </w:r>
        <w:r w:rsidR="00FC70B9">
          <w:rPr>
            <w:noProof/>
            <w:webHidden/>
          </w:rPr>
          <w:fldChar w:fldCharType="end"/>
        </w:r>
      </w:hyperlink>
    </w:p>
    <w:p w14:paraId="46929CA3" w14:textId="268F3982" w:rsidR="00FC70B9" w:rsidRDefault="00000000">
      <w:pPr>
        <w:pStyle w:val="TOC3"/>
        <w:rPr>
          <w:rFonts w:eastAsiaTheme="minorEastAsia"/>
          <w:kern w:val="2"/>
          <w:lang w:eastAsia="en-AU"/>
          <w14:ligatures w14:val="standardContextual"/>
        </w:rPr>
      </w:pPr>
      <w:hyperlink w:anchor="_Toc159844575" w:history="1">
        <w:r w:rsidR="00FC70B9" w:rsidRPr="005D0794">
          <w:rPr>
            <w:rStyle w:val="Hyperlink"/>
          </w:rPr>
          <w:t>Estimate of market fees and ancillary service charges</w:t>
        </w:r>
        <w:r w:rsidR="00FC70B9">
          <w:rPr>
            <w:webHidden/>
          </w:rPr>
          <w:tab/>
        </w:r>
        <w:r w:rsidR="00FC70B9">
          <w:rPr>
            <w:webHidden/>
          </w:rPr>
          <w:fldChar w:fldCharType="begin"/>
        </w:r>
        <w:r w:rsidR="00FC70B9">
          <w:rPr>
            <w:webHidden/>
          </w:rPr>
          <w:instrText xml:space="preserve"> PAGEREF _Toc159844575 \h </w:instrText>
        </w:r>
        <w:r w:rsidR="00FC70B9">
          <w:rPr>
            <w:webHidden/>
          </w:rPr>
        </w:r>
        <w:r w:rsidR="00FC70B9">
          <w:rPr>
            <w:webHidden/>
          </w:rPr>
          <w:fldChar w:fldCharType="separate"/>
        </w:r>
        <w:r w:rsidR="00FC70B9">
          <w:rPr>
            <w:webHidden/>
          </w:rPr>
          <w:t>37</w:t>
        </w:r>
        <w:r w:rsidR="00FC70B9">
          <w:rPr>
            <w:webHidden/>
          </w:rPr>
          <w:fldChar w:fldCharType="end"/>
        </w:r>
      </w:hyperlink>
    </w:p>
    <w:p w14:paraId="018FFDC6" w14:textId="5E546C48" w:rsidR="00FC70B9" w:rsidRDefault="00000000">
      <w:pPr>
        <w:pStyle w:val="TOC5"/>
        <w:rPr>
          <w:rFonts w:eastAsiaTheme="minorEastAsia"/>
          <w:noProof/>
          <w:kern w:val="2"/>
          <w:lang w:eastAsia="en-AU"/>
          <w14:ligatures w14:val="standardContextual"/>
        </w:rPr>
      </w:pPr>
      <w:hyperlink w:anchor="_Toc159844576" w:history="1">
        <w:r w:rsidR="00FC70B9" w:rsidRPr="005D0794">
          <w:rPr>
            <w:rStyle w:val="Hyperlink"/>
            <w:noProof/>
          </w:rPr>
          <w:t>Market fees</w:t>
        </w:r>
        <w:r w:rsidR="00FC70B9">
          <w:rPr>
            <w:noProof/>
            <w:webHidden/>
          </w:rPr>
          <w:tab/>
        </w:r>
        <w:r w:rsidR="00FC70B9">
          <w:rPr>
            <w:noProof/>
            <w:webHidden/>
          </w:rPr>
          <w:fldChar w:fldCharType="begin"/>
        </w:r>
        <w:r w:rsidR="00FC70B9">
          <w:rPr>
            <w:noProof/>
            <w:webHidden/>
          </w:rPr>
          <w:instrText xml:space="preserve"> PAGEREF _Toc159844576 \h </w:instrText>
        </w:r>
        <w:r w:rsidR="00FC70B9">
          <w:rPr>
            <w:noProof/>
            <w:webHidden/>
          </w:rPr>
        </w:r>
        <w:r w:rsidR="00FC70B9">
          <w:rPr>
            <w:noProof/>
            <w:webHidden/>
          </w:rPr>
          <w:fldChar w:fldCharType="separate"/>
        </w:r>
        <w:r w:rsidR="00FC70B9">
          <w:rPr>
            <w:noProof/>
            <w:webHidden/>
          </w:rPr>
          <w:t>37</w:t>
        </w:r>
        <w:r w:rsidR="00FC70B9">
          <w:rPr>
            <w:noProof/>
            <w:webHidden/>
          </w:rPr>
          <w:fldChar w:fldCharType="end"/>
        </w:r>
      </w:hyperlink>
    </w:p>
    <w:p w14:paraId="0C073F45" w14:textId="2F6E715D" w:rsidR="00FC70B9" w:rsidRDefault="00000000">
      <w:pPr>
        <w:pStyle w:val="TOC5"/>
        <w:rPr>
          <w:rFonts w:eastAsiaTheme="minorEastAsia"/>
          <w:noProof/>
          <w:kern w:val="2"/>
          <w:lang w:eastAsia="en-AU"/>
          <w14:ligatures w14:val="standardContextual"/>
        </w:rPr>
      </w:pPr>
      <w:hyperlink w:anchor="_Toc159844577" w:history="1">
        <w:r w:rsidR="00FC70B9" w:rsidRPr="005D0794">
          <w:rPr>
            <w:rStyle w:val="Hyperlink"/>
            <w:noProof/>
          </w:rPr>
          <w:t>Ancillary services</w:t>
        </w:r>
        <w:r w:rsidR="00FC70B9">
          <w:rPr>
            <w:noProof/>
            <w:webHidden/>
          </w:rPr>
          <w:tab/>
        </w:r>
        <w:r w:rsidR="00FC70B9">
          <w:rPr>
            <w:noProof/>
            <w:webHidden/>
          </w:rPr>
          <w:fldChar w:fldCharType="begin"/>
        </w:r>
        <w:r w:rsidR="00FC70B9">
          <w:rPr>
            <w:noProof/>
            <w:webHidden/>
          </w:rPr>
          <w:instrText xml:space="preserve"> PAGEREF _Toc159844577 \h </w:instrText>
        </w:r>
        <w:r w:rsidR="00FC70B9">
          <w:rPr>
            <w:noProof/>
            <w:webHidden/>
          </w:rPr>
        </w:r>
        <w:r w:rsidR="00FC70B9">
          <w:rPr>
            <w:noProof/>
            <w:webHidden/>
          </w:rPr>
          <w:fldChar w:fldCharType="separate"/>
        </w:r>
        <w:r w:rsidR="00FC70B9">
          <w:rPr>
            <w:noProof/>
            <w:webHidden/>
          </w:rPr>
          <w:t>39</w:t>
        </w:r>
        <w:r w:rsidR="00FC70B9">
          <w:rPr>
            <w:noProof/>
            <w:webHidden/>
          </w:rPr>
          <w:fldChar w:fldCharType="end"/>
        </w:r>
      </w:hyperlink>
    </w:p>
    <w:p w14:paraId="0D12DF3C" w14:textId="2A3A228F" w:rsidR="00FC70B9" w:rsidRDefault="00000000">
      <w:pPr>
        <w:pStyle w:val="TOC3"/>
        <w:rPr>
          <w:rFonts w:eastAsiaTheme="minorEastAsia"/>
          <w:kern w:val="2"/>
          <w:lang w:eastAsia="en-AU"/>
          <w14:ligatures w14:val="standardContextual"/>
        </w:rPr>
      </w:pPr>
      <w:hyperlink w:anchor="_Toc159844578" w:history="1">
        <w:r w:rsidR="00FC70B9" w:rsidRPr="005D0794">
          <w:rPr>
            <w:rStyle w:val="Hyperlink"/>
          </w:rPr>
          <w:t>Estimating avoided transmission and distribution losses</w:t>
        </w:r>
        <w:r w:rsidR="00FC70B9">
          <w:rPr>
            <w:webHidden/>
          </w:rPr>
          <w:tab/>
        </w:r>
        <w:r w:rsidR="00FC70B9">
          <w:rPr>
            <w:webHidden/>
          </w:rPr>
          <w:fldChar w:fldCharType="begin"/>
        </w:r>
        <w:r w:rsidR="00FC70B9">
          <w:rPr>
            <w:webHidden/>
          </w:rPr>
          <w:instrText xml:space="preserve"> PAGEREF _Toc159844578 \h </w:instrText>
        </w:r>
        <w:r w:rsidR="00FC70B9">
          <w:rPr>
            <w:webHidden/>
          </w:rPr>
        </w:r>
        <w:r w:rsidR="00FC70B9">
          <w:rPr>
            <w:webHidden/>
          </w:rPr>
          <w:fldChar w:fldCharType="separate"/>
        </w:r>
        <w:r w:rsidR="00FC70B9">
          <w:rPr>
            <w:webHidden/>
          </w:rPr>
          <w:t>39</w:t>
        </w:r>
        <w:r w:rsidR="00FC70B9">
          <w:rPr>
            <w:webHidden/>
          </w:rPr>
          <w:fldChar w:fldCharType="end"/>
        </w:r>
      </w:hyperlink>
    </w:p>
    <w:p w14:paraId="280AC35F" w14:textId="5D459408" w:rsidR="00FC70B9" w:rsidRDefault="00000000">
      <w:pPr>
        <w:pStyle w:val="TOC3"/>
        <w:rPr>
          <w:rFonts w:eastAsiaTheme="minorEastAsia"/>
          <w:kern w:val="2"/>
          <w:lang w:eastAsia="en-AU"/>
          <w14:ligatures w14:val="standardContextual"/>
        </w:rPr>
      </w:pPr>
      <w:hyperlink w:anchor="_Toc159844579" w:history="1">
        <w:r w:rsidR="00FC70B9" w:rsidRPr="005D0794">
          <w:rPr>
            <w:rStyle w:val="Hyperlink"/>
          </w:rPr>
          <w:t>Estimate of the avoided social cost of carbon and human health costs</w:t>
        </w:r>
        <w:r w:rsidR="00FC70B9">
          <w:rPr>
            <w:webHidden/>
          </w:rPr>
          <w:tab/>
        </w:r>
        <w:r w:rsidR="00FC70B9">
          <w:rPr>
            <w:webHidden/>
          </w:rPr>
          <w:fldChar w:fldCharType="begin"/>
        </w:r>
        <w:r w:rsidR="00FC70B9">
          <w:rPr>
            <w:webHidden/>
          </w:rPr>
          <w:instrText xml:space="preserve"> PAGEREF _Toc159844579 \h </w:instrText>
        </w:r>
        <w:r w:rsidR="00FC70B9">
          <w:rPr>
            <w:webHidden/>
          </w:rPr>
        </w:r>
        <w:r w:rsidR="00FC70B9">
          <w:rPr>
            <w:webHidden/>
          </w:rPr>
          <w:fldChar w:fldCharType="separate"/>
        </w:r>
        <w:r w:rsidR="00FC70B9">
          <w:rPr>
            <w:webHidden/>
          </w:rPr>
          <w:t>40</w:t>
        </w:r>
        <w:r w:rsidR="00FC70B9">
          <w:rPr>
            <w:webHidden/>
          </w:rPr>
          <w:fldChar w:fldCharType="end"/>
        </w:r>
      </w:hyperlink>
    </w:p>
    <w:p w14:paraId="3FF5E90B" w14:textId="036DD9D3" w:rsidR="00FC70B9" w:rsidRDefault="00000000">
      <w:pPr>
        <w:pStyle w:val="TOC5"/>
        <w:rPr>
          <w:rFonts w:eastAsiaTheme="minorEastAsia"/>
          <w:noProof/>
          <w:kern w:val="2"/>
          <w:lang w:eastAsia="en-AU"/>
          <w14:ligatures w14:val="standardContextual"/>
        </w:rPr>
      </w:pPr>
      <w:hyperlink w:anchor="_Toc159844580" w:history="1">
        <w:r w:rsidR="00FC70B9" w:rsidRPr="005D0794">
          <w:rPr>
            <w:rStyle w:val="Hyperlink"/>
            <w:noProof/>
          </w:rPr>
          <w:t>Human health costs</w:t>
        </w:r>
        <w:r w:rsidR="00FC70B9">
          <w:rPr>
            <w:noProof/>
            <w:webHidden/>
          </w:rPr>
          <w:tab/>
        </w:r>
        <w:r w:rsidR="00FC70B9">
          <w:rPr>
            <w:noProof/>
            <w:webHidden/>
          </w:rPr>
          <w:fldChar w:fldCharType="begin"/>
        </w:r>
        <w:r w:rsidR="00FC70B9">
          <w:rPr>
            <w:noProof/>
            <w:webHidden/>
          </w:rPr>
          <w:instrText xml:space="preserve"> PAGEREF _Toc159844580 \h </w:instrText>
        </w:r>
        <w:r w:rsidR="00FC70B9">
          <w:rPr>
            <w:noProof/>
            <w:webHidden/>
          </w:rPr>
        </w:r>
        <w:r w:rsidR="00FC70B9">
          <w:rPr>
            <w:noProof/>
            <w:webHidden/>
          </w:rPr>
          <w:fldChar w:fldCharType="separate"/>
        </w:r>
        <w:r w:rsidR="00FC70B9">
          <w:rPr>
            <w:noProof/>
            <w:webHidden/>
          </w:rPr>
          <w:t>41</w:t>
        </w:r>
        <w:r w:rsidR="00FC70B9">
          <w:rPr>
            <w:noProof/>
            <w:webHidden/>
          </w:rPr>
          <w:fldChar w:fldCharType="end"/>
        </w:r>
      </w:hyperlink>
    </w:p>
    <w:p w14:paraId="57FA1ECD" w14:textId="6DCB2195" w:rsidR="00FC70B9" w:rsidRDefault="00000000">
      <w:pPr>
        <w:pStyle w:val="TOC5"/>
        <w:rPr>
          <w:rFonts w:eastAsiaTheme="minorEastAsia"/>
          <w:noProof/>
          <w:kern w:val="2"/>
          <w:lang w:eastAsia="en-AU"/>
          <w14:ligatures w14:val="standardContextual"/>
        </w:rPr>
      </w:pPr>
      <w:hyperlink w:anchor="_Toc159844581" w:history="1">
        <w:r w:rsidR="00FC70B9" w:rsidRPr="005D0794">
          <w:rPr>
            <w:rStyle w:val="Hyperlink"/>
            <w:noProof/>
          </w:rPr>
          <w:t>Damages costs</w:t>
        </w:r>
        <w:r w:rsidR="00FC70B9">
          <w:rPr>
            <w:noProof/>
            <w:webHidden/>
          </w:rPr>
          <w:tab/>
        </w:r>
        <w:r w:rsidR="00FC70B9">
          <w:rPr>
            <w:noProof/>
            <w:webHidden/>
          </w:rPr>
          <w:fldChar w:fldCharType="begin"/>
        </w:r>
        <w:r w:rsidR="00FC70B9">
          <w:rPr>
            <w:noProof/>
            <w:webHidden/>
          </w:rPr>
          <w:instrText xml:space="preserve"> PAGEREF _Toc159844581 \h </w:instrText>
        </w:r>
        <w:r w:rsidR="00FC70B9">
          <w:rPr>
            <w:noProof/>
            <w:webHidden/>
          </w:rPr>
        </w:r>
        <w:r w:rsidR="00FC70B9">
          <w:rPr>
            <w:noProof/>
            <w:webHidden/>
          </w:rPr>
          <w:fldChar w:fldCharType="separate"/>
        </w:r>
        <w:r w:rsidR="00FC70B9">
          <w:rPr>
            <w:noProof/>
            <w:webHidden/>
          </w:rPr>
          <w:t>42</w:t>
        </w:r>
        <w:r w:rsidR="00FC70B9">
          <w:rPr>
            <w:noProof/>
            <w:webHidden/>
          </w:rPr>
          <w:fldChar w:fldCharType="end"/>
        </w:r>
      </w:hyperlink>
    </w:p>
    <w:p w14:paraId="317C91DD" w14:textId="67B59E6B" w:rsidR="00FC70B9" w:rsidRDefault="00000000">
      <w:pPr>
        <w:pStyle w:val="TOC5"/>
        <w:rPr>
          <w:rFonts w:eastAsiaTheme="minorEastAsia"/>
          <w:noProof/>
          <w:kern w:val="2"/>
          <w:lang w:eastAsia="en-AU"/>
          <w14:ligatures w14:val="standardContextual"/>
        </w:rPr>
      </w:pPr>
      <w:hyperlink w:anchor="_Toc159844582" w:history="1">
        <w:r w:rsidR="00FC70B9" w:rsidRPr="005D0794">
          <w:rPr>
            <w:rStyle w:val="Hyperlink"/>
            <w:noProof/>
          </w:rPr>
          <w:t>Abatement costs</w:t>
        </w:r>
        <w:r w:rsidR="00FC70B9">
          <w:rPr>
            <w:noProof/>
            <w:webHidden/>
          </w:rPr>
          <w:tab/>
        </w:r>
        <w:r w:rsidR="00FC70B9">
          <w:rPr>
            <w:noProof/>
            <w:webHidden/>
          </w:rPr>
          <w:fldChar w:fldCharType="begin"/>
        </w:r>
        <w:r w:rsidR="00FC70B9">
          <w:rPr>
            <w:noProof/>
            <w:webHidden/>
          </w:rPr>
          <w:instrText xml:space="preserve"> PAGEREF _Toc159844582 \h </w:instrText>
        </w:r>
        <w:r w:rsidR="00FC70B9">
          <w:rPr>
            <w:noProof/>
            <w:webHidden/>
          </w:rPr>
        </w:r>
        <w:r w:rsidR="00FC70B9">
          <w:rPr>
            <w:noProof/>
            <w:webHidden/>
          </w:rPr>
          <w:fldChar w:fldCharType="separate"/>
        </w:r>
        <w:r w:rsidR="00FC70B9">
          <w:rPr>
            <w:noProof/>
            <w:webHidden/>
          </w:rPr>
          <w:t>42</w:t>
        </w:r>
        <w:r w:rsidR="00FC70B9">
          <w:rPr>
            <w:noProof/>
            <w:webHidden/>
          </w:rPr>
          <w:fldChar w:fldCharType="end"/>
        </w:r>
      </w:hyperlink>
    </w:p>
    <w:p w14:paraId="12F49AA3" w14:textId="31F3A1A9" w:rsidR="00FC70B9" w:rsidRDefault="00000000">
      <w:pPr>
        <w:pStyle w:val="TOC6"/>
        <w:rPr>
          <w:rFonts w:eastAsiaTheme="minorEastAsia"/>
          <w:noProof/>
          <w:kern w:val="2"/>
          <w:lang w:eastAsia="en-AU"/>
          <w14:ligatures w14:val="standardContextual"/>
        </w:rPr>
      </w:pPr>
      <w:hyperlink w:anchor="_Toc159844583" w:history="1">
        <w:r w:rsidR="00FC70B9" w:rsidRPr="005D0794">
          <w:rPr>
            <w:rStyle w:val="Hyperlink"/>
            <w:noProof/>
          </w:rPr>
          <w:t>Solar panel installation subsidies</w:t>
        </w:r>
        <w:r w:rsidR="00FC70B9">
          <w:rPr>
            <w:noProof/>
            <w:webHidden/>
          </w:rPr>
          <w:tab/>
        </w:r>
        <w:r w:rsidR="00FC70B9">
          <w:rPr>
            <w:noProof/>
            <w:webHidden/>
          </w:rPr>
          <w:fldChar w:fldCharType="begin"/>
        </w:r>
        <w:r w:rsidR="00FC70B9">
          <w:rPr>
            <w:noProof/>
            <w:webHidden/>
          </w:rPr>
          <w:instrText xml:space="preserve"> PAGEREF _Toc159844583 \h </w:instrText>
        </w:r>
        <w:r w:rsidR="00FC70B9">
          <w:rPr>
            <w:noProof/>
            <w:webHidden/>
          </w:rPr>
        </w:r>
        <w:r w:rsidR="00FC70B9">
          <w:rPr>
            <w:noProof/>
            <w:webHidden/>
          </w:rPr>
          <w:fldChar w:fldCharType="separate"/>
        </w:r>
        <w:r w:rsidR="00FC70B9">
          <w:rPr>
            <w:noProof/>
            <w:webHidden/>
          </w:rPr>
          <w:t>43</w:t>
        </w:r>
        <w:r w:rsidR="00FC70B9">
          <w:rPr>
            <w:noProof/>
            <w:webHidden/>
          </w:rPr>
          <w:fldChar w:fldCharType="end"/>
        </w:r>
      </w:hyperlink>
    </w:p>
    <w:p w14:paraId="4822D249" w14:textId="4CDD2067" w:rsidR="00D3670C" w:rsidRDefault="00782E55" w:rsidP="00D3670C">
      <w:r>
        <w:rPr>
          <w:color w:val="236192" w:themeColor="accent1"/>
        </w:rPr>
        <w:fldChar w:fldCharType="end"/>
      </w:r>
    </w:p>
    <w:p w14:paraId="7AEA0F69" w14:textId="77777777" w:rsidR="003A30F3" w:rsidRDefault="003A30F3" w:rsidP="003A30F3"/>
    <w:p w14:paraId="005E27A2" w14:textId="77777777" w:rsidR="003A30F3" w:rsidRPr="003A30F3" w:rsidRDefault="003A30F3" w:rsidP="003A30F3">
      <w:pPr>
        <w:sectPr w:rsidR="003A30F3" w:rsidRPr="003A30F3" w:rsidSect="00000778">
          <w:footerReference w:type="default" r:id="rId17"/>
          <w:type w:val="continuous"/>
          <w:pgSz w:w="11906" w:h="16838" w:code="9"/>
          <w:pgMar w:top="1134" w:right="1134" w:bottom="1134" w:left="1134" w:header="709" w:footer="692" w:gutter="0"/>
          <w:pgNumType w:fmt="lowerRoman"/>
          <w:cols w:space="708"/>
          <w:docGrid w:linePitch="360"/>
        </w:sectPr>
      </w:pPr>
    </w:p>
    <w:p w14:paraId="37232853" w14:textId="77777777" w:rsidR="00710792" w:rsidRDefault="00710792" w:rsidP="006230FE">
      <w:pPr>
        <w:pStyle w:val="Heading1numbered"/>
      </w:pPr>
      <w:bookmarkStart w:id="11" w:name="_Toc159844530"/>
      <w:r>
        <w:lastRenderedPageBreak/>
        <w:t>Summary</w:t>
      </w:r>
      <w:bookmarkEnd w:id="11"/>
    </w:p>
    <w:p w14:paraId="47EE2E99" w14:textId="79071781" w:rsidR="00E7078C" w:rsidRPr="00277851" w:rsidRDefault="00E7078C" w:rsidP="00F93C42">
      <w:pPr>
        <w:pStyle w:val="Pull-outBullet1"/>
        <w:rPr>
          <w:noProof/>
          <w:lang w:val="en-GB" w:eastAsia="zh-CN"/>
        </w:rPr>
      </w:pPr>
      <w:r>
        <w:rPr>
          <w:noProof/>
          <w:lang w:val="en-GB" w:eastAsia="zh-CN"/>
        </w:rPr>
        <w:t>As Victoria</w:t>
      </w:r>
      <w:r w:rsidR="00D47B80">
        <w:rPr>
          <w:noProof/>
          <w:lang w:val="en-GB" w:eastAsia="zh-CN"/>
        </w:rPr>
        <w:t>’s electricity industry</w:t>
      </w:r>
      <w:r>
        <w:rPr>
          <w:noProof/>
          <w:lang w:val="en-GB" w:eastAsia="zh-CN"/>
        </w:rPr>
        <w:t xml:space="preserve"> moves along </w:t>
      </w:r>
      <w:r w:rsidR="003B4321">
        <w:rPr>
          <w:noProof/>
          <w:lang w:val="en-GB" w:eastAsia="zh-CN"/>
        </w:rPr>
        <w:t>a</w:t>
      </w:r>
      <w:r>
        <w:rPr>
          <w:noProof/>
          <w:lang w:val="en-GB" w:eastAsia="zh-CN"/>
        </w:rPr>
        <w:t xml:space="preserve"> path to reduce its </w:t>
      </w:r>
      <w:r w:rsidR="00D47B80">
        <w:rPr>
          <w:noProof/>
          <w:lang w:val="en-GB" w:eastAsia="zh-CN"/>
        </w:rPr>
        <w:t>carbon</w:t>
      </w:r>
      <w:r>
        <w:rPr>
          <w:noProof/>
          <w:lang w:val="en-GB" w:eastAsia="zh-CN"/>
        </w:rPr>
        <w:t xml:space="preserve"> emissions</w:t>
      </w:r>
      <w:r w:rsidR="00D47B80">
        <w:rPr>
          <w:noProof/>
          <w:lang w:val="en-GB" w:eastAsia="zh-CN"/>
        </w:rPr>
        <w:t>,</w:t>
      </w:r>
      <w:r w:rsidR="00B36954">
        <w:rPr>
          <w:noProof/>
          <w:lang w:val="en-GB" w:eastAsia="zh-CN"/>
        </w:rPr>
        <w:t xml:space="preserve"> </w:t>
      </w:r>
      <w:r w:rsidR="00BE63C5">
        <w:rPr>
          <w:noProof/>
          <w:lang w:val="en-GB" w:eastAsia="zh-CN"/>
        </w:rPr>
        <w:t xml:space="preserve">the share of </w:t>
      </w:r>
      <w:r w:rsidR="00B36954">
        <w:rPr>
          <w:noProof/>
          <w:lang w:val="en-GB" w:eastAsia="zh-CN"/>
        </w:rPr>
        <w:t>renewable energy</w:t>
      </w:r>
      <w:r w:rsidR="00BE63C5">
        <w:rPr>
          <w:noProof/>
          <w:lang w:val="en-GB" w:eastAsia="zh-CN"/>
        </w:rPr>
        <w:t xml:space="preserve"> generation</w:t>
      </w:r>
      <w:r w:rsidR="00842389">
        <w:rPr>
          <w:noProof/>
          <w:lang w:val="en-GB" w:eastAsia="zh-CN"/>
        </w:rPr>
        <w:t xml:space="preserve"> is increasing. </w:t>
      </w:r>
      <w:r w:rsidR="00E1514E">
        <w:rPr>
          <w:noProof/>
          <w:lang w:val="en-GB" w:eastAsia="zh-CN"/>
        </w:rPr>
        <w:t xml:space="preserve">This has </w:t>
      </w:r>
      <w:r w:rsidR="004426A2">
        <w:rPr>
          <w:noProof/>
          <w:lang w:val="en-GB" w:eastAsia="zh-CN"/>
        </w:rPr>
        <w:t>lowered</w:t>
      </w:r>
      <w:r w:rsidR="00C54299">
        <w:rPr>
          <w:noProof/>
          <w:lang w:val="en-GB" w:eastAsia="zh-CN"/>
        </w:rPr>
        <w:t xml:space="preserve"> the environmental impact of electricity </w:t>
      </w:r>
      <w:r w:rsidR="004426A2">
        <w:rPr>
          <w:noProof/>
          <w:lang w:val="en-GB" w:eastAsia="zh-CN"/>
        </w:rPr>
        <w:t xml:space="preserve">generation </w:t>
      </w:r>
      <w:r w:rsidR="00C54299">
        <w:rPr>
          <w:noProof/>
          <w:lang w:val="en-GB" w:eastAsia="zh-CN"/>
        </w:rPr>
        <w:t xml:space="preserve">and </w:t>
      </w:r>
      <w:r w:rsidR="0060100D">
        <w:rPr>
          <w:noProof/>
          <w:lang w:val="en-GB" w:eastAsia="zh-CN"/>
        </w:rPr>
        <w:t xml:space="preserve">reduced </w:t>
      </w:r>
      <w:r w:rsidR="00C54299">
        <w:rPr>
          <w:noProof/>
          <w:lang w:val="en-GB" w:eastAsia="zh-CN"/>
        </w:rPr>
        <w:t>wholesale electricity spot prices</w:t>
      </w:r>
      <w:r w:rsidR="004B0EAF">
        <w:rPr>
          <w:noProof/>
          <w:lang w:val="en-GB" w:eastAsia="zh-CN"/>
        </w:rPr>
        <w:t>,</w:t>
      </w:r>
      <w:r w:rsidR="00C54299">
        <w:rPr>
          <w:noProof/>
          <w:lang w:val="en-GB" w:eastAsia="zh-CN"/>
        </w:rPr>
        <w:t xml:space="preserve"> espec</w:t>
      </w:r>
      <w:r w:rsidR="007F3FED">
        <w:rPr>
          <w:noProof/>
          <w:lang w:val="en-GB" w:eastAsia="zh-CN"/>
        </w:rPr>
        <w:t>i</w:t>
      </w:r>
      <w:r w:rsidR="00C54299">
        <w:rPr>
          <w:noProof/>
          <w:lang w:val="en-GB" w:eastAsia="zh-CN"/>
        </w:rPr>
        <w:t>ally during day</w:t>
      </w:r>
      <w:r w:rsidR="00277851">
        <w:rPr>
          <w:noProof/>
          <w:lang w:val="en-GB" w:eastAsia="zh-CN"/>
        </w:rPr>
        <w:t>light hours</w:t>
      </w:r>
      <w:r w:rsidR="009D19FD">
        <w:rPr>
          <w:noProof/>
          <w:lang w:val="en-GB" w:eastAsia="zh-CN"/>
        </w:rPr>
        <w:t>.</w:t>
      </w:r>
    </w:p>
    <w:p w14:paraId="30B3A5BA" w14:textId="6DBC38F3" w:rsidR="00F93C42" w:rsidRPr="00DA1BF5" w:rsidRDefault="009D19FD" w:rsidP="00F93C42">
      <w:pPr>
        <w:pStyle w:val="Pull-outBullet1"/>
        <w:rPr>
          <w:noProof/>
          <w:lang w:val="en-GB" w:eastAsia="zh-CN"/>
        </w:rPr>
      </w:pPr>
      <w:r>
        <w:t xml:space="preserve">For this reason, </w:t>
      </w:r>
      <w:r w:rsidRPr="00DA1BF5">
        <w:t xml:space="preserve">solar weighted wholesale electricity prices are forecast to </w:t>
      </w:r>
      <w:r>
        <w:t xml:space="preserve">be </w:t>
      </w:r>
      <w:r w:rsidRPr="00DA1BF5">
        <w:t>lower in 2024–25</w:t>
      </w:r>
      <w:r>
        <w:t xml:space="preserve"> than they were for 2023–24. This means t</w:t>
      </w:r>
      <w:r w:rsidR="00F93C42" w:rsidRPr="00DA1BF5">
        <w:t>he minimum feed-in tariffs</w:t>
      </w:r>
      <w:r w:rsidR="00F93C42">
        <w:t xml:space="preserve"> for 2024–25</w:t>
      </w:r>
      <w:r w:rsidR="00F93C42" w:rsidRPr="00DA1BF5">
        <w:t xml:space="preserve"> </w:t>
      </w:r>
      <w:r w:rsidR="00F93C42">
        <w:t>will be</w:t>
      </w:r>
      <w:r w:rsidR="00F93C42" w:rsidRPr="00DA1BF5">
        <w:t xml:space="preserve"> lower</w:t>
      </w:r>
      <w:r w:rsidR="00F93C42">
        <w:t xml:space="preserve"> than those for</w:t>
      </w:r>
      <w:r w:rsidR="00F93C42" w:rsidRPr="00DA1BF5">
        <w:t xml:space="preserve"> </w:t>
      </w:r>
      <w:r w:rsidR="00F93C42">
        <w:t>2023–24.</w:t>
      </w:r>
      <w:r w:rsidR="00F93C42" w:rsidDel="00F84A9F">
        <w:t xml:space="preserve"> </w:t>
      </w:r>
    </w:p>
    <w:p w14:paraId="5ACED404" w14:textId="30D1EF23" w:rsidR="00A06CAF" w:rsidRPr="00AC30AA" w:rsidRDefault="00036BB4" w:rsidP="00B2787A">
      <w:pPr>
        <w:pStyle w:val="Pull-outBullet1"/>
      </w:pPr>
      <w:r w:rsidRPr="00AC30AA">
        <w:t xml:space="preserve">The minimum </w:t>
      </w:r>
      <w:r w:rsidR="00824DFA" w:rsidRPr="00AC30AA">
        <w:t>flat</w:t>
      </w:r>
      <w:r w:rsidR="007248F5" w:rsidRPr="00AC30AA">
        <w:t xml:space="preserve"> feed</w:t>
      </w:r>
      <w:r w:rsidR="00824DFA" w:rsidRPr="00AC30AA">
        <w:t xml:space="preserve">-in tariff will </w:t>
      </w:r>
      <w:r w:rsidR="00DF51E9" w:rsidRPr="00AC30AA">
        <w:t xml:space="preserve">be </w:t>
      </w:r>
      <w:r w:rsidR="001E5357" w:rsidRPr="00AC30AA">
        <w:t>3</w:t>
      </w:r>
      <w:r w:rsidR="00824DFA" w:rsidRPr="00AC30AA">
        <w:t>.</w:t>
      </w:r>
      <w:r w:rsidR="001E5357" w:rsidRPr="00AC30AA">
        <w:t>3</w:t>
      </w:r>
      <w:r w:rsidR="00824DFA" w:rsidRPr="00AC30AA">
        <w:t xml:space="preserve"> cents per kWh starting 1 July 2024.</w:t>
      </w:r>
    </w:p>
    <w:p w14:paraId="7681AB24" w14:textId="37E3AAD9" w:rsidR="004122E4" w:rsidRPr="00DA1BF5" w:rsidRDefault="00F10CE9">
      <w:pPr>
        <w:pStyle w:val="Pull-outBullet1"/>
      </w:pPr>
      <w:r w:rsidRPr="00AC30AA">
        <w:t xml:space="preserve">The </w:t>
      </w:r>
      <w:r w:rsidR="00D66B95" w:rsidRPr="00AC30AA">
        <w:t>time</w:t>
      </w:r>
      <w:r w:rsidR="00750525">
        <w:t>-</w:t>
      </w:r>
      <w:r w:rsidR="00D66B95" w:rsidRPr="00AC30AA">
        <w:t>varying feed-in tariff</w:t>
      </w:r>
      <w:r w:rsidR="004122E4" w:rsidRPr="00AC30AA">
        <w:t xml:space="preserve">s will range </w:t>
      </w:r>
      <w:r w:rsidR="0042161E" w:rsidRPr="00DA1BF5">
        <w:t xml:space="preserve">from </w:t>
      </w:r>
      <w:r w:rsidR="00450E79" w:rsidRPr="00DA1BF5">
        <w:t>2</w:t>
      </w:r>
      <w:r w:rsidR="0042161E" w:rsidRPr="00DA1BF5">
        <w:t>.</w:t>
      </w:r>
      <w:r w:rsidR="00450E79" w:rsidRPr="00DA1BF5">
        <w:t>1</w:t>
      </w:r>
      <w:r w:rsidR="0042161E" w:rsidRPr="00DA1BF5">
        <w:t xml:space="preserve"> to </w:t>
      </w:r>
      <w:r w:rsidR="00450E79" w:rsidRPr="00DA1BF5">
        <w:t>8</w:t>
      </w:r>
      <w:r w:rsidR="0042161E" w:rsidRPr="00DA1BF5">
        <w:t>.</w:t>
      </w:r>
      <w:r w:rsidR="00450E79" w:rsidRPr="00DA1BF5">
        <w:t>4</w:t>
      </w:r>
      <w:r w:rsidR="0042161E" w:rsidRPr="00DA1BF5">
        <w:t xml:space="preserve"> cents per </w:t>
      </w:r>
      <w:r w:rsidR="00780B5D" w:rsidRPr="00DA1BF5">
        <w:t>kWh</w:t>
      </w:r>
      <w:r w:rsidR="00AC30AA" w:rsidRPr="00DA1BF5">
        <w:t>.</w:t>
      </w:r>
    </w:p>
    <w:p w14:paraId="15B3312C" w14:textId="41CC5E00" w:rsidR="00B02C75" w:rsidRDefault="00B02C75" w:rsidP="00B02C75">
      <w:pPr>
        <w:pStyle w:val="Pull-outBullet1"/>
        <w:rPr>
          <w:noProof/>
          <w:lang w:val="en-GB" w:eastAsia="zh-CN"/>
        </w:rPr>
      </w:pPr>
      <w:r>
        <w:t xml:space="preserve">Retailers can offer the flat feed-in tariff and/or time-varying feed-in tariffs. </w:t>
      </w:r>
      <w:r w:rsidR="003D1B44">
        <w:t xml:space="preserve">These </w:t>
      </w:r>
      <w:r w:rsidR="00206264">
        <w:t>minimums are</w:t>
      </w:r>
      <w:r w:rsidR="003D1B44">
        <w:t xml:space="preserve"> floor</w:t>
      </w:r>
      <w:r w:rsidR="00B108FE">
        <w:t xml:space="preserve"> price</w:t>
      </w:r>
      <w:r w:rsidR="00206264">
        <w:t>s</w:t>
      </w:r>
      <w:r w:rsidR="00256A7D">
        <w:t>.</w:t>
      </w:r>
      <w:r w:rsidR="003D1B44">
        <w:t xml:space="preserve"> </w:t>
      </w:r>
      <w:r w:rsidR="00256A7D">
        <w:t>R</w:t>
      </w:r>
      <w:r w:rsidR="00B108FE">
        <w:t>etailers</w:t>
      </w:r>
      <w:r w:rsidR="00982666">
        <w:t xml:space="preserve"> </w:t>
      </w:r>
      <w:r w:rsidR="00B108FE">
        <w:t xml:space="preserve">can </w:t>
      </w:r>
      <w:r w:rsidR="00256A7D">
        <w:t xml:space="preserve">offer more </w:t>
      </w:r>
      <w:r w:rsidR="008D1E99">
        <w:t xml:space="preserve">but </w:t>
      </w:r>
      <w:r w:rsidR="00EB51AD">
        <w:t>not</w:t>
      </w:r>
      <w:r w:rsidR="00256A7D">
        <w:t xml:space="preserve"> less</w:t>
      </w:r>
      <w:r>
        <w:t>.</w:t>
      </w:r>
      <w:r w:rsidRPr="002C2ADF">
        <w:rPr>
          <w:noProof/>
          <w:lang w:val="en-GB" w:eastAsia="zh-CN"/>
        </w:rPr>
        <w:t xml:space="preserve"> </w:t>
      </w:r>
    </w:p>
    <w:p w14:paraId="3B9BF5F2" w14:textId="37563FDD" w:rsidR="00D72A42" w:rsidRDefault="003C178D" w:rsidP="00B02C75">
      <w:pPr>
        <w:pStyle w:val="Pull-outBullet1"/>
        <w:rPr>
          <w:noProof/>
          <w:lang w:val="en-GB" w:eastAsia="zh-CN"/>
        </w:rPr>
      </w:pPr>
      <w:r>
        <w:rPr>
          <w:noProof/>
          <w:lang w:val="en-GB" w:eastAsia="zh-CN"/>
        </w:rPr>
        <w:t xml:space="preserve">The </w:t>
      </w:r>
      <w:r w:rsidR="009C31C0">
        <w:rPr>
          <w:noProof/>
          <w:lang w:val="en-GB" w:eastAsia="zh-CN"/>
        </w:rPr>
        <w:t xml:space="preserve">commission </w:t>
      </w:r>
      <w:r w:rsidR="00F46C50">
        <w:rPr>
          <w:noProof/>
          <w:lang w:val="en-GB" w:eastAsia="zh-CN"/>
        </w:rPr>
        <w:t xml:space="preserve">considered </w:t>
      </w:r>
      <w:r w:rsidR="00C22616">
        <w:rPr>
          <w:noProof/>
          <w:lang w:val="en-GB" w:eastAsia="zh-CN"/>
        </w:rPr>
        <w:t xml:space="preserve">all </w:t>
      </w:r>
      <w:r>
        <w:rPr>
          <w:noProof/>
          <w:lang w:val="en-GB" w:eastAsia="zh-CN"/>
        </w:rPr>
        <w:t xml:space="preserve">stakeholder </w:t>
      </w:r>
      <w:r w:rsidR="00F46C50">
        <w:rPr>
          <w:noProof/>
          <w:lang w:val="en-GB" w:eastAsia="zh-CN"/>
        </w:rPr>
        <w:t xml:space="preserve">submissions </w:t>
      </w:r>
      <w:r w:rsidR="00FF25CF">
        <w:rPr>
          <w:noProof/>
          <w:lang w:val="en-GB" w:eastAsia="zh-CN"/>
        </w:rPr>
        <w:t xml:space="preserve">in making </w:t>
      </w:r>
      <w:r w:rsidR="004B0EAF">
        <w:rPr>
          <w:noProof/>
          <w:lang w:val="en-GB" w:eastAsia="zh-CN"/>
        </w:rPr>
        <w:t xml:space="preserve">this </w:t>
      </w:r>
      <w:r w:rsidR="003D69A1">
        <w:rPr>
          <w:noProof/>
          <w:lang w:val="en-GB" w:eastAsia="zh-CN"/>
        </w:rPr>
        <w:t>final decision</w:t>
      </w:r>
      <w:r w:rsidR="004B0EAF">
        <w:rPr>
          <w:noProof/>
          <w:lang w:val="en-GB" w:eastAsia="zh-CN"/>
        </w:rPr>
        <w:t xml:space="preserve">. </w:t>
      </w:r>
      <w:r w:rsidR="00BB7D13">
        <w:rPr>
          <w:noProof/>
          <w:lang w:val="en-GB" w:eastAsia="zh-CN"/>
        </w:rPr>
        <w:t xml:space="preserve">In general, solar </w:t>
      </w:r>
      <w:r w:rsidR="006041D8">
        <w:rPr>
          <w:noProof/>
          <w:lang w:val="en-GB" w:eastAsia="zh-CN"/>
        </w:rPr>
        <w:t xml:space="preserve">customers </w:t>
      </w:r>
      <w:r w:rsidR="00F46C50">
        <w:rPr>
          <w:noProof/>
          <w:lang w:val="en-GB" w:eastAsia="zh-CN"/>
        </w:rPr>
        <w:t xml:space="preserve">were strongly </w:t>
      </w:r>
      <w:r w:rsidR="00591597">
        <w:rPr>
          <w:noProof/>
          <w:lang w:val="en-GB" w:eastAsia="zh-CN"/>
        </w:rPr>
        <w:t>against</w:t>
      </w:r>
      <w:r w:rsidR="006041D8">
        <w:rPr>
          <w:noProof/>
          <w:lang w:val="en-GB" w:eastAsia="zh-CN"/>
        </w:rPr>
        <w:t xml:space="preserve"> our decision</w:t>
      </w:r>
      <w:r w:rsidR="00F46C50">
        <w:rPr>
          <w:noProof/>
          <w:lang w:val="en-GB" w:eastAsia="zh-CN"/>
        </w:rPr>
        <w:t xml:space="preserve">. </w:t>
      </w:r>
      <w:r w:rsidR="001C3508">
        <w:rPr>
          <w:noProof/>
          <w:lang w:val="en-GB" w:eastAsia="zh-CN"/>
        </w:rPr>
        <w:t xml:space="preserve">However, </w:t>
      </w:r>
      <w:r w:rsidR="00096025">
        <w:rPr>
          <w:noProof/>
          <w:lang w:val="en-GB" w:eastAsia="zh-CN"/>
        </w:rPr>
        <w:t>legislation</w:t>
      </w:r>
      <w:r w:rsidR="004B0EAF">
        <w:rPr>
          <w:noProof/>
          <w:lang w:val="en-GB" w:eastAsia="zh-CN"/>
        </w:rPr>
        <w:t xml:space="preserve"> dictates </w:t>
      </w:r>
      <w:r w:rsidR="00CD6C49">
        <w:rPr>
          <w:noProof/>
          <w:lang w:val="en-GB" w:eastAsia="zh-CN"/>
        </w:rPr>
        <w:t>we</w:t>
      </w:r>
      <w:r w:rsidR="00F6689F">
        <w:rPr>
          <w:noProof/>
          <w:lang w:val="en-GB" w:eastAsia="zh-CN"/>
        </w:rPr>
        <w:t xml:space="preserve"> </w:t>
      </w:r>
      <w:r w:rsidR="00680FA2">
        <w:rPr>
          <w:noProof/>
          <w:lang w:val="en-GB" w:eastAsia="zh-CN"/>
        </w:rPr>
        <w:t>must</w:t>
      </w:r>
      <w:r w:rsidR="00F6689F">
        <w:rPr>
          <w:noProof/>
          <w:lang w:val="en-GB" w:eastAsia="zh-CN"/>
        </w:rPr>
        <w:t xml:space="preserve"> </w:t>
      </w:r>
      <w:r w:rsidR="00F465F3">
        <w:rPr>
          <w:noProof/>
          <w:lang w:val="en-GB" w:eastAsia="zh-CN"/>
        </w:rPr>
        <w:t>base the feed-in</w:t>
      </w:r>
      <w:r w:rsidR="005D2576">
        <w:rPr>
          <w:noProof/>
          <w:lang w:val="en-GB" w:eastAsia="zh-CN"/>
        </w:rPr>
        <w:t xml:space="preserve"> </w:t>
      </w:r>
      <w:r w:rsidR="00F465F3">
        <w:rPr>
          <w:noProof/>
          <w:lang w:val="en-GB" w:eastAsia="zh-CN"/>
        </w:rPr>
        <w:t xml:space="preserve">tariffs on the value of solar exports. </w:t>
      </w:r>
      <w:r w:rsidR="00563D14">
        <w:rPr>
          <w:noProof/>
          <w:lang w:val="en-GB" w:eastAsia="zh-CN"/>
        </w:rPr>
        <w:t>S</w:t>
      </w:r>
      <w:r w:rsidR="007D2434">
        <w:rPr>
          <w:noProof/>
          <w:lang w:val="en-GB" w:eastAsia="zh-CN"/>
        </w:rPr>
        <w:t>ubmissions from</w:t>
      </w:r>
      <w:r w:rsidR="00C80141">
        <w:rPr>
          <w:noProof/>
          <w:lang w:val="en-GB" w:eastAsia="zh-CN"/>
        </w:rPr>
        <w:t xml:space="preserve"> s</w:t>
      </w:r>
      <w:r w:rsidR="00563D14">
        <w:rPr>
          <w:noProof/>
          <w:lang w:val="en-GB" w:eastAsia="zh-CN"/>
        </w:rPr>
        <w:t xml:space="preserve">olar customers did not </w:t>
      </w:r>
      <w:r w:rsidR="00C80141">
        <w:rPr>
          <w:noProof/>
          <w:lang w:val="en-GB" w:eastAsia="zh-CN"/>
        </w:rPr>
        <w:t xml:space="preserve">include </w:t>
      </w:r>
      <w:r w:rsidR="00563D14">
        <w:rPr>
          <w:noProof/>
          <w:lang w:val="en-GB" w:eastAsia="zh-CN"/>
        </w:rPr>
        <w:t>alternative methodolog</w:t>
      </w:r>
      <w:r w:rsidR="00BE5619">
        <w:rPr>
          <w:noProof/>
          <w:lang w:val="en-GB" w:eastAsia="zh-CN"/>
        </w:rPr>
        <w:t xml:space="preserve">ies </w:t>
      </w:r>
      <w:r w:rsidR="00563D14">
        <w:rPr>
          <w:noProof/>
          <w:lang w:val="en-GB" w:eastAsia="zh-CN"/>
        </w:rPr>
        <w:t>or facts</w:t>
      </w:r>
      <w:r w:rsidR="00D936C9">
        <w:rPr>
          <w:noProof/>
          <w:lang w:val="en-GB" w:eastAsia="zh-CN"/>
        </w:rPr>
        <w:t xml:space="preserve"> </w:t>
      </w:r>
      <w:r w:rsidR="00F73025">
        <w:rPr>
          <w:noProof/>
          <w:lang w:val="en-GB" w:eastAsia="zh-CN"/>
        </w:rPr>
        <w:t xml:space="preserve">that </w:t>
      </w:r>
      <w:r w:rsidR="00D936C9">
        <w:rPr>
          <w:noProof/>
          <w:lang w:val="en-GB" w:eastAsia="zh-CN"/>
        </w:rPr>
        <w:t xml:space="preserve">showed </w:t>
      </w:r>
      <w:r w:rsidR="00534E12">
        <w:rPr>
          <w:noProof/>
          <w:lang w:val="en-GB" w:eastAsia="zh-CN"/>
        </w:rPr>
        <w:t>the value of solar exports to be higher</w:t>
      </w:r>
      <w:r w:rsidR="00E61B7C">
        <w:rPr>
          <w:noProof/>
          <w:lang w:val="en-GB" w:eastAsia="zh-CN"/>
        </w:rPr>
        <w:t xml:space="preserve"> than </w:t>
      </w:r>
      <w:r w:rsidR="007025D0">
        <w:rPr>
          <w:noProof/>
          <w:lang w:val="en-GB" w:eastAsia="zh-CN"/>
        </w:rPr>
        <w:t>th</w:t>
      </w:r>
      <w:r w:rsidR="00952CFD">
        <w:rPr>
          <w:noProof/>
          <w:lang w:val="en-GB" w:eastAsia="zh-CN"/>
        </w:rPr>
        <w:t xml:space="preserve">e </w:t>
      </w:r>
      <w:r w:rsidR="007025D0">
        <w:rPr>
          <w:noProof/>
          <w:lang w:val="en-GB" w:eastAsia="zh-CN"/>
        </w:rPr>
        <w:t xml:space="preserve">proposed </w:t>
      </w:r>
      <w:r w:rsidR="00C7398F">
        <w:rPr>
          <w:noProof/>
          <w:lang w:val="en-GB" w:eastAsia="zh-CN"/>
        </w:rPr>
        <w:t xml:space="preserve">draft </w:t>
      </w:r>
      <w:r w:rsidR="007025D0">
        <w:rPr>
          <w:noProof/>
          <w:lang w:val="en-GB" w:eastAsia="zh-CN"/>
        </w:rPr>
        <w:t>decision</w:t>
      </w:r>
      <w:r w:rsidR="00534E12">
        <w:rPr>
          <w:noProof/>
          <w:lang w:val="en-GB" w:eastAsia="zh-CN"/>
        </w:rPr>
        <w:t>.</w:t>
      </w:r>
    </w:p>
    <w:p w14:paraId="4355BE82" w14:textId="27F2D2B6" w:rsidR="00534E12" w:rsidRPr="008B1717" w:rsidRDefault="00F644C8" w:rsidP="002910C8">
      <w:pPr>
        <w:pStyle w:val="Pull-outBullet1"/>
      </w:pPr>
      <w:r>
        <w:t>Many Victorians continue to install r</w:t>
      </w:r>
      <w:r w:rsidR="006925CC" w:rsidRPr="008B1717">
        <w:t>oof-top solar</w:t>
      </w:r>
      <w:r w:rsidR="00E808A9">
        <w:t xml:space="preserve"> even though </w:t>
      </w:r>
      <w:r w:rsidR="009827BC">
        <w:t xml:space="preserve">the value </w:t>
      </w:r>
      <w:r w:rsidR="00D1656A">
        <w:t xml:space="preserve">of solar exports </w:t>
      </w:r>
      <w:r w:rsidR="00685D9E">
        <w:t>is decreasing.</w:t>
      </w:r>
      <w:r w:rsidR="001018F5">
        <w:t xml:space="preserve"> </w:t>
      </w:r>
      <w:r w:rsidR="00685D9E">
        <w:t>S</w:t>
      </w:r>
      <w:r w:rsidR="0054553F" w:rsidRPr="008B1717">
        <w:t xml:space="preserve">ignificant savings </w:t>
      </w:r>
      <w:r w:rsidR="001018F5">
        <w:t xml:space="preserve">can be made by using the </w:t>
      </w:r>
      <w:r w:rsidR="00F90667">
        <w:t xml:space="preserve">energy </w:t>
      </w:r>
      <w:r w:rsidR="00326201" w:rsidRPr="008B1717">
        <w:t>generate</w:t>
      </w:r>
      <w:r w:rsidR="00AE22EA">
        <w:t xml:space="preserve">d </w:t>
      </w:r>
      <w:r w:rsidR="00BE31D5">
        <w:t xml:space="preserve">by the solar </w:t>
      </w:r>
      <w:r w:rsidR="00DB1E49">
        <w:t xml:space="preserve">panels, rather than </w:t>
      </w:r>
      <w:r w:rsidR="0021448C" w:rsidRPr="008B1717">
        <w:t>import</w:t>
      </w:r>
      <w:r w:rsidR="004470E0" w:rsidRPr="008B1717">
        <w:t>ing</w:t>
      </w:r>
      <w:r w:rsidR="0021448C" w:rsidRPr="008B1717">
        <w:t xml:space="preserve"> power from the grid</w:t>
      </w:r>
      <w:r w:rsidR="004470E0" w:rsidRPr="008B1717">
        <w:t xml:space="preserve"> at retail rates</w:t>
      </w:r>
      <w:r w:rsidR="000D1DCD" w:rsidRPr="008B1717">
        <w:t>.</w:t>
      </w:r>
      <w:r w:rsidR="001B5699" w:rsidRPr="008B1717">
        <w:t xml:space="preserve"> Shifting </w:t>
      </w:r>
      <w:r w:rsidR="007A164B" w:rsidRPr="008B1717">
        <w:t xml:space="preserve">electricity </w:t>
      </w:r>
      <w:r w:rsidR="001B5699" w:rsidRPr="008B1717">
        <w:t xml:space="preserve">usage to daylight hours </w:t>
      </w:r>
      <w:r w:rsidR="00A10D54">
        <w:t xml:space="preserve">– </w:t>
      </w:r>
      <w:r w:rsidR="00A10D54" w:rsidRPr="008B1717">
        <w:t>when solar is producing</w:t>
      </w:r>
      <w:r w:rsidR="00A10D54">
        <w:t xml:space="preserve"> –</w:t>
      </w:r>
      <w:r w:rsidR="00A10D54" w:rsidRPr="008B1717">
        <w:t xml:space="preserve"> </w:t>
      </w:r>
      <w:r w:rsidR="001B5699" w:rsidRPr="008B1717">
        <w:t>is the best</w:t>
      </w:r>
      <w:r w:rsidR="007A164B" w:rsidRPr="008B1717">
        <w:t xml:space="preserve"> way to maximise the </w:t>
      </w:r>
      <w:r w:rsidR="00296BFE" w:rsidRPr="008B1717">
        <w:t>financial</w:t>
      </w:r>
      <w:r w:rsidR="007A164B" w:rsidRPr="008B1717">
        <w:t xml:space="preserve"> return </w:t>
      </w:r>
      <w:r w:rsidR="00AB7BD4">
        <w:t xml:space="preserve">on a </w:t>
      </w:r>
      <w:r w:rsidR="0091586C" w:rsidRPr="008B1717">
        <w:t>solar</w:t>
      </w:r>
      <w:r w:rsidR="00AB7BD4">
        <w:t xml:space="preserve"> system</w:t>
      </w:r>
      <w:r w:rsidR="0091586C" w:rsidRPr="008B1717">
        <w:t>.</w:t>
      </w:r>
    </w:p>
    <w:p w14:paraId="2ADFCCD2" w14:textId="58C1E66A" w:rsidR="00173EF9" w:rsidRDefault="00173EF9" w:rsidP="00173EF9">
      <w:pPr>
        <w:pStyle w:val="Heading2numbered"/>
      </w:pPr>
      <w:bookmarkStart w:id="12" w:name="_Toc159844531"/>
      <w:r>
        <w:t xml:space="preserve">The feed-in tariff is paid to customers for </w:t>
      </w:r>
      <w:r w:rsidR="008542F9">
        <w:t xml:space="preserve">exported </w:t>
      </w:r>
      <w:proofErr w:type="gramStart"/>
      <w:r>
        <w:t>energy</w:t>
      </w:r>
      <w:bookmarkEnd w:id="12"/>
      <w:proofErr w:type="gramEnd"/>
      <w:r>
        <w:t xml:space="preserve"> </w:t>
      </w:r>
    </w:p>
    <w:p w14:paraId="6A7B71B6" w14:textId="2B7ED091" w:rsidR="00556958" w:rsidRDefault="00173EF9" w:rsidP="00173EF9">
      <w:pPr>
        <w:tabs>
          <w:tab w:val="left" w:pos="1260"/>
        </w:tabs>
      </w:pPr>
      <w:r>
        <w:t xml:space="preserve">Retailers with a minimum of 5000 customers must pay eligible customers at least the minimum feed-in tariff when those customers export energy into the grid. </w:t>
      </w:r>
    </w:p>
    <w:p w14:paraId="69B103DE" w14:textId="671D80BE" w:rsidR="00360CD8" w:rsidRDefault="00173EF9" w:rsidP="00173EF9">
      <w:pPr>
        <w:tabs>
          <w:tab w:val="left" w:pos="1260"/>
        </w:tabs>
      </w:pPr>
      <w:r>
        <w:t xml:space="preserve">Eligible customers are those who have a generation facility with total output at the connection point of less than 30 megawatts.   </w:t>
      </w:r>
    </w:p>
    <w:p w14:paraId="3EF695BD" w14:textId="4D3775EA" w:rsidR="00360CD8" w:rsidRPr="00350C3E" w:rsidRDefault="007D57D1" w:rsidP="00D1055E">
      <w:pPr>
        <w:pStyle w:val="Heading3numbered"/>
      </w:pPr>
      <w:bookmarkStart w:id="13" w:name="_Toc159844532"/>
      <w:r w:rsidRPr="00350C3E">
        <w:lastRenderedPageBreak/>
        <w:t xml:space="preserve">Solar </w:t>
      </w:r>
      <w:r w:rsidR="00926620" w:rsidRPr="00350C3E">
        <w:t>customers</w:t>
      </w:r>
      <w:bookmarkEnd w:id="13"/>
    </w:p>
    <w:p w14:paraId="21DC4581" w14:textId="5B2FD172" w:rsidR="00173EF9" w:rsidRDefault="00173EF9" w:rsidP="00173EF9">
      <w:pPr>
        <w:tabs>
          <w:tab w:val="left" w:pos="1260"/>
        </w:tabs>
      </w:pPr>
      <w:r>
        <w:t xml:space="preserve">For simplicity, this decision refers to </w:t>
      </w:r>
      <w:r w:rsidR="00350C3E">
        <w:t>‘</w:t>
      </w:r>
      <w:r>
        <w:t>eligible customers</w:t>
      </w:r>
      <w:r w:rsidR="00350C3E">
        <w:t>’</w:t>
      </w:r>
      <w:r>
        <w:t xml:space="preserve"> as </w:t>
      </w:r>
      <w:r w:rsidR="00D1055E">
        <w:t>‘</w:t>
      </w:r>
      <w:r>
        <w:t xml:space="preserve">solar </w:t>
      </w:r>
      <w:proofErr w:type="gramStart"/>
      <w:r>
        <w:t>customers</w:t>
      </w:r>
      <w:r w:rsidR="00D1055E">
        <w:t>’</w:t>
      </w:r>
      <w:proofErr w:type="gramEnd"/>
      <w:r>
        <w:t>. Roof-top solar accounts for 99.9 per cent of small-scale renewable energy generation in Victoria.</w:t>
      </w:r>
      <w:r w:rsidR="005B1E44">
        <w:rPr>
          <w:rStyle w:val="FootnoteReference"/>
        </w:rPr>
        <w:footnoteReference w:id="2"/>
      </w:r>
      <w:r>
        <w:t xml:space="preserve"> </w:t>
      </w:r>
    </w:p>
    <w:p w14:paraId="1A6328DA" w14:textId="688C54C4" w:rsidR="00173EF9" w:rsidRDefault="00173EF9" w:rsidP="00173EF9">
      <w:pPr>
        <w:tabs>
          <w:tab w:val="left" w:pos="1260"/>
        </w:tabs>
      </w:pPr>
      <w:r>
        <w:t>Th</w:t>
      </w:r>
      <w:r w:rsidR="00F3098A">
        <w:t>ere are</w:t>
      </w:r>
      <w:r>
        <w:t xml:space="preserve"> flat and time-varying feed-in tariffs: </w:t>
      </w:r>
    </w:p>
    <w:p w14:paraId="6922F581" w14:textId="568DA935" w:rsidR="00173EF9" w:rsidRDefault="006E6721" w:rsidP="00AD6D43">
      <w:pPr>
        <w:pStyle w:val="ListBullet"/>
      </w:pPr>
      <w:r>
        <w:t xml:space="preserve">Customers on the </w:t>
      </w:r>
      <w:r w:rsidR="00173EF9" w:rsidRPr="009D58CB">
        <w:rPr>
          <w:b/>
          <w:bCs/>
        </w:rPr>
        <w:t>flat feed-in tariff</w:t>
      </w:r>
      <w:r w:rsidR="00173EF9">
        <w:t xml:space="preserve"> are paid the same rate per kWh for their exports regardless of when they export </w:t>
      </w:r>
      <w:proofErr w:type="gramStart"/>
      <w:r w:rsidR="00173EF9">
        <w:t>energy</w:t>
      </w:r>
      <w:proofErr w:type="gramEnd"/>
    </w:p>
    <w:p w14:paraId="25197A7A" w14:textId="1399E9F1" w:rsidR="00B503C2" w:rsidRDefault="006E6721" w:rsidP="00AD6D43">
      <w:pPr>
        <w:pStyle w:val="ListBullet"/>
      </w:pPr>
      <w:r>
        <w:t xml:space="preserve">Customers on </w:t>
      </w:r>
      <w:r w:rsidR="00173EF9" w:rsidRPr="00B916BE">
        <w:rPr>
          <w:b/>
          <w:bCs/>
        </w:rPr>
        <w:t>time varying feed-in tariffs</w:t>
      </w:r>
      <w:r w:rsidR="00FE72C5">
        <w:t xml:space="preserve"> </w:t>
      </w:r>
      <w:r w:rsidR="00173EF9">
        <w:t>receive a different per kWh rate depending on the time of day.</w:t>
      </w:r>
    </w:p>
    <w:p w14:paraId="5B0B5D0A" w14:textId="6A388553" w:rsidR="00255291" w:rsidRDefault="00255291" w:rsidP="00255291">
      <w:pPr>
        <w:pStyle w:val="Heading2"/>
      </w:pPr>
      <w:bookmarkStart w:id="14" w:name="_Toc150501701"/>
      <w:bookmarkStart w:id="15" w:name="_Toc159844533"/>
      <w:r>
        <w:t xml:space="preserve">We </w:t>
      </w:r>
      <w:r w:rsidR="00555C62">
        <w:t xml:space="preserve">must </w:t>
      </w:r>
      <w:bookmarkEnd w:id="14"/>
      <w:r w:rsidR="003C2E96">
        <w:t>set</w:t>
      </w:r>
      <w:r w:rsidR="00165FD9">
        <w:t xml:space="preserve"> the minimum feed-in </w:t>
      </w:r>
      <w:proofErr w:type="gramStart"/>
      <w:r w:rsidR="008954B5">
        <w:t>tariffs</w:t>
      </w:r>
      <w:bookmarkEnd w:id="15"/>
      <w:proofErr w:type="gramEnd"/>
    </w:p>
    <w:p w14:paraId="128637E4" w14:textId="5B5CB1FC" w:rsidR="001E7FE9" w:rsidRDefault="00D95A45" w:rsidP="007117E9">
      <w:bookmarkStart w:id="16" w:name="_Hlk150784858"/>
      <w:r>
        <w:t xml:space="preserve">The </w:t>
      </w:r>
      <w:r w:rsidR="007117E9" w:rsidRPr="00B916BE">
        <w:rPr>
          <w:i/>
          <w:iCs/>
        </w:rPr>
        <w:t>Electricity Industry Act</w:t>
      </w:r>
      <w:r w:rsidR="00DC6F68" w:rsidRPr="00B916BE">
        <w:rPr>
          <w:i/>
          <w:iCs/>
        </w:rPr>
        <w:t xml:space="preserve"> 2000</w:t>
      </w:r>
      <w:r w:rsidR="007117E9" w:rsidRPr="00B916BE">
        <w:rPr>
          <w:i/>
          <w:iCs/>
        </w:rPr>
        <w:t xml:space="preserve"> </w:t>
      </w:r>
      <w:r w:rsidR="00BE09A5">
        <w:t xml:space="preserve">requires that </w:t>
      </w:r>
      <w:r w:rsidR="00F81EE0">
        <w:t>the</w:t>
      </w:r>
      <w:r w:rsidR="00784A09">
        <w:t xml:space="preserve"> </w:t>
      </w:r>
      <w:r w:rsidR="009411D6">
        <w:t xml:space="preserve">Essential </w:t>
      </w:r>
      <w:r w:rsidR="00641A27">
        <w:t xml:space="preserve">Services Commission </w:t>
      </w:r>
      <w:r w:rsidR="001B1EE4">
        <w:t>set</w:t>
      </w:r>
      <w:r w:rsidR="0074784C">
        <w:t>s</w:t>
      </w:r>
      <w:r w:rsidR="001B1EE4">
        <w:t xml:space="preserve"> </w:t>
      </w:r>
      <w:r w:rsidR="00A93724">
        <w:t>one or more minimum rates for the electricity that solar customers export to the grid.</w:t>
      </w:r>
      <w:r w:rsidR="00EE69A8">
        <w:t xml:space="preserve"> </w:t>
      </w:r>
      <w:r w:rsidR="001E7FE9">
        <w:t xml:space="preserve">We refer to these rates as the minimum feed-in tariffs. </w:t>
      </w:r>
    </w:p>
    <w:p w14:paraId="3063D0ED" w14:textId="37AAD436" w:rsidR="00F92FED" w:rsidRDefault="00056A2A" w:rsidP="00874D8F">
      <w:pPr>
        <w:pStyle w:val="Pull-out"/>
      </w:pPr>
      <w:r>
        <w:t xml:space="preserve">The minimum feed-in tariffs reflect the value that solar </w:t>
      </w:r>
      <w:r w:rsidR="00065EB1">
        <w:t>exports</w:t>
      </w:r>
      <w:r>
        <w:t xml:space="preserve"> provide to the energy market. This includes the social benefits of reducing pollution associated with fossil fuel</w:t>
      </w:r>
      <w:r w:rsidR="005E063C">
        <w:t xml:space="preserve"> </w:t>
      </w:r>
      <w:r>
        <w:t>electricity generation.</w:t>
      </w:r>
    </w:p>
    <w:p w14:paraId="7040FF3C" w14:textId="415A0A3E" w:rsidR="007117E9" w:rsidRDefault="00EE69A8" w:rsidP="007117E9">
      <w:r>
        <w:t>W</w:t>
      </w:r>
      <w:r w:rsidR="007117E9">
        <w:t>hen setting the minimum feed-in tariffs, we must have regard to:</w:t>
      </w:r>
    </w:p>
    <w:p w14:paraId="088C9F21" w14:textId="303901C6" w:rsidR="007117E9" w:rsidRDefault="00056A2A" w:rsidP="007117E9">
      <w:pPr>
        <w:pStyle w:val="ListBullet"/>
      </w:pPr>
      <w:r>
        <w:t>P</w:t>
      </w:r>
      <w:r w:rsidR="007117E9">
        <w:t xml:space="preserve">rices in the wholesale market </w:t>
      </w:r>
    </w:p>
    <w:p w14:paraId="15C1720F" w14:textId="3C765522" w:rsidR="007117E9" w:rsidRDefault="00056A2A" w:rsidP="007117E9">
      <w:pPr>
        <w:pStyle w:val="ListBullet"/>
      </w:pPr>
      <w:r>
        <w:t>A</w:t>
      </w:r>
      <w:r w:rsidR="007117E9">
        <w:t xml:space="preserve">voided transmission and distribution </w:t>
      </w:r>
      <w:proofErr w:type="gramStart"/>
      <w:r w:rsidR="007117E9">
        <w:t>losses</w:t>
      </w:r>
      <w:proofErr w:type="gramEnd"/>
      <w:r w:rsidR="007117E9">
        <w:t xml:space="preserve"> </w:t>
      </w:r>
    </w:p>
    <w:p w14:paraId="39415E59" w14:textId="65040F0C" w:rsidR="007117E9" w:rsidRDefault="00B916BE" w:rsidP="007117E9">
      <w:pPr>
        <w:pStyle w:val="ListBullet"/>
      </w:pPr>
      <w:r>
        <w:t>T</w:t>
      </w:r>
      <w:r w:rsidR="007117E9">
        <w:t>he avoided social cost of carbon and human health costs attributable to a reduction in air pollution.</w:t>
      </w:r>
      <w:bookmarkEnd w:id="16"/>
      <w:r w:rsidR="007117E9">
        <w:rPr>
          <w:rStyle w:val="FootnoteReference"/>
        </w:rPr>
        <w:footnoteReference w:id="3"/>
      </w:r>
      <w:r w:rsidR="007117E9">
        <w:t xml:space="preserve"> </w:t>
      </w:r>
    </w:p>
    <w:p w14:paraId="30CE57E1" w14:textId="4327F1B9" w:rsidR="007117E9" w:rsidRDefault="007117E9" w:rsidP="007117E9">
      <w:r>
        <w:t>The Act requires us to publish minimum feed-in tariffs to apply for the coming financial year by 28 February each year.</w:t>
      </w:r>
      <w:r>
        <w:rPr>
          <w:rStyle w:val="FootnoteReference"/>
        </w:rPr>
        <w:footnoteReference w:id="4"/>
      </w:r>
      <w:r>
        <w:t xml:space="preserve"> </w:t>
      </w:r>
    </w:p>
    <w:p w14:paraId="02278060" w14:textId="0161C9DE" w:rsidR="00B74CB1" w:rsidRDefault="00B74CB1" w:rsidP="007117E9">
      <w:r>
        <w:t>While</w:t>
      </w:r>
      <w:r w:rsidR="00E43A1B">
        <w:t xml:space="preserve"> the commission</w:t>
      </w:r>
      <w:r>
        <w:t xml:space="preserve"> set</w:t>
      </w:r>
      <w:r w:rsidR="00E43A1B">
        <w:t>s</w:t>
      </w:r>
      <w:r>
        <w:t xml:space="preserve"> the </w:t>
      </w:r>
      <w:r w:rsidRPr="003B14D4">
        <w:t>minimum</w:t>
      </w:r>
      <w:r>
        <w:t xml:space="preserve"> feed-in tariffs, </w:t>
      </w:r>
      <w:r w:rsidRPr="00A47D71">
        <w:t>it is electricity retailers</w:t>
      </w:r>
      <w:r w:rsidRPr="00D170C2">
        <w:rPr>
          <w:b/>
          <w:bCs/>
        </w:rPr>
        <w:t xml:space="preserve"> </w:t>
      </w:r>
      <w:r w:rsidRPr="00292AA8">
        <w:t>who set the feed-in tariffs they pay their customers.</w:t>
      </w:r>
      <w:r w:rsidRPr="00D170C2">
        <w:rPr>
          <w:b/>
          <w:bCs/>
        </w:rPr>
        <w:t xml:space="preserve"> </w:t>
      </w:r>
      <w:r w:rsidRPr="003B14D4">
        <w:t xml:space="preserve">Retailers can pay more than the </w:t>
      </w:r>
      <w:r w:rsidR="0086398A" w:rsidRPr="0032000D">
        <w:t>set</w:t>
      </w:r>
      <w:r w:rsidR="0086398A" w:rsidRPr="0086398A">
        <w:t xml:space="preserve"> </w:t>
      </w:r>
      <w:proofErr w:type="gramStart"/>
      <w:r w:rsidRPr="003B14D4">
        <w:t>minimum ,</w:t>
      </w:r>
      <w:proofErr w:type="gramEnd"/>
      <w:r w:rsidRPr="003B14D4">
        <w:t xml:space="preserve"> but they cannot pay less</w:t>
      </w:r>
      <w:r>
        <w:t>.</w:t>
      </w:r>
    </w:p>
    <w:p w14:paraId="3DD017B1" w14:textId="77777777" w:rsidR="00785A2E" w:rsidRDefault="00785A2E" w:rsidP="00785A2E">
      <w:pPr>
        <w:pStyle w:val="Heading2"/>
      </w:pPr>
      <w:bookmarkStart w:id="17" w:name="_Toc150869231"/>
      <w:bookmarkStart w:id="18" w:name="_Toc159844534"/>
      <w:r>
        <w:lastRenderedPageBreak/>
        <w:t xml:space="preserve">We protect the interests of solar and non-solar </w:t>
      </w:r>
      <w:proofErr w:type="gramStart"/>
      <w:r>
        <w:t>customers</w:t>
      </w:r>
      <w:bookmarkEnd w:id="17"/>
      <w:bookmarkEnd w:id="18"/>
      <w:proofErr w:type="gramEnd"/>
      <w:r>
        <w:t xml:space="preserve"> </w:t>
      </w:r>
    </w:p>
    <w:p w14:paraId="7329BFA2" w14:textId="77777777" w:rsidR="00785A2E" w:rsidRDefault="00785A2E" w:rsidP="00785A2E">
      <w:r>
        <w:t xml:space="preserve">Under the </w:t>
      </w:r>
      <w:r w:rsidRPr="00D64566">
        <w:rPr>
          <w:i/>
          <w:iCs/>
        </w:rPr>
        <w:t>Essential Services Commission Act 2001</w:t>
      </w:r>
      <w:r>
        <w:t xml:space="preserve"> and the Electricity Industry Act, our objectives include the promotion of:</w:t>
      </w:r>
    </w:p>
    <w:p w14:paraId="23A99DFE" w14:textId="03D0F5FE" w:rsidR="00785A2E" w:rsidRDefault="004472BE" w:rsidP="00785A2E">
      <w:pPr>
        <w:pStyle w:val="ListBullet"/>
      </w:pPr>
      <w:r>
        <w:t>T</w:t>
      </w:r>
      <w:r w:rsidR="00785A2E">
        <w:t xml:space="preserve">he long-term interests of Victorian consumers </w:t>
      </w:r>
    </w:p>
    <w:p w14:paraId="3D1EE1BB" w14:textId="0BCD4BC3" w:rsidR="00785A2E" w:rsidRDefault="004472BE" w:rsidP="00785A2E">
      <w:pPr>
        <w:pStyle w:val="ListBullet"/>
      </w:pPr>
      <w:r>
        <w:t>P</w:t>
      </w:r>
      <w:r w:rsidR="00785A2E">
        <w:t xml:space="preserve">rotections for customers, including in relation to assisting customers who are facing payment </w:t>
      </w:r>
      <w:proofErr w:type="gramStart"/>
      <w:r w:rsidR="00785A2E">
        <w:t>difficulties</w:t>
      </w:r>
      <w:proofErr w:type="gramEnd"/>
    </w:p>
    <w:p w14:paraId="64C68F35" w14:textId="63AEDEBB" w:rsidR="00785A2E" w:rsidRDefault="004472BE" w:rsidP="00785A2E">
      <w:pPr>
        <w:pStyle w:val="ListBullet"/>
      </w:pPr>
      <w:r>
        <w:t>D</w:t>
      </w:r>
      <w:r w:rsidR="00785A2E" w:rsidRPr="00D35ED5">
        <w:t>evelopment of full retail competition.</w:t>
      </w:r>
      <w:r w:rsidR="00785A2E">
        <w:rPr>
          <w:rStyle w:val="FootnoteReference"/>
        </w:rPr>
        <w:footnoteReference w:id="5"/>
      </w:r>
      <w:r w:rsidR="00785A2E">
        <w:t xml:space="preserve"> </w:t>
      </w:r>
      <w:r w:rsidR="00785A2E">
        <w:rPr>
          <w:rStyle w:val="FootnoteReference"/>
        </w:rPr>
        <w:footnoteReference w:id="6"/>
      </w:r>
    </w:p>
    <w:p w14:paraId="3070E103" w14:textId="66E4C5BA" w:rsidR="00785A2E" w:rsidRDefault="00785A2E" w:rsidP="00785A2E">
      <w:r>
        <w:t>In setting the minimum feed-in tariff</w:t>
      </w:r>
      <w:r w:rsidR="00B64CC2">
        <w:t>s</w:t>
      </w:r>
      <w:r>
        <w:t xml:space="preserve"> we must consider the long-term interests of both solar and non-solar customers. We do this by setting the minimum feed-in tariffs at a level equal to the value of solar exports. </w:t>
      </w:r>
    </w:p>
    <w:p w14:paraId="0532F581" w14:textId="77777777" w:rsidR="00C52A35" w:rsidRDefault="00C52A35" w:rsidP="00F80B48">
      <w:pPr>
        <w:pStyle w:val="Heading3numbered"/>
      </w:pPr>
      <w:bookmarkStart w:id="19" w:name="_Toc150869232"/>
      <w:bookmarkStart w:id="20" w:name="_Toc159844535"/>
      <w:r>
        <w:t>The value of solar exports</w:t>
      </w:r>
      <w:bookmarkEnd w:id="19"/>
      <w:bookmarkEnd w:id="20"/>
    </w:p>
    <w:p w14:paraId="77F0AD6F" w14:textId="77777777" w:rsidR="00487B5F" w:rsidRDefault="00487B5F" w:rsidP="00487B5F">
      <w:pPr>
        <w:pStyle w:val="Pull-out"/>
      </w:pPr>
      <w:r>
        <w:t>The value of solar exports is:</w:t>
      </w:r>
    </w:p>
    <w:p w14:paraId="673A83C4" w14:textId="4C0C4012" w:rsidR="00487B5F" w:rsidRDefault="00D404A9" w:rsidP="00487B5F">
      <w:pPr>
        <w:pStyle w:val="Pull-outBullet1"/>
      </w:pPr>
      <w:r>
        <w:t>T</w:t>
      </w:r>
      <w:r w:rsidR="00487B5F">
        <w:t xml:space="preserve">he costs retailers avoid when they receive solar exports and </w:t>
      </w:r>
    </w:p>
    <w:p w14:paraId="4ADDED90" w14:textId="65356438" w:rsidR="00487B5F" w:rsidRDefault="00D404A9" w:rsidP="00487B5F">
      <w:pPr>
        <w:pStyle w:val="Pull-outBullet1"/>
      </w:pPr>
      <w:r>
        <w:t>T</w:t>
      </w:r>
      <w:r w:rsidR="00487B5F">
        <w:t xml:space="preserve">he value of avoiding pollution. </w:t>
      </w:r>
    </w:p>
    <w:p w14:paraId="36682266" w14:textId="52918711" w:rsidR="00887C76" w:rsidRDefault="00887C76" w:rsidP="00887C76">
      <w:r>
        <w:t xml:space="preserve">Minimum feed-in tariffs above the value of solar exports would result in non-solar customers subsidising solar customers through higher electricity rates. </w:t>
      </w:r>
    </w:p>
    <w:p w14:paraId="53FC65BD" w14:textId="704420F1" w:rsidR="00887C76" w:rsidRDefault="00887C76" w:rsidP="00887C76">
      <w:r>
        <w:t xml:space="preserve">Retailers must pay at least the </w:t>
      </w:r>
      <w:r w:rsidR="00C854B3">
        <w:t xml:space="preserve">set </w:t>
      </w:r>
      <w:r>
        <w:t>minimum feed-in tariffs to their solar customers</w:t>
      </w:r>
      <w:r w:rsidR="009373C8">
        <w:t xml:space="preserve"> for </w:t>
      </w:r>
      <w:r w:rsidR="009C6A03">
        <w:t>purchasing their exported energy</w:t>
      </w:r>
      <w:r>
        <w:t>. Retailers set their own prices for</w:t>
      </w:r>
      <w:r w:rsidR="009373C8">
        <w:t xml:space="preserve"> electricity imports in the</w:t>
      </w:r>
      <w:r w:rsidR="00AE1FBA">
        <w:t>ir</w:t>
      </w:r>
      <w:r>
        <w:t xml:space="preserve"> market offers. When costs go up, such as the cost of feed-in tariffs for solar exports, retailers pass these on to customers in their market offers. Customers paying more than needed for electricity would not be consistent with our objectives.</w:t>
      </w:r>
    </w:p>
    <w:p w14:paraId="14D7F6D4" w14:textId="22100ACB" w:rsidR="00887C76" w:rsidRDefault="00887C76" w:rsidP="00887C76">
      <w:r>
        <w:t xml:space="preserve">In contrast, if the feed-in tariffs were below the value of solar exports, solar customers would be subsidising other energy users. </w:t>
      </w:r>
    </w:p>
    <w:p w14:paraId="38AF810A" w14:textId="69DD9CFF" w:rsidR="00255291" w:rsidRPr="00255291" w:rsidRDefault="00433E2C" w:rsidP="00B55108">
      <w:pPr>
        <w:pStyle w:val="Heading2numbered"/>
      </w:pPr>
      <w:bookmarkStart w:id="21" w:name="_Toc159844536"/>
      <w:r>
        <w:t xml:space="preserve">Our final decision </w:t>
      </w:r>
      <w:r w:rsidR="00512A0F">
        <w:t>will lower</w:t>
      </w:r>
      <w:r w:rsidR="00BB3851">
        <w:t xml:space="preserve"> the </w:t>
      </w:r>
      <w:r>
        <w:t xml:space="preserve">feed-in </w:t>
      </w:r>
      <w:proofErr w:type="gramStart"/>
      <w:r>
        <w:t>tariff</w:t>
      </w:r>
      <w:r w:rsidR="00070A44">
        <w:t>s</w:t>
      </w:r>
      <w:bookmarkEnd w:id="21"/>
      <w:proofErr w:type="gramEnd"/>
    </w:p>
    <w:p w14:paraId="35979267" w14:textId="225963F0" w:rsidR="00BC5241" w:rsidRDefault="002B008C" w:rsidP="009557F0">
      <w:r w:rsidRPr="00CC298E">
        <w:t xml:space="preserve">Our final decision is that </w:t>
      </w:r>
      <w:r w:rsidR="00660C13" w:rsidRPr="00CC298E">
        <w:t xml:space="preserve">the </w:t>
      </w:r>
      <w:r w:rsidRPr="00CC298E">
        <w:t xml:space="preserve">flat minimum feed-in tariff will be </w:t>
      </w:r>
      <w:r w:rsidR="00D607A1" w:rsidRPr="00CC298E">
        <w:t>3</w:t>
      </w:r>
      <w:r w:rsidR="00AA6313" w:rsidRPr="00CC298E">
        <w:t>.</w:t>
      </w:r>
      <w:r w:rsidR="00D607A1" w:rsidRPr="00CC298E">
        <w:t>3</w:t>
      </w:r>
      <w:r w:rsidRPr="00CC298E">
        <w:t xml:space="preserve"> cents per kWh for 202</w:t>
      </w:r>
      <w:r w:rsidR="00A0317F" w:rsidRPr="00CC298E">
        <w:t>4</w:t>
      </w:r>
      <w:r w:rsidRPr="00CC298E">
        <w:t>–2</w:t>
      </w:r>
      <w:r w:rsidR="00A0317F" w:rsidRPr="00CC298E">
        <w:t>5</w:t>
      </w:r>
      <w:r w:rsidRPr="00CC298E">
        <w:t xml:space="preserve">. This is </w:t>
      </w:r>
      <w:r w:rsidR="00417DB1" w:rsidRPr="00CC298E">
        <w:t>32</w:t>
      </w:r>
      <w:r w:rsidRPr="00CC298E">
        <w:t>.</w:t>
      </w:r>
      <w:r w:rsidR="007D6BBD" w:rsidRPr="00CC298E">
        <w:t>7</w:t>
      </w:r>
      <w:r w:rsidRPr="00CC298E">
        <w:t xml:space="preserve"> per cent </w:t>
      </w:r>
      <w:r w:rsidR="00457469" w:rsidRPr="00CC298E">
        <w:t xml:space="preserve">lower </w:t>
      </w:r>
      <w:r w:rsidRPr="00CC298E">
        <w:t>than the 202</w:t>
      </w:r>
      <w:r w:rsidR="00595400" w:rsidRPr="00CC298E">
        <w:t>3</w:t>
      </w:r>
      <w:r w:rsidRPr="00CC298E">
        <w:t>–2</w:t>
      </w:r>
      <w:r w:rsidR="00595400" w:rsidRPr="00CC298E">
        <w:t>4</w:t>
      </w:r>
      <w:r w:rsidRPr="00CC298E">
        <w:t xml:space="preserve"> rate. </w:t>
      </w:r>
      <w:r w:rsidR="00BC5241">
        <w:t xml:space="preserve">The time-varying feed-in tariffs will also be lower than </w:t>
      </w:r>
      <w:r w:rsidR="00BA6447">
        <w:t xml:space="preserve">during </w:t>
      </w:r>
      <w:r w:rsidR="00E07485">
        <w:t>2023–24</w:t>
      </w:r>
      <w:r w:rsidR="00BC5241">
        <w:t>.</w:t>
      </w:r>
    </w:p>
    <w:p w14:paraId="3FF7C958" w14:textId="5F7D414D" w:rsidR="009557F0" w:rsidRPr="009557F0" w:rsidRDefault="009557F0" w:rsidP="00F80B48">
      <w:pPr>
        <w:spacing w:before="120" w:after="120"/>
        <w:rPr>
          <w:rFonts w:asciiTheme="majorHAnsi" w:eastAsiaTheme="majorEastAsia" w:hAnsiTheme="majorHAnsi" w:cstheme="majorBidi"/>
          <w:b/>
          <w:color w:val="4986A0" w:themeColor="text2"/>
          <w:szCs w:val="24"/>
          <w:lang w:val="en-US"/>
        </w:rPr>
      </w:pPr>
      <w:bookmarkStart w:id="22" w:name="_Toc143765156"/>
      <w:r w:rsidRPr="009557F0">
        <w:rPr>
          <w:rFonts w:asciiTheme="majorHAnsi" w:eastAsiaTheme="majorEastAsia" w:hAnsiTheme="majorHAnsi" w:cstheme="majorBidi"/>
          <w:b/>
          <w:color w:val="4986A0" w:themeColor="text2"/>
          <w:szCs w:val="24"/>
          <w:lang w:val="en-US"/>
        </w:rPr>
        <w:lastRenderedPageBreak/>
        <w:t>Table S.1: Minimum feed-in tariffs to apply from 1 July 2024, excluding GST</w:t>
      </w:r>
      <w:bookmarkEnd w:id="22"/>
      <w:r w:rsidRPr="009557F0">
        <w:rPr>
          <w:rFonts w:asciiTheme="majorHAnsi" w:eastAsiaTheme="majorEastAsia" w:hAnsiTheme="majorHAnsi" w:cstheme="majorBidi"/>
          <w:b/>
          <w:color w:val="4986A0" w:themeColor="text2"/>
          <w:szCs w:val="24"/>
          <w:vertAlign w:val="superscript"/>
          <w:lang w:val="en-US"/>
        </w:rPr>
        <w:footnoteReference w:id="7"/>
      </w:r>
      <w:r w:rsidRPr="009557F0">
        <w:rPr>
          <w:rFonts w:asciiTheme="majorHAnsi" w:eastAsiaTheme="majorEastAsia" w:hAnsiTheme="majorHAnsi" w:cstheme="majorBidi"/>
          <w:b/>
          <w:color w:val="4986A0" w:themeColor="text2"/>
          <w:szCs w:val="24"/>
          <w:lang w:val="en-US"/>
        </w:rPr>
        <w:t xml:space="preserve"> </w:t>
      </w:r>
      <w:r w:rsidRPr="009557F0">
        <w:rPr>
          <w:rFonts w:asciiTheme="majorHAnsi" w:eastAsiaTheme="majorEastAsia" w:hAnsiTheme="majorHAnsi" w:cstheme="majorBidi"/>
          <w:b/>
          <w:color w:val="4986A0" w:themeColor="text2"/>
          <w:szCs w:val="24"/>
          <w:vertAlign w:val="superscript"/>
          <w:lang w:val="en-US"/>
        </w:rPr>
        <w:footnoteReference w:id="8"/>
      </w:r>
    </w:p>
    <w:tbl>
      <w:tblPr>
        <w:tblW w:w="8840" w:type="dxa"/>
        <w:jc w:val="center"/>
        <w:tblLook w:val="04A0" w:firstRow="1" w:lastRow="0" w:firstColumn="1" w:lastColumn="0" w:noHBand="0" w:noVBand="1"/>
        <w:tblCaption w:val="Table S.1 Minimum feed-in tariffs to apply from 1 July 2022, excuding GST"/>
        <w:tblDescription w:val="Flat rate tariff applies at all times is 5.2 cents per kilowatt hour. Time-varying structure: Overnight tariff is 7.1 cents per kilowatt hour 10pm to 7am weekdays and weekends, Day tariff is 5.0 cents per kilowatt hour 7am to 3pm and 9pm and 10pm weekdays 7am to 10pm weekends, Early evening tariff is 6.9 cents per kilowatt hour 3pm to 9pm weekdays."/>
      </w:tblPr>
      <w:tblGrid>
        <w:gridCol w:w="3200"/>
        <w:gridCol w:w="3060"/>
        <w:gridCol w:w="2580"/>
      </w:tblGrid>
      <w:tr w:rsidR="004C7A5D" w:rsidRPr="004C7A5D" w14:paraId="3236853C" w14:textId="77777777" w:rsidTr="00067FC9">
        <w:trPr>
          <w:trHeight w:val="288"/>
          <w:jc w:val="center"/>
        </w:trPr>
        <w:tc>
          <w:tcPr>
            <w:tcW w:w="8840" w:type="dxa"/>
            <w:gridSpan w:val="3"/>
            <w:tcBorders>
              <w:top w:val="nil"/>
              <w:left w:val="nil"/>
              <w:bottom w:val="nil"/>
              <w:right w:val="nil"/>
            </w:tcBorders>
            <w:shd w:val="clear" w:color="000000" w:fill="4986A0"/>
            <w:vAlign w:val="center"/>
            <w:hideMark/>
          </w:tcPr>
          <w:p w14:paraId="00EA2914" w14:textId="1799E254" w:rsidR="004C7A5D" w:rsidRPr="004C7A5D" w:rsidRDefault="004C7A5D" w:rsidP="004C7A5D">
            <w:pPr>
              <w:spacing w:before="0" w:after="0" w:line="240" w:lineRule="auto"/>
              <w:jc w:val="center"/>
              <w:rPr>
                <w:rFonts w:ascii="Arial" w:eastAsia="Times New Roman" w:hAnsi="Arial" w:cs="Arial"/>
                <w:b/>
                <w:bCs/>
                <w:color w:val="FFFFFF"/>
                <w:lang w:eastAsia="zh-CN"/>
              </w:rPr>
            </w:pPr>
            <w:r w:rsidRPr="004C7A5D">
              <w:rPr>
                <w:rFonts w:ascii="Arial" w:eastAsia="Times New Roman" w:hAnsi="Arial" w:cs="Arial"/>
                <w:b/>
                <w:bCs/>
                <w:color w:val="FFFFFF"/>
                <w:lang w:eastAsia="zh-CN"/>
              </w:rPr>
              <w:t>Flat minimum rate (c</w:t>
            </w:r>
            <w:r w:rsidR="00B45684">
              <w:rPr>
                <w:rFonts w:ascii="Arial" w:eastAsia="Times New Roman" w:hAnsi="Arial" w:cs="Arial"/>
                <w:b/>
                <w:bCs/>
                <w:color w:val="FFFFFF"/>
                <w:lang w:eastAsia="zh-CN"/>
              </w:rPr>
              <w:t>ents</w:t>
            </w:r>
            <w:r w:rsidRPr="004C7A5D">
              <w:rPr>
                <w:rFonts w:ascii="Arial" w:eastAsia="Times New Roman" w:hAnsi="Arial" w:cs="Arial"/>
                <w:b/>
                <w:bCs/>
                <w:color w:val="FFFFFF"/>
                <w:lang w:eastAsia="zh-CN"/>
              </w:rPr>
              <w:t>/kWh)</w:t>
            </w:r>
          </w:p>
        </w:tc>
      </w:tr>
      <w:tr w:rsidR="004C7A5D" w:rsidRPr="004C7A5D" w14:paraId="178AD790" w14:textId="77777777" w:rsidTr="00067FC9">
        <w:trPr>
          <w:trHeight w:val="459"/>
          <w:jc w:val="center"/>
        </w:trPr>
        <w:tc>
          <w:tcPr>
            <w:tcW w:w="8840" w:type="dxa"/>
            <w:gridSpan w:val="3"/>
            <w:tcBorders>
              <w:top w:val="nil"/>
              <w:left w:val="nil"/>
              <w:bottom w:val="nil"/>
              <w:right w:val="nil"/>
            </w:tcBorders>
            <w:shd w:val="clear" w:color="000000" w:fill="F2F2F2"/>
            <w:vAlign w:val="center"/>
            <w:hideMark/>
          </w:tcPr>
          <w:p w14:paraId="70A225A3"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 xml:space="preserve">At all times </w:t>
            </w:r>
          </w:p>
        </w:tc>
      </w:tr>
      <w:tr w:rsidR="004C7A5D" w:rsidRPr="004C7A5D" w14:paraId="76BDC4D2" w14:textId="77777777" w:rsidTr="00067FC9">
        <w:trPr>
          <w:trHeight w:val="459"/>
          <w:jc w:val="center"/>
        </w:trPr>
        <w:tc>
          <w:tcPr>
            <w:tcW w:w="8840" w:type="dxa"/>
            <w:gridSpan w:val="3"/>
            <w:tcBorders>
              <w:top w:val="nil"/>
              <w:left w:val="nil"/>
              <w:bottom w:val="nil"/>
              <w:right w:val="nil"/>
            </w:tcBorders>
            <w:shd w:val="clear" w:color="000000" w:fill="F2F2F2"/>
            <w:vAlign w:val="center"/>
            <w:hideMark/>
          </w:tcPr>
          <w:p w14:paraId="447C7C6A"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3.3</w:t>
            </w:r>
          </w:p>
        </w:tc>
      </w:tr>
      <w:tr w:rsidR="004C7A5D" w:rsidRPr="004C7A5D" w14:paraId="263A1EF8" w14:textId="77777777" w:rsidTr="00067FC9">
        <w:trPr>
          <w:trHeight w:val="300"/>
          <w:jc w:val="center"/>
        </w:trPr>
        <w:tc>
          <w:tcPr>
            <w:tcW w:w="8840" w:type="dxa"/>
            <w:gridSpan w:val="3"/>
            <w:tcBorders>
              <w:top w:val="nil"/>
              <w:left w:val="nil"/>
              <w:bottom w:val="single" w:sz="8" w:space="0" w:color="FFFFFF"/>
              <w:right w:val="nil"/>
            </w:tcBorders>
            <w:shd w:val="clear" w:color="000000" w:fill="4986A0"/>
            <w:vAlign w:val="center"/>
            <w:hideMark/>
          </w:tcPr>
          <w:p w14:paraId="6934B614" w14:textId="6C350015" w:rsidR="004C7A5D" w:rsidRPr="004C7A5D" w:rsidRDefault="004C7A5D" w:rsidP="004C7A5D">
            <w:pPr>
              <w:spacing w:before="0" w:after="0" w:line="240" w:lineRule="auto"/>
              <w:jc w:val="center"/>
              <w:rPr>
                <w:rFonts w:ascii="Arial" w:eastAsia="Times New Roman" w:hAnsi="Arial" w:cs="Arial"/>
                <w:b/>
                <w:bCs/>
                <w:color w:val="FFFFFF"/>
                <w:lang w:eastAsia="zh-CN"/>
              </w:rPr>
            </w:pPr>
            <w:r w:rsidRPr="004C7A5D">
              <w:rPr>
                <w:rFonts w:ascii="Arial" w:eastAsia="Times New Roman" w:hAnsi="Arial" w:cs="Arial"/>
                <w:b/>
                <w:bCs/>
                <w:color w:val="FFFFFF"/>
                <w:lang w:eastAsia="zh-CN"/>
              </w:rPr>
              <w:t>Time-varying minimum rates (</w:t>
            </w:r>
            <w:r w:rsidR="00126914">
              <w:rPr>
                <w:rFonts w:ascii="Arial" w:eastAsia="Times New Roman" w:hAnsi="Arial" w:cs="Arial"/>
                <w:b/>
                <w:bCs/>
                <w:color w:val="FFFFFF"/>
                <w:lang w:eastAsia="zh-CN"/>
              </w:rPr>
              <w:t>c</w:t>
            </w:r>
            <w:r w:rsidR="00B45684">
              <w:rPr>
                <w:rFonts w:ascii="Arial" w:eastAsia="Times New Roman" w:hAnsi="Arial" w:cs="Arial"/>
                <w:b/>
                <w:bCs/>
                <w:color w:val="FFFFFF"/>
                <w:lang w:eastAsia="zh-CN"/>
              </w:rPr>
              <w:t>ents</w:t>
            </w:r>
            <w:r w:rsidRPr="004C7A5D">
              <w:rPr>
                <w:rFonts w:ascii="Arial" w:eastAsia="Times New Roman" w:hAnsi="Arial" w:cs="Arial"/>
                <w:b/>
                <w:bCs/>
                <w:color w:val="FFFFFF"/>
                <w:lang w:eastAsia="zh-CN"/>
              </w:rPr>
              <w:t>/kWh)</w:t>
            </w:r>
          </w:p>
        </w:tc>
      </w:tr>
      <w:tr w:rsidR="004C7A5D" w:rsidRPr="004C7A5D" w14:paraId="333F8DE8" w14:textId="77777777" w:rsidTr="00067FC9">
        <w:trPr>
          <w:trHeight w:val="615"/>
          <w:jc w:val="center"/>
        </w:trPr>
        <w:tc>
          <w:tcPr>
            <w:tcW w:w="8840" w:type="dxa"/>
            <w:gridSpan w:val="3"/>
            <w:tcBorders>
              <w:top w:val="single" w:sz="8" w:space="0" w:color="FFFFFF"/>
              <w:left w:val="nil"/>
              <w:bottom w:val="nil"/>
              <w:right w:val="nil"/>
            </w:tcBorders>
            <w:shd w:val="clear" w:color="000000" w:fill="F2F2F2"/>
            <w:vAlign w:val="center"/>
            <w:hideMark/>
          </w:tcPr>
          <w:p w14:paraId="1EC2D3AE"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Option One</w:t>
            </w:r>
          </w:p>
        </w:tc>
      </w:tr>
      <w:tr w:rsidR="004C7A5D" w:rsidRPr="004C7A5D" w14:paraId="2C686C0E" w14:textId="77777777" w:rsidTr="00067FC9">
        <w:trPr>
          <w:trHeight w:val="288"/>
          <w:jc w:val="center"/>
        </w:trPr>
        <w:tc>
          <w:tcPr>
            <w:tcW w:w="3200" w:type="dxa"/>
            <w:tcBorders>
              <w:top w:val="nil"/>
              <w:left w:val="nil"/>
              <w:bottom w:val="nil"/>
              <w:right w:val="nil"/>
            </w:tcBorders>
            <w:shd w:val="clear" w:color="000000" w:fill="F2F2F2"/>
            <w:vAlign w:val="center"/>
            <w:hideMark/>
          </w:tcPr>
          <w:p w14:paraId="2833D300"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Overnight</w:t>
            </w:r>
          </w:p>
        </w:tc>
        <w:tc>
          <w:tcPr>
            <w:tcW w:w="3060" w:type="dxa"/>
            <w:tcBorders>
              <w:top w:val="nil"/>
              <w:left w:val="nil"/>
              <w:bottom w:val="nil"/>
              <w:right w:val="nil"/>
            </w:tcBorders>
            <w:shd w:val="clear" w:color="000000" w:fill="F2F2F2"/>
            <w:vAlign w:val="center"/>
            <w:hideMark/>
          </w:tcPr>
          <w:p w14:paraId="6732790B"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Day</w:t>
            </w:r>
          </w:p>
        </w:tc>
        <w:tc>
          <w:tcPr>
            <w:tcW w:w="2580" w:type="dxa"/>
            <w:tcBorders>
              <w:top w:val="nil"/>
              <w:left w:val="nil"/>
              <w:bottom w:val="nil"/>
              <w:right w:val="nil"/>
            </w:tcBorders>
            <w:shd w:val="clear" w:color="000000" w:fill="F2F2F2"/>
            <w:vAlign w:val="center"/>
            <w:hideMark/>
          </w:tcPr>
          <w:p w14:paraId="165A973B"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 xml:space="preserve">Early Evening </w:t>
            </w:r>
          </w:p>
        </w:tc>
      </w:tr>
      <w:tr w:rsidR="004C7A5D" w:rsidRPr="004C7A5D" w14:paraId="0BB53D2E" w14:textId="77777777" w:rsidTr="00067FC9">
        <w:trPr>
          <w:trHeight w:val="624"/>
          <w:jc w:val="center"/>
        </w:trPr>
        <w:tc>
          <w:tcPr>
            <w:tcW w:w="3200" w:type="dxa"/>
            <w:tcBorders>
              <w:top w:val="nil"/>
              <w:left w:val="nil"/>
              <w:bottom w:val="nil"/>
              <w:right w:val="nil"/>
            </w:tcBorders>
            <w:shd w:val="clear" w:color="000000" w:fill="F2F2F2"/>
            <w:vAlign w:val="center"/>
            <w:hideMark/>
          </w:tcPr>
          <w:p w14:paraId="3D0622B6" w14:textId="77777777" w:rsidR="004C7A5D" w:rsidRPr="004C7A5D" w:rsidRDefault="004C7A5D" w:rsidP="004C7A5D">
            <w:pPr>
              <w:spacing w:before="0" w:after="0" w:line="240" w:lineRule="auto"/>
              <w:jc w:val="center"/>
              <w:rPr>
                <w:rFonts w:ascii="Arial" w:eastAsia="Times New Roman" w:hAnsi="Arial" w:cs="Arial"/>
                <w:color w:val="000000"/>
                <w:lang w:eastAsia="zh-CN"/>
              </w:rPr>
            </w:pPr>
            <w:r w:rsidRPr="004C7A5D">
              <w:rPr>
                <w:rFonts w:ascii="Arial" w:eastAsia="Times New Roman" w:hAnsi="Arial" w:cs="Arial"/>
                <w:color w:val="000000"/>
                <w:lang w:eastAsia="zh-CN"/>
              </w:rPr>
              <w:t xml:space="preserve">Weekdays: 10 pm – 7 am </w:t>
            </w:r>
          </w:p>
        </w:tc>
        <w:tc>
          <w:tcPr>
            <w:tcW w:w="3060" w:type="dxa"/>
            <w:tcBorders>
              <w:top w:val="nil"/>
              <w:left w:val="nil"/>
              <w:bottom w:val="nil"/>
              <w:right w:val="nil"/>
            </w:tcBorders>
            <w:shd w:val="clear" w:color="000000" w:fill="F2F2F2"/>
            <w:vAlign w:val="center"/>
            <w:hideMark/>
          </w:tcPr>
          <w:p w14:paraId="2F6E80DA" w14:textId="77777777" w:rsidR="004C7A5D" w:rsidRPr="004C7A5D" w:rsidRDefault="004C7A5D" w:rsidP="004C7A5D">
            <w:pPr>
              <w:spacing w:before="0" w:after="0" w:line="240" w:lineRule="auto"/>
              <w:jc w:val="center"/>
              <w:rPr>
                <w:rFonts w:ascii="Arial" w:eastAsia="Times New Roman" w:hAnsi="Arial" w:cs="Arial"/>
                <w:color w:val="000000"/>
                <w:lang w:eastAsia="zh-CN"/>
              </w:rPr>
            </w:pPr>
            <w:r w:rsidRPr="004C7A5D">
              <w:rPr>
                <w:rFonts w:ascii="Arial" w:eastAsia="Times New Roman" w:hAnsi="Arial" w:cs="Arial"/>
                <w:color w:val="000000"/>
                <w:lang w:eastAsia="zh-CN"/>
              </w:rPr>
              <w:t xml:space="preserve">Weekdays: 7 am – 3 pm, </w:t>
            </w:r>
            <w:r w:rsidRPr="004C7A5D">
              <w:rPr>
                <w:rFonts w:ascii="Arial" w:eastAsia="Times New Roman" w:hAnsi="Arial" w:cs="Arial"/>
                <w:color w:val="000000"/>
                <w:lang w:eastAsia="zh-CN"/>
              </w:rPr>
              <w:br/>
              <w:t xml:space="preserve">9 pm – 10 pm </w:t>
            </w:r>
          </w:p>
        </w:tc>
        <w:tc>
          <w:tcPr>
            <w:tcW w:w="2580" w:type="dxa"/>
            <w:tcBorders>
              <w:top w:val="nil"/>
              <w:left w:val="nil"/>
              <w:bottom w:val="nil"/>
              <w:right w:val="nil"/>
            </w:tcBorders>
            <w:shd w:val="clear" w:color="000000" w:fill="F2F2F2"/>
            <w:vAlign w:val="center"/>
            <w:hideMark/>
          </w:tcPr>
          <w:p w14:paraId="3D51F1C7" w14:textId="77777777" w:rsidR="004C7A5D" w:rsidRPr="004C7A5D" w:rsidRDefault="004C7A5D" w:rsidP="004C7A5D">
            <w:pPr>
              <w:spacing w:before="0" w:after="0" w:line="240" w:lineRule="auto"/>
              <w:jc w:val="center"/>
              <w:rPr>
                <w:rFonts w:ascii="Arial" w:eastAsia="Times New Roman" w:hAnsi="Arial" w:cs="Arial"/>
                <w:color w:val="000000"/>
                <w:lang w:eastAsia="zh-CN"/>
              </w:rPr>
            </w:pPr>
            <w:r w:rsidRPr="004C7A5D">
              <w:rPr>
                <w:rFonts w:ascii="Arial" w:eastAsia="Times New Roman" w:hAnsi="Arial" w:cs="Arial"/>
                <w:color w:val="000000"/>
                <w:lang w:eastAsia="zh-CN"/>
              </w:rPr>
              <w:t>Weekdays: 3 pm – 9 pm</w:t>
            </w:r>
          </w:p>
        </w:tc>
      </w:tr>
      <w:tr w:rsidR="004C7A5D" w:rsidRPr="004C7A5D" w14:paraId="64720F61" w14:textId="77777777" w:rsidTr="00067FC9">
        <w:trPr>
          <w:trHeight w:val="468"/>
          <w:jc w:val="center"/>
        </w:trPr>
        <w:tc>
          <w:tcPr>
            <w:tcW w:w="3200" w:type="dxa"/>
            <w:tcBorders>
              <w:top w:val="nil"/>
              <w:left w:val="nil"/>
              <w:bottom w:val="single" w:sz="8" w:space="0" w:color="FFFFFF"/>
              <w:right w:val="nil"/>
            </w:tcBorders>
            <w:shd w:val="clear" w:color="000000" w:fill="F2F2F2"/>
            <w:vAlign w:val="center"/>
            <w:hideMark/>
          </w:tcPr>
          <w:p w14:paraId="42F8D80A" w14:textId="77777777" w:rsidR="004C7A5D" w:rsidRPr="004C7A5D" w:rsidRDefault="004C7A5D" w:rsidP="004C7A5D">
            <w:pPr>
              <w:spacing w:before="0" w:after="0" w:line="240" w:lineRule="auto"/>
              <w:jc w:val="center"/>
              <w:rPr>
                <w:rFonts w:ascii="Arial" w:eastAsia="Times New Roman" w:hAnsi="Arial" w:cs="Arial"/>
                <w:color w:val="000000"/>
                <w:lang w:eastAsia="zh-CN"/>
              </w:rPr>
            </w:pPr>
            <w:r w:rsidRPr="004C7A5D">
              <w:rPr>
                <w:rFonts w:ascii="Arial" w:eastAsia="Times New Roman" w:hAnsi="Arial" w:cs="Arial"/>
                <w:color w:val="000000"/>
                <w:lang w:eastAsia="zh-CN"/>
              </w:rPr>
              <w:t>Weekends: 10 pm – 7 am</w:t>
            </w:r>
          </w:p>
        </w:tc>
        <w:tc>
          <w:tcPr>
            <w:tcW w:w="3060" w:type="dxa"/>
            <w:tcBorders>
              <w:top w:val="nil"/>
              <w:left w:val="nil"/>
              <w:bottom w:val="single" w:sz="8" w:space="0" w:color="FFFFFF"/>
              <w:right w:val="nil"/>
            </w:tcBorders>
            <w:shd w:val="clear" w:color="000000" w:fill="F2F2F2"/>
            <w:vAlign w:val="center"/>
            <w:hideMark/>
          </w:tcPr>
          <w:p w14:paraId="5F84D8AA" w14:textId="77777777" w:rsidR="004C7A5D" w:rsidRPr="004C7A5D" w:rsidRDefault="004C7A5D" w:rsidP="004C7A5D">
            <w:pPr>
              <w:spacing w:before="0" w:after="0" w:line="240" w:lineRule="auto"/>
              <w:jc w:val="center"/>
              <w:rPr>
                <w:rFonts w:ascii="Arial" w:eastAsia="Times New Roman" w:hAnsi="Arial" w:cs="Arial"/>
                <w:color w:val="000000"/>
                <w:lang w:eastAsia="zh-CN"/>
              </w:rPr>
            </w:pPr>
            <w:r w:rsidRPr="004C7A5D">
              <w:rPr>
                <w:rFonts w:ascii="Arial" w:eastAsia="Times New Roman" w:hAnsi="Arial" w:cs="Arial"/>
                <w:color w:val="000000"/>
                <w:lang w:eastAsia="zh-CN"/>
              </w:rPr>
              <w:t>Weekends: 7am – 10 pm</w:t>
            </w:r>
          </w:p>
        </w:tc>
        <w:tc>
          <w:tcPr>
            <w:tcW w:w="2580" w:type="dxa"/>
            <w:tcBorders>
              <w:top w:val="nil"/>
              <w:left w:val="nil"/>
              <w:bottom w:val="single" w:sz="8" w:space="0" w:color="FFFFFF"/>
              <w:right w:val="nil"/>
            </w:tcBorders>
            <w:shd w:val="clear" w:color="000000" w:fill="F2F2F2"/>
            <w:vAlign w:val="center"/>
            <w:hideMark/>
          </w:tcPr>
          <w:p w14:paraId="0678D438" w14:textId="77777777" w:rsidR="004C7A5D" w:rsidRPr="004C7A5D" w:rsidRDefault="004C7A5D" w:rsidP="004C7A5D">
            <w:pPr>
              <w:spacing w:before="0" w:after="0" w:line="240" w:lineRule="auto"/>
              <w:jc w:val="center"/>
              <w:rPr>
                <w:rFonts w:ascii="Arial" w:eastAsia="Times New Roman" w:hAnsi="Arial" w:cs="Arial"/>
                <w:color w:val="000000"/>
                <w:lang w:eastAsia="zh-CN"/>
              </w:rPr>
            </w:pPr>
            <w:r w:rsidRPr="004C7A5D">
              <w:rPr>
                <w:rFonts w:ascii="Arial" w:eastAsia="Times New Roman" w:hAnsi="Arial" w:cs="Arial"/>
                <w:color w:val="000000"/>
                <w:lang w:eastAsia="zh-CN"/>
              </w:rPr>
              <w:t>Weekends: n/a</w:t>
            </w:r>
          </w:p>
        </w:tc>
      </w:tr>
      <w:tr w:rsidR="004C7A5D" w:rsidRPr="004C7A5D" w14:paraId="51A2DBE4" w14:textId="77777777" w:rsidTr="00067FC9">
        <w:trPr>
          <w:trHeight w:val="465"/>
          <w:jc w:val="center"/>
        </w:trPr>
        <w:tc>
          <w:tcPr>
            <w:tcW w:w="3200" w:type="dxa"/>
            <w:tcBorders>
              <w:top w:val="nil"/>
              <w:left w:val="nil"/>
              <w:bottom w:val="nil"/>
              <w:right w:val="nil"/>
            </w:tcBorders>
            <w:shd w:val="clear" w:color="000000" w:fill="F2F2F2"/>
            <w:vAlign w:val="center"/>
            <w:hideMark/>
          </w:tcPr>
          <w:p w14:paraId="06C4EE6F"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7.6</w:t>
            </w:r>
          </w:p>
        </w:tc>
        <w:tc>
          <w:tcPr>
            <w:tcW w:w="3060" w:type="dxa"/>
            <w:tcBorders>
              <w:top w:val="nil"/>
              <w:left w:val="nil"/>
              <w:bottom w:val="nil"/>
              <w:right w:val="nil"/>
            </w:tcBorders>
            <w:shd w:val="clear" w:color="000000" w:fill="F2F2F2"/>
            <w:vAlign w:val="center"/>
            <w:hideMark/>
          </w:tcPr>
          <w:p w14:paraId="4BFBC4E8"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2.8</w:t>
            </w:r>
          </w:p>
        </w:tc>
        <w:tc>
          <w:tcPr>
            <w:tcW w:w="2580" w:type="dxa"/>
            <w:tcBorders>
              <w:top w:val="nil"/>
              <w:left w:val="nil"/>
              <w:bottom w:val="nil"/>
              <w:right w:val="nil"/>
            </w:tcBorders>
            <w:shd w:val="clear" w:color="000000" w:fill="F2F2F2"/>
            <w:vAlign w:val="center"/>
            <w:hideMark/>
          </w:tcPr>
          <w:p w14:paraId="14BDD50C"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7.0</w:t>
            </w:r>
          </w:p>
        </w:tc>
      </w:tr>
      <w:tr w:rsidR="004C7A5D" w:rsidRPr="004C7A5D" w14:paraId="2E37C61D" w14:textId="77777777" w:rsidTr="00067FC9">
        <w:trPr>
          <w:trHeight w:val="519"/>
          <w:jc w:val="center"/>
        </w:trPr>
        <w:tc>
          <w:tcPr>
            <w:tcW w:w="8840" w:type="dxa"/>
            <w:gridSpan w:val="3"/>
            <w:tcBorders>
              <w:top w:val="single" w:sz="8" w:space="0" w:color="FFFFFF"/>
              <w:left w:val="nil"/>
              <w:bottom w:val="nil"/>
              <w:right w:val="nil"/>
            </w:tcBorders>
            <w:shd w:val="clear" w:color="000000" w:fill="F2F2F2"/>
            <w:vAlign w:val="center"/>
            <w:hideMark/>
          </w:tcPr>
          <w:p w14:paraId="6FDA8BF2"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Option Two</w:t>
            </w:r>
          </w:p>
        </w:tc>
      </w:tr>
      <w:tr w:rsidR="004C7A5D" w:rsidRPr="004C7A5D" w14:paraId="1A89A328" w14:textId="77777777" w:rsidTr="00067FC9">
        <w:trPr>
          <w:trHeight w:val="408"/>
          <w:jc w:val="center"/>
        </w:trPr>
        <w:tc>
          <w:tcPr>
            <w:tcW w:w="3200" w:type="dxa"/>
            <w:tcBorders>
              <w:top w:val="nil"/>
              <w:left w:val="nil"/>
              <w:bottom w:val="nil"/>
              <w:right w:val="nil"/>
            </w:tcBorders>
            <w:shd w:val="clear" w:color="000000" w:fill="F2F2F2"/>
            <w:vAlign w:val="center"/>
            <w:hideMark/>
          </w:tcPr>
          <w:p w14:paraId="2CB82279"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Shoulder</w:t>
            </w:r>
          </w:p>
        </w:tc>
        <w:tc>
          <w:tcPr>
            <w:tcW w:w="3060" w:type="dxa"/>
            <w:tcBorders>
              <w:top w:val="nil"/>
              <w:left w:val="nil"/>
              <w:bottom w:val="nil"/>
              <w:right w:val="nil"/>
            </w:tcBorders>
            <w:shd w:val="clear" w:color="000000" w:fill="F2F2F2"/>
            <w:vAlign w:val="center"/>
            <w:hideMark/>
          </w:tcPr>
          <w:p w14:paraId="2F0F50ED"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Off-peak</w:t>
            </w:r>
          </w:p>
        </w:tc>
        <w:tc>
          <w:tcPr>
            <w:tcW w:w="2580" w:type="dxa"/>
            <w:tcBorders>
              <w:top w:val="nil"/>
              <w:left w:val="nil"/>
              <w:bottom w:val="nil"/>
              <w:right w:val="nil"/>
            </w:tcBorders>
            <w:shd w:val="clear" w:color="000000" w:fill="F2F2F2"/>
            <w:vAlign w:val="center"/>
            <w:hideMark/>
          </w:tcPr>
          <w:p w14:paraId="79A06D2F"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Peak</w:t>
            </w:r>
          </w:p>
        </w:tc>
      </w:tr>
      <w:tr w:rsidR="004C7A5D" w:rsidRPr="004C7A5D" w14:paraId="1CBF5F21" w14:textId="77777777" w:rsidTr="00067FC9">
        <w:trPr>
          <w:trHeight w:val="672"/>
          <w:jc w:val="center"/>
        </w:trPr>
        <w:tc>
          <w:tcPr>
            <w:tcW w:w="3200" w:type="dxa"/>
            <w:tcBorders>
              <w:top w:val="nil"/>
              <w:left w:val="nil"/>
              <w:bottom w:val="nil"/>
              <w:right w:val="nil"/>
            </w:tcBorders>
            <w:shd w:val="clear" w:color="000000" w:fill="F2F2F2"/>
            <w:vAlign w:val="center"/>
            <w:hideMark/>
          </w:tcPr>
          <w:p w14:paraId="2D44EB68" w14:textId="77777777" w:rsidR="004C7A5D" w:rsidRPr="004C7A5D" w:rsidRDefault="004C7A5D" w:rsidP="004C7A5D">
            <w:pPr>
              <w:spacing w:before="0" w:after="0" w:line="240" w:lineRule="auto"/>
              <w:jc w:val="center"/>
              <w:rPr>
                <w:rFonts w:ascii="Arial" w:eastAsia="Times New Roman" w:hAnsi="Arial" w:cs="Arial"/>
                <w:color w:val="000000"/>
                <w:lang w:eastAsia="zh-CN"/>
              </w:rPr>
            </w:pPr>
            <w:proofErr w:type="spellStart"/>
            <w:r w:rsidRPr="004C7A5D">
              <w:rPr>
                <w:rFonts w:ascii="Arial" w:eastAsia="Times New Roman" w:hAnsi="Arial" w:cs="Arial"/>
                <w:color w:val="000000"/>
                <w:lang w:eastAsia="zh-CN"/>
              </w:rPr>
              <w:t>Everyday</w:t>
            </w:r>
            <w:proofErr w:type="spellEnd"/>
            <w:r w:rsidRPr="004C7A5D">
              <w:rPr>
                <w:rFonts w:ascii="Arial" w:eastAsia="Times New Roman" w:hAnsi="Arial" w:cs="Arial"/>
                <w:color w:val="000000"/>
                <w:lang w:eastAsia="zh-CN"/>
              </w:rPr>
              <w:t xml:space="preserve">: 9 pm – 10 am, </w:t>
            </w:r>
            <w:r w:rsidRPr="004C7A5D">
              <w:rPr>
                <w:rFonts w:ascii="Arial" w:eastAsia="Times New Roman" w:hAnsi="Arial" w:cs="Arial"/>
                <w:color w:val="000000"/>
                <w:lang w:eastAsia="zh-CN"/>
              </w:rPr>
              <w:br/>
              <w:t>2 pm – 4 pm</w:t>
            </w:r>
          </w:p>
        </w:tc>
        <w:tc>
          <w:tcPr>
            <w:tcW w:w="3060" w:type="dxa"/>
            <w:tcBorders>
              <w:top w:val="nil"/>
              <w:left w:val="nil"/>
              <w:bottom w:val="nil"/>
              <w:right w:val="nil"/>
            </w:tcBorders>
            <w:shd w:val="clear" w:color="000000" w:fill="F2F2F2"/>
            <w:vAlign w:val="center"/>
            <w:hideMark/>
          </w:tcPr>
          <w:p w14:paraId="4807BF43" w14:textId="77777777" w:rsidR="004C7A5D" w:rsidRPr="004C7A5D" w:rsidRDefault="004C7A5D" w:rsidP="004C7A5D">
            <w:pPr>
              <w:spacing w:before="0" w:after="0" w:line="240" w:lineRule="auto"/>
              <w:jc w:val="center"/>
              <w:rPr>
                <w:rFonts w:ascii="Arial" w:eastAsia="Times New Roman" w:hAnsi="Arial" w:cs="Arial"/>
                <w:color w:val="000000"/>
                <w:lang w:eastAsia="zh-CN"/>
              </w:rPr>
            </w:pPr>
            <w:proofErr w:type="spellStart"/>
            <w:r w:rsidRPr="004C7A5D">
              <w:rPr>
                <w:rFonts w:ascii="Arial" w:eastAsia="Times New Roman" w:hAnsi="Arial" w:cs="Arial"/>
                <w:color w:val="000000"/>
                <w:lang w:eastAsia="zh-CN"/>
              </w:rPr>
              <w:t>Everyday</w:t>
            </w:r>
            <w:proofErr w:type="spellEnd"/>
            <w:r w:rsidRPr="004C7A5D">
              <w:rPr>
                <w:rFonts w:ascii="Arial" w:eastAsia="Times New Roman" w:hAnsi="Arial" w:cs="Arial"/>
                <w:color w:val="000000"/>
                <w:lang w:eastAsia="zh-CN"/>
              </w:rPr>
              <w:t>: 10 am – 2 pm</w:t>
            </w:r>
          </w:p>
        </w:tc>
        <w:tc>
          <w:tcPr>
            <w:tcW w:w="2580" w:type="dxa"/>
            <w:tcBorders>
              <w:top w:val="nil"/>
              <w:left w:val="nil"/>
              <w:bottom w:val="nil"/>
              <w:right w:val="nil"/>
            </w:tcBorders>
            <w:shd w:val="clear" w:color="000000" w:fill="F2F2F2"/>
            <w:vAlign w:val="center"/>
            <w:hideMark/>
          </w:tcPr>
          <w:p w14:paraId="6C4135F1" w14:textId="77777777" w:rsidR="004C7A5D" w:rsidRPr="004C7A5D" w:rsidRDefault="004C7A5D" w:rsidP="004C7A5D">
            <w:pPr>
              <w:spacing w:before="0" w:after="0" w:line="240" w:lineRule="auto"/>
              <w:jc w:val="center"/>
              <w:rPr>
                <w:rFonts w:ascii="Arial" w:eastAsia="Times New Roman" w:hAnsi="Arial" w:cs="Arial"/>
                <w:color w:val="000000"/>
                <w:lang w:eastAsia="zh-CN"/>
              </w:rPr>
            </w:pPr>
            <w:proofErr w:type="spellStart"/>
            <w:r w:rsidRPr="004C7A5D">
              <w:rPr>
                <w:rFonts w:ascii="Arial" w:eastAsia="Times New Roman" w:hAnsi="Arial" w:cs="Arial"/>
                <w:color w:val="000000"/>
                <w:lang w:eastAsia="zh-CN"/>
              </w:rPr>
              <w:t>Everyday</w:t>
            </w:r>
            <w:proofErr w:type="spellEnd"/>
            <w:r w:rsidRPr="004C7A5D">
              <w:rPr>
                <w:rFonts w:ascii="Arial" w:eastAsia="Times New Roman" w:hAnsi="Arial" w:cs="Arial"/>
                <w:color w:val="000000"/>
                <w:lang w:eastAsia="zh-CN"/>
              </w:rPr>
              <w:t>: 4 pm – 9 pm</w:t>
            </w:r>
          </w:p>
        </w:tc>
      </w:tr>
      <w:tr w:rsidR="004C7A5D" w:rsidRPr="004C7A5D" w14:paraId="097A45DB" w14:textId="77777777" w:rsidTr="00067FC9">
        <w:trPr>
          <w:trHeight w:val="399"/>
          <w:jc w:val="center"/>
        </w:trPr>
        <w:tc>
          <w:tcPr>
            <w:tcW w:w="3200" w:type="dxa"/>
            <w:tcBorders>
              <w:top w:val="single" w:sz="8" w:space="0" w:color="FFFFFF"/>
              <w:left w:val="nil"/>
              <w:bottom w:val="nil"/>
              <w:right w:val="nil"/>
            </w:tcBorders>
            <w:shd w:val="clear" w:color="000000" w:fill="F2F2F2"/>
            <w:vAlign w:val="center"/>
            <w:hideMark/>
          </w:tcPr>
          <w:p w14:paraId="74B14323"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4.1</w:t>
            </w:r>
          </w:p>
        </w:tc>
        <w:tc>
          <w:tcPr>
            <w:tcW w:w="3060" w:type="dxa"/>
            <w:tcBorders>
              <w:top w:val="single" w:sz="8" w:space="0" w:color="FFFFFF"/>
              <w:left w:val="nil"/>
              <w:bottom w:val="nil"/>
              <w:right w:val="nil"/>
            </w:tcBorders>
            <w:shd w:val="clear" w:color="000000" w:fill="F2F2F2"/>
            <w:vAlign w:val="center"/>
            <w:hideMark/>
          </w:tcPr>
          <w:p w14:paraId="4F6980DD"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2.1</w:t>
            </w:r>
          </w:p>
        </w:tc>
        <w:tc>
          <w:tcPr>
            <w:tcW w:w="2580" w:type="dxa"/>
            <w:tcBorders>
              <w:top w:val="single" w:sz="8" w:space="0" w:color="FFFFFF"/>
              <w:left w:val="nil"/>
              <w:bottom w:val="nil"/>
              <w:right w:val="nil"/>
            </w:tcBorders>
            <w:shd w:val="clear" w:color="000000" w:fill="F2F2F2"/>
            <w:vAlign w:val="center"/>
            <w:hideMark/>
          </w:tcPr>
          <w:p w14:paraId="1D816E89" w14:textId="77777777" w:rsidR="004C7A5D" w:rsidRPr="004C7A5D" w:rsidRDefault="004C7A5D" w:rsidP="004C7A5D">
            <w:pPr>
              <w:spacing w:before="0" w:after="0" w:line="240" w:lineRule="auto"/>
              <w:jc w:val="center"/>
              <w:rPr>
                <w:rFonts w:ascii="Arial" w:eastAsia="Times New Roman" w:hAnsi="Arial" w:cs="Arial"/>
                <w:b/>
                <w:bCs/>
                <w:color w:val="000000"/>
                <w:lang w:eastAsia="zh-CN"/>
              </w:rPr>
            </w:pPr>
            <w:r w:rsidRPr="004C7A5D">
              <w:rPr>
                <w:rFonts w:ascii="Arial" w:eastAsia="Times New Roman" w:hAnsi="Arial" w:cs="Arial"/>
                <w:b/>
                <w:bCs/>
                <w:color w:val="000000"/>
                <w:lang w:eastAsia="zh-CN"/>
              </w:rPr>
              <w:t>8.4</w:t>
            </w:r>
          </w:p>
        </w:tc>
      </w:tr>
    </w:tbl>
    <w:p w14:paraId="3BEB23F3" w14:textId="5BF0B4DA" w:rsidR="005E43BB" w:rsidRDefault="00A276ED" w:rsidP="006A2EDE">
      <w:pPr>
        <w:pStyle w:val="Heading2numbered"/>
        <w:ind w:left="0" w:firstLine="0"/>
      </w:pPr>
      <w:bookmarkStart w:id="23" w:name="_Toc159844537"/>
      <w:r>
        <w:t xml:space="preserve">Solar weighted wholesale prices drive changes in the feed-in </w:t>
      </w:r>
      <w:proofErr w:type="gramStart"/>
      <w:r>
        <w:t>tariffs</w:t>
      </w:r>
      <w:bookmarkEnd w:id="23"/>
      <w:proofErr w:type="gramEnd"/>
    </w:p>
    <w:p w14:paraId="652493C8" w14:textId="60B723A0" w:rsidR="00260B5C" w:rsidRDefault="008907B5" w:rsidP="00971C1E">
      <w:r>
        <w:t>To set</w:t>
      </w:r>
      <w:r w:rsidR="00F66E32">
        <w:t xml:space="preserve"> the minimum feed-in tariff we use </w:t>
      </w:r>
      <w:r w:rsidR="00770C75">
        <w:t>a</w:t>
      </w:r>
      <w:r w:rsidR="00F66E32">
        <w:t xml:space="preserve"> solar weighted wholesale electricity price</w:t>
      </w:r>
      <w:r>
        <w:t>. This is</w:t>
      </w:r>
      <w:r w:rsidR="00F66E32">
        <w:t xml:space="preserve"> to </w:t>
      </w:r>
      <w:r w:rsidR="00584B08">
        <w:t xml:space="preserve">reflect </w:t>
      </w:r>
      <w:r w:rsidR="00F66E32">
        <w:t xml:space="preserve">the value of rooftop solar generation in the wholesale </w:t>
      </w:r>
      <w:r w:rsidR="00216751">
        <w:t>N</w:t>
      </w:r>
      <w:r w:rsidR="00F66E32">
        <w:t xml:space="preserve">ational </w:t>
      </w:r>
      <w:r w:rsidR="00216751">
        <w:t>E</w:t>
      </w:r>
      <w:r w:rsidR="00F66E32">
        <w:t xml:space="preserve">lectricity </w:t>
      </w:r>
      <w:r w:rsidR="00216751">
        <w:t>M</w:t>
      </w:r>
      <w:r w:rsidR="00F66E32">
        <w:t xml:space="preserve">arket. </w:t>
      </w:r>
    </w:p>
    <w:p w14:paraId="3D0B1760" w14:textId="746D1F8E" w:rsidR="00807E4A" w:rsidRDefault="00F66E32" w:rsidP="00971C1E">
      <w:r>
        <w:t xml:space="preserve">The solar-weighted wholesale price </w:t>
      </w:r>
      <w:r w:rsidR="00443149">
        <w:t xml:space="preserve">represents </w:t>
      </w:r>
      <w:r>
        <w:t xml:space="preserve">the wholesale prices of electricity at the times when solar customers export power to the grid. Times when the most solar exports </w:t>
      </w:r>
      <w:r w:rsidR="005653F1">
        <w:t xml:space="preserve">occur </w:t>
      </w:r>
      <w:r>
        <w:t xml:space="preserve">have the </w:t>
      </w:r>
      <w:r w:rsidR="00BA6447">
        <w:t>greatest</w:t>
      </w:r>
      <w:r w:rsidR="00BA6447" w:rsidDel="00BA6447">
        <w:t xml:space="preserve"> </w:t>
      </w:r>
      <w:r>
        <w:t xml:space="preserve">weight. </w:t>
      </w:r>
      <w:proofErr w:type="gramStart"/>
      <w:r w:rsidR="00587350">
        <w:t>The majority</w:t>
      </w:r>
      <w:r w:rsidR="00587350" w:rsidDel="00587350">
        <w:t xml:space="preserve"> </w:t>
      </w:r>
      <w:r w:rsidR="00587350">
        <w:t>of</w:t>
      </w:r>
      <w:proofErr w:type="gramEnd"/>
      <w:r w:rsidR="00587350">
        <w:t xml:space="preserve"> </w:t>
      </w:r>
      <w:r>
        <w:t>solar exports take place during the middle of the day.</w:t>
      </w:r>
    </w:p>
    <w:p w14:paraId="063B3930" w14:textId="634A9469" w:rsidR="00971C1E" w:rsidRDefault="00480C0C" w:rsidP="00971C1E">
      <w:r>
        <w:t>Export</w:t>
      </w:r>
      <w:r w:rsidR="00B05227">
        <w:t xml:space="preserve"> </w:t>
      </w:r>
      <w:r w:rsidR="00F66E32">
        <w:t>prices around midday</w:t>
      </w:r>
      <w:r w:rsidR="00C333E4">
        <w:t xml:space="preserve"> theref</w:t>
      </w:r>
      <w:r w:rsidR="001A3AF2">
        <w:t>ore</w:t>
      </w:r>
      <w:r w:rsidR="00F66E32">
        <w:t xml:space="preserve"> receive the greatest weight in determining the minimum feed-in tariffs. </w:t>
      </w:r>
      <w:r w:rsidR="0047759A">
        <w:t xml:space="preserve">Figure S.1 shows the wholesale component as a </w:t>
      </w:r>
      <w:r w:rsidR="00007A8E">
        <w:t>proportion of</w:t>
      </w:r>
      <w:r w:rsidR="00D20165">
        <w:t xml:space="preserve"> </w:t>
      </w:r>
      <w:r w:rsidR="005F5C56">
        <w:t>the flat feed-in tariff</w:t>
      </w:r>
      <w:r w:rsidR="001F36FA">
        <w:t xml:space="preserve"> and how this has changed from </w:t>
      </w:r>
      <w:bookmarkStart w:id="24" w:name="_Hlk157667655"/>
      <w:r w:rsidR="001F36FA" w:rsidRPr="008325AA">
        <w:t>2023–24</w:t>
      </w:r>
      <w:bookmarkEnd w:id="24"/>
      <w:r w:rsidR="00346C6D">
        <w:t xml:space="preserve">. </w:t>
      </w:r>
    </w:p>
    <w:p w14:paraId="30A895F0" w14:textId="0C08F668" w:rsidR="00044844" w:rsidRPr="00971C1E" w:rsidRDefault="00044844" w:rsidP="00835A3F">
      <w:r>
        <w:lastRenderedPageBreak/>
        <w:t>N</w:t>
      </w:r>
      <w:r w:rsidRPr="008325AA">
        <w:t xml:space="preserve">ight-time wholesale electricity </w:t>
      </w:r>
      <w:r>
        <w:t xml:space="preserve">spot </w:t>
      </w:r>
      <w:r w:rsidRPr="008325AA">
        <w:t>prices are higher than daytime prices</w:t>
      </w:r>
      <w:r>
        <w:t xml:space="preserve">. </w:t>
      </w:r>
      <w:r w:rsidR="009A1FFD">
        <w:t>However, t</w:t>
      </w:r>
      <w:r w:rsidR="00FE605B">
        <w:t>he</w:t>
      </w:r>
      <w:r>
        <w:t xml:space="preserve"> night-time solar weighted wholesale electricity prices are </w:t>
      </w:r>
      <w:r w:rsidR="009A1FFD">
        <w:t xml:space="preserve">also </w:t>
      </w:r>
      <w:r w:rsidRPr="008325AA">
        <w:t xml:space="preserve">forecast to </w:t>
      </w:r>
      <w:r w:rsidR="00525872">
        <w:t>decrease</w:t>
      </w:r>
      <w:r w:rsidRPr="008325AA">
        <w:t xml:space="preserve"> in 2024–25. This</w:t>
      </w:r>
      <w:r>
        <w:t xml:space="preserve"> </w:t>
      </w:r>
      <w:r w:rsidR="00A056AE">
        <w:t xml:space="preserve">results in </w:t>
      </w:r>
      <w:r w:rsidRPr="008325AA">
        <w:t xml:space="preserve">our early evening and overnight feed-in tariff rates also being </w:t>
      </w:r>
      <w:r w:rsidR="00525872">
        <w:t>lower</w:t>
      </w:r>
      <w:r w:rsidRPr="008325AA">
        <w:t xml:space="preserve"> than</w:t>
      </w:r>
      <w:r>
        <w:t xml:space="preserve"> their </w:t>
      </w:r>
      <w:r w:rsidR="003259A3" w:rsidRPr="008325AA">
        <w:t>2023–24</w:t>
      </w:r>
      <w:r w:rsidR="003259A3">
        <w:t xml:space="preserve"> </w:t>
      </w:r>
      <w:r>
        <w:t>equivalents</w:t>
      </w:r>
      <w:r w:rsidRPr="008325AA">
        <w:t>.</w:t>
      </w:r>
    </w:p>
    <w:p w14:paraId="25F64F8D" w14:textId="1A96F336" w:rsidR="006A2EDE" w:rsidRDefault="004A3F8B" w:rsidP="00EB4F9E">
      <w:pPr>
        <w:pStyle w:val="Figure-Table-BoxHeading"/>
      </w:pPr>
      <w:r w:rsidRPr="00C0034E">
        <w:t xml:space="preserve">Figure S.1: </w:t>
      </w:r>
      <w:r w:rsidR="0029133C">
        <w:t>Make up</w:t>
      </w:r>
      <w:r w:rsidR="0068533B">
        <w:t xml:space="preserve"> of</w:t>
      </w:r>
      <w:r w:rsidRPr="00C0034E">
        <w:t xml:space="preserve"> flat feed-in tariffs for 2023–24 and 2024–</w:t>
      </w:r>
      <w:proofErr w:type="gramStart"/>
      <w:r w:rsidRPr="00C0034E">
        <w:t>25</w:t>
      </w:r>
      <w:proofErr w:type="gramEnd"/>
    </w:p>
    <w:p w14:paraId="2E924374" w14:textId="3F6C95E3" w:rsidR="00BE1911" w:rsidRDefault="00BE1911" w:rsidP="00C0034E">
      <w:pPr>
        <w:jc w:val="center"/>
      </w:pPr>
      <w:r>
        <w:rPr>
          <w:noProof/>
        </w:rPr>
        <w:drawing>
          <wp:inline distT="0" distB="0" distL="0" distR="0" wp14:anchorId="6440FB30" wp14:editId="227D63DB">
            <wp:extent cx="5383530" cy="3261360"/>
            <wp:effectExtent l="0" t="0" r="7620" b="0"/>
            <wp:docPr id="1254114303" name="Picture 125411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3530" cy="3261360"/>
                    </a:xfrm>
                    <a:prstGeom prst="rect">
                      <a:avLst/>
                    </a:prstGeom>
                    <a:noFill/>
                  </pic:spPr>
                </pic:pic>
              </a:graphicData>
            </a:graphic>
          </wp:inline>
        </w:drawing>
      </w:r>
    </w:p>
    <w:p w14:paraId="4503A3F7" w14:textId="5546DC75" w:rsidR="00584F64" w:rsidRDefault="00584F64" w:rsidP="00584F64">
      <w:pPr>
        <w:pStyle w:val="Heading3"/>
      </w:pPr>
      <w:bookmarkStart w:id="25" w:name="_Toc150869235"/>
      <w:bookmarkStart w:id="26" w:name="_Toc159844538"/>
      <w:r w:rsidRPr="007612BB">
        <w:t xml:space="preserve">Solar weighted wholesale prices are </w:t>
      </w:r>
      <w:bookmarkEnd w:id="25"/>
      <w:proofErr w:type="gramStart"/>
      <w:r w:rsidR="00EF4803" w:rsidRPr="00F40891">
        <w:t>lower</w:t>
      </w:r>
      <w:bookmarkEnd w:id="26"/>
      <w:proofErr w:type="gramEnd"/>
    </w:p>
    <w:p w14:paraId="00D54C0E" w14:textId="53611CF4" w:rsidR="00797B0E" w:rsidRDefault="00797B0E" w:rsidP="00584F64">
      <w:r>
        <w:t>In Victoria, the installed amount of roof-top solar is increasing rapidly. Between 2014–15 and 2022–23 the share of renewable energy used in Victoria increased from 11.6 per cent to 37.8 per cent.</w:t>
      </w:r>
      <w:r>
        <w:rPr>
          <w:rStyle w:val="FootnoteReference"/>
        </w:rPr>
        <w:footnoteReference w:id="9"/>
      </w:r>
      <w:r>
        <w:t xml:space="preserve"> Th</w:t>
      </w:r>
      <w:r w:rsidR="00CE3D60">
        <w:t>e Victorian community has benefited from th</w:t>
      </w:r>
      <w:r>
        <w:t xml:space="preserve">is </w:t>
      </w:r>
      <w:r w:rsidR="00277851">
        <w:t xml:space="preserve">large increase in renewable </w:t>
      </w:r>
      <w:r w:rsidR="000553AC">
        <w:t xml:space="preserve">electricity </w:t>
      </w:r>
      <w:r w:rsidR="00F1347B">
        <w:t>generation</w:t>
      </w:r>
      <w:r w:rsidR="00277851">
        <w:t xml:space="preserve"> </w:t>
      </w:r>
      <w:r w:rsidR="00F1347B">
        <w:t>through lower carbon emissions</w:t>
      </w:r>
      <w:r>
        <w:t xml:space="preserve"> and lower wholesale prices</w:t>
      </w:r>
      <w:r w:rsidR="000E1880">
        <w:t>,</w:t>
      </w:r>
      <w:r>
        <w:t xml:space="preserve"> especially during daylight hours.</w:t>
      </w:r>
    </w:p>
    <w:p w14:paraId="61C0F9DF" w14:textId="4A31E948" w:rsidR="00584F64" w:rsidRDefault="008C53F2" w:rsidP="00584F64">
      <w:r>
        <w:t xml:space="preserve">Because the </w:t>
      </w:r>
      <w:r w:rsidR="000D6820">
        <w:t>number of customers with roof-top s</w:t>
      </w:r>
      <w:r w:rsidR="00584F64">
        <w:t xml:space="preserve">olar </w:t>
      </w:r>
      <w:r w:rsidR="005B5BDA">
        <w:t xml:space="preserve">in Victoria </w:t>
      </w:r>
      <w:r w:rsidR="000D6820">
        <w:t>is</w:t>
      </w:r>
      <w:r w:rsidR="005B5BDA">
        <w:t xml:space="preserve"> increasing</w:t>
      </w:r>
      <w:r w:rsidR="000E1880">
        <w:t xml:space="preserve"> </w:t>
      </w:r>
      <w:r w:rsidR="00821FD9">
        <w:t>and</w:t>
      </w:r>
      <w:r>
        <w:t xml:space="preserve"> d</w:t>
      </w:r>
      <w:r w:rsidR="00584F64">
        <w:t xml:space="preserve">aytime </w:t>
      </w:r>
      <w:r w:rsidR="00D167F5">
        <w:t>elec</w:t>
      </w:r>
      <w:r w:rsidR="00B21643">
        <w:t xml:space="preserve">tricity </w:t>
      </w:r>
      <w:r w:rsidR="00584F64">
        <w:t>demand is falling</w:t>
      </w:r>
      <w:r w:rsidR="00584F64" w:rsidRPr="00405021">
        <w:t xml:space="preserve"> </w:t>
      </w:r>
      <w:r w:rsidR="008C1AA9">
        <w:t>consumers use their solar panels to</w:t>
      </w:r>
      <w:r w:rsidR="00B653E3">
        <w:t xml:space="preserve"> cover </w:t>
      </w:r>
      <w:r w:rsidR="008C1AA9">
        <w:t xml:space="preserve">their </w:t>
      </w:r>
      <w:r w:rsidR="000D7EB7">
        <w:t>daytime</w:t>
      </w:r>
      <w:r w:rsidR="00402854">
        <w:t xml:space="preserve"> </w:t>
      </w:r>
      <w:r w:rsidR="00584F64">
        <w:t>consumption</w:t>
      </w:r>
      <w:r w:rsidR="00902AA9">
        <w:t>. Th</w:t>
      </w:r>
      <w:r w:rsidR="001B6191">
        <w:t>ese solar systems</w:t>
      </w:r>
      <w:r w:rsidR="00902AA9">
        <w:t xml:space="preserve"> also </w:t>
      </w:r>
      <w:r w:rsidR="00884708">
        <w:t>increase</w:t>
      </w:r>
      <w:r w:rsidR="00902AA9">
        <w:t xml:space="preserve"> supply as</w:t>
      </w:r>
      <w:r w:rsidR="00CD2ADD">
        <w:t xml:space="preserve"> </w:t>
      </w:r>
      <w:r w:rsidR="002078B0">
        <w:t>solar customers’</w:t>
      </w:r>
      <w:r w:rsidR="006348D2">
        <w:t xml:space="preserve"> surplus </w:t>
      </w:r>
      <w:r w:rsidR="00584F64">
        <w:t>electricity is</w:t>
      </w:r>
      <w:r w:rsidR="006348D2">
        <w:t xml:space="preserve"> </w:t>
      </w:r>
      <w:r w:rsidR="00584F64">
        <w:t xml:space="preserve">exported to the grid. </w:t>
      </w:r>
    </w:p>
    <w:p w14:paraId="433EBB20" w14:textId="6A363986" w:rsidR="00584F64" w:rsidRDefault="00584F64" w:rsidP="00584F64">
      <w:r>
        <w:t xml:space="preserve">The wholesale spot price, which is set by supply and demand in the </w:t>
      </w:r>
      <w:r w:rsidR="00824A12">
        <w:t>N</w:t>
      </w:r>
      <w:r>
        <w:t xml:space="preserve">ational </w:t>
      </w:r>
      <w:r w:rsidR="00824A12">
        <w:t>E</w:t>
      </w:r>
      <w:r>
        <w:t xml:space="preserve">lectricity </w:t>
      </w:r>
      <w:r w:rsidR="00824A12">
        <w:t>M</w:t>
      </w:r>
      <w:r>
        <w:t>arket, varies according to the time of day</w:t>
      </w:r>
      <w:r w:rsidR="000D6820">
        <w:t>. W</w:t>
      </w:r>
      <w:r>
        <w:t xml:space="preserve">hen </w:t>
      </w:r>
      <w:r w:rsidR="00FE0D39">
        <w:t xml:space="preserve">demand </w:t>
      </w:r>
      <w:r>
        <w:t xml:space="preserve">is low </w:t>
      </w:r>
      <w:r w:rsidR="00AC0B96">
        <w:t>and supply</w:t>
      </w:r>
      <w:r w:rsidR="004603EC" w:rsidRPr="004603EC">
        <w:t xml:space="preserve"> </w:t>
      </w:r>
      <w:r w:rsidR="009F1070">
        <w:t xml:space="preserve">is </w:t>
      </w:r>
      <w:r w:rsidR="004603EC">
        <w:t>high</w:t>
      </w:r>
      <w:r w:rsidR="002863A0">
        <w:t xml:space="preserve"> and increasing</w:t>
      </w:r>
      <w:r>
        <w:t xml:space="preserve">, generators </w:t>
      </w:r>
      <w:r w:rsidR="00137E08">
        <w:t>get</w:t>
      </w:r>
      <w:r>
        <w:t xml:space="preserve"> a lower price for the</w:t>
      </w:r>
      <w:r w:rsidR="004A66B1">
        <w:t xml:space="preserve"> </w:t>
      </w:r>
      <w:r>
        <w:t>electricity</w:t>
      </w:r>
      <w:r w:rsidR="00FF46F4">
        <w:t xml:space="preserve"> they sell</w:t>
      </w:r>
      <w:r w:rsidR="00A63DC0">
        <w:t>.</w:t>
      </w:r>
    </w:p>
    <w:p w14:paraId="712FE6ED" w14:textId="41A2565E" w:rsidR="00C9228F" w:rsidRDefault="00584F64" w:rsidP="00C9228F">
      <w:r w:rsidRPr="0029089B">
        <w:lastRenderedPageBreak/>
        <w:t xml:space="preserve">This has </w:t>
      </w:r>
      <w:r w:rsidR="00C945D1">
        <w:t>driven down</w:t>
      </w:r>
      <w:r w:rsidR="00C945D1" w:rsidRPr="0029089B">
        <w:t xml:space="preserve"> </w:t>
      </w:r>
      <w:r w:rsidRPr="0029089B">
        <w:t xml:space="preserve">the wholesale </w:t>
      </w:r>
      <w:r w:rsidR="00850368" w:rsidRPr="0029089B">
        <w:t xml:space="preserve">electricity </w:t>
      </w:r>
      <w:r w:rsidRPr="0029089B">
        <w:t>spot price during daylight hours</w:t>
      </w:r>
      <w:r w:rsidR="00F1625A">
        <w:t>, the very time</w:t>
      </w:r>
      <w:r w:rsidRPr="0029089B">
        <w:t xml:space="preserve"> when most solar exports take place. </w:t>
      </w:r>
      <w:r w:rsidR="00242A1F">
        <w:t xml:space="preserve">In fact, </w:t>
      </w:r>
      <w:r w:rsidR="003A797E">
        <w:t xml:space="preserve">this has </w:t>
      </w:r>
      <w:r w:rsidR="007428CA">
        <w:t xml:space="preserve">decreased daytime prices so much that </w:t>
      </w:r>
      <w:r w:rsidR="00D65876">
        <w:t>most</w:t>
      </w:r>
      <w:r w:rsidR="00951D5C">
        <w:t xml:space="preserve"> solar export</w:t>
      </w:r>
      <w:r w:rsidR="00D65876">
        <w:t>s</w:t>
      </w:r>
      <w:r w:rsidR="00EA779B">
        <w:t xml:space="preserve"> </w:t>
      </w:r>
      <w:r w:rsidR="00E53EBD">
        <w:t>happen</w:t>
      </w:r>
      <w:r w:rsidR="00D65876">
        <w:t xml:space="preserve"> </w:t>
      </w:r>
      <w:r w:rsidR="001E1CDA">
        <w:t xml:space="preserve">at times </w:t>
      </w:r>
      <w:r w:rsidR="00C31D61">
        <w:t>when wholesale spot prices are</w:t>
      </w:r>
      <w:r w:rsidR="00507E38">
        <w:t xml:space="preserve"> negative. For example, in 2022</w:t>
      </w:r>
      <w:r w:rsidR="000D6A80" w:rsidRPr="008325AA">
        <w:t>–</w:t>
      </w:r>
      <w:r w:rsidR="000D6A80">
        <w:t>23</w:t>
      </w:r>
      <w:r w:rsidR="00507E38">
        <w:t xml:space="preserve">, </w:t>
      </w:r>
      <w:r w:rsidR="00E87933">
        <w:t>5</w:t>
      </w:r>
      <w:r w:rsidR="00DB099B">
        <w:t>3</w:t>
      </w:r>
      <w:r w:rsidR="00507E38">
        <w:t xml:space="preserve"> per cent of rooftop solar exports happened when wholesale prices were negative (See Figure S.</w:t>
      </w:r>
      <w:r w:rsidR="007B1039">
        <w:t>2</w:t>
      </w:r>
      <w:r w:rsidR="00507E38">
        <w:t xml:space="preserve"> below).</w:t>
      </w:r>
      <w:r w:rsidR="00E43725">
        <w:t xml:space="preserve"> </w:t>
      </w:r>
      <w:r w:rsidR="00732334">
        <w:t>These low daytime prices</w:t>
      </w:r>
      <w:r w:rsidR="00E43725">
        <w:t xml:space="preserve"> ha</w:t>
      </w:r>
      <w:r w:rsidR="00732334">
        <w:t>ve</w:t>
      </w:r>
      <w:r w:rsidR="00E43725">
        <w:t xml:space="preserve"> led to significant decreases in solar weighted wholesal</w:t>
      </w:r>
      <w:r w:rsidR="00751A82">
        <w:t>e prices</w:t>
      </w:r>
      <w:r w:rsidR="00732334">
        <w:t>.</w:t>
      </w:r>
      <w:r w:rsidR="00C9228F">
        <w:t xml:space="preserve"> </w:t>
      </w:r>
      <w:r w:rsidR="00C9228F" w:rsidRPr="0029089B">
        <w:t xml:space="preserve">As the solar weighted wholesale price is a major component of the feed-in tariff, this drop is reflected </w:t>
      </w:r>
      <w:r w:rsidR="00C9228F">
        <w:t>in falling</w:t>
      </w:r>
      <w:r w:rsidR="00C9228F" w:rsidRPr="0029089B">
        <w:t xml:space="preserve"> feed-in tariffs</w:t>
      </w:r>
      <w:r w:rsidR="00C9228F">
        <w:t xml:space="preserve">. </w:t>
      </w:r>
    </w:p>
    <w:p w14:paraId="7E77FE44" w14:textId="1DDF2262" w:rsidR="007B1039" w:rsidRDefault="007B1039" w:rsidP="007B1039">
      <w:pPr>
        <w:pStyle w:val="Figure-Table-BoxHeading"/>
        <w:keepNext/>
      </w:pPr>
      <w:r w:rsidRPr="00870A81">
        <w:t xml:space="preserve">Figure S.2: </w:t>
      </w:r>
      <w:r w:rsidR="008A7BAF" w:rsidRPr="008A7BAF">
        <w:t xml:space="preserve">Share of solar exports </w:t>
      </w:r>
      <w:r w:rsidR="00BC4BDB" w:rsidRPr="008A7BAF">
        <w:t>occurring</w:t>
      </w:r>
      <w:r w:rsidR="008A7BAF" w:rsidRPr="008A7BAF">
        <w:t xml:space="preserve"> when wholesale prices are </w:t>
      </w:r>
      <w:proofErr w:type="gramStart"/>
      <w:r w:rsidR="008A7BAF" w:rsidRPr="008A7BAF">
        <w:t>negative</w:t>
      </w:r>
      <w:proofErr w:type="gramEnd"/>
    </w:p>
    <w:p w14:paraId="515D2871" w14:textId="5650629D" w:rsidR="00E47F82" w:rsidRPr="00C31D61" w:rsidRDefault="008E4B37" w:rsidP="00C31D61">
      <w:pPr>
        <w:jc w:val="center"/>
        <w:rPr>
          <w:lang w:val="en-US"/>
        </w:rPr>
      </w:pPr>
      <w:r>
        <w:rPr>
          <w:noProof/>
          <w:lang w:val="en-US"/>
        </w:rPr>
        <w:drawing>
          <wp:inline distT="0" distB="0" distL="0" distR="0" wp14:anchorId="22CF03D2" wp14:editId="247FCFB7">
            <wp:extent cx="4572635" cy="2743200"/>
            <wp:effectExtent l="0" t="0" r="0" b="0"/>
            <wp:docPr id="1359876300" name="Picture 135987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2F9D732E" w14:textId="4E09D3A0" w:rsidR="00584F64" w:rsidRDefault="00F906B9" w:rsidP="00584F64">
      <w:r>
        <w:t xml:space="preserve">While </w:t>
      </w:r>
      <w:r w:rsidR="0067201E">
        <w:t>daytime electricity demand is low</w:t>
      </w:r>
      <w:r w:rsidR="00A57615">
        <w:t>,</w:t>
      </w:r>
      <w:r w:rsidR="00584F64">
        <w:t xml:space="preserve"> in the evenings (as people are returning home and solar exports </w:t>
      </w:r>
      <w:r w:rsidR="005C78B5">
        <w:t>go down with the sun</w:t>
      </w:r>
      <w:r w:rsidR="00584F64">
        <w:t xml:space="preserve">) there is an increase in electricity demand and the wholesale spot price increases. This is why the peak, early evening, </w:t>
      </w:r>
      <w:proofErr w:type="gramStart"/>
      <w:r w:rsidR="00584F64">
        <w:t>shoulder</w:t>
      </w:r>
      <w:proofErr w:type="gramEnd"/>
      <w:r w:rsidR="00584F64">
        <w:t xml:space="preserve"> and overnight time varying feed-in tariff </w:t>
      </w:r>
      <w:r w:rsidR="001C01D1">
        <w:t xml:space="preserve">rates </w:t>
      </w:r>
      <w:r w:rsidR="00584F64">
        <w:t>are higher than the</w:t>
      </w:r>
      <w:r w:rsidR="008D2571">
        <w:t xml:space="preserve"> rates for</w:t>
      </w:r>
      <w:r w:rsidR="00584F64">
        <w:t xml:space="preserve"> daytime </w:t>
      </w:r>
      <w:r w:rsidR="008D2571">
        <w:t xml:space="preserve">tariff </w:t>
      </w:r>
      <w:r w:rsidR="00584F64">
        <w:t>periods.</w:t>
      </w:r>
      <w:r w:rsidR="00D8458F">
        <w:rPr>
          <w:rStyle w:val="FootnoteReference"/>
        </w:rPr>
        <w:footnoteReference w:id="10"/>
      </w:r>
      <w:r w:rsidR="00584F64">
        <w:t xml:space="preserve"> </w:t>
      </w:r>
    </w:p>
    <w:p w14:paraId="29E08D3C" w14:textId="4410E151" w:rsidR="00584F64" w:rsidRPr="009D2631" w:rsidRDefault="007C371B" w:rsidP="007C371B">
      <w:pPr>
        <w:rPr>
          <w:highlight w:val="yellow"/>
        </w:rPr>
      </w:pPr>
      <w:r w:rsidRPr="004F3BB1">
        <w:t>Figure S.</w:t>
      </w:r>
      <w:r w:rsidR="005B096E">
        <w:t xml:space="preserve">3 </w:t>
      </w:r>
      <w:r w:rsidRPr="004F3BB1">
        <w:t xml:space="preserve">shows the relationship between solar weighted wholesale </w:t>
      </w:r>
      <w:r w:rsidR="00BF5636">
        <w:t xml:space="preserve">electricity </w:t>
      </w:r>
      <w:r w:rsidRPr="004F3BB1">
        <w:t xml:space="preserve">prices and total solar exports. </w:t>
      </w:r>
      <w:r w:rsidR="00584F64" w:rsidRPr="005709F7">
        <w:t>Frontier Economics’ report on wholesale electricity prices contains further details.</w:t>
      </w:r>
      <w:r w:rsidR="00584F64" w:rsidRPr="00884708">
        <w:rPr>
          <w:rStyle w:val="FootnoteReference"/>
        </w:rPr>
        <w:footnoteReference w:id="11"/>
      </w:r>
    </w:p>
    <w:p w14:paraId="2697112A" w14:textId="4F22E7A8" w:rsidR="00584F64" w:rsidRDefault="00584F64" w:rsidP="00004129">
      <w:pPr>
        <w:pStyle w:val="Figure-Table-BoxHeading"/>
        <w:keepNext/>
      </w:pPr>
      <w:r w:rsidRPr="00870A81">
        <w:lastRenderedPageBreak/>
        <w:t>Figure S.</w:t>
      </w:r>
      <w:r w:rsidR="005B096E">
        <w:t>3</w:t>
      </w:r>
      <w:r w:rsidRPr="00870A81">
        <w:t xml:space="preserve">: Average </w:t>
      </w:r>
      <w:r w:rsidR="006A6930" w:rsidRPr="00870A81">
        <w:t xml:space="preserve">actual </w:t>
      </w:r>
      <w:r w:rsidRPr="00870A81">
        <w:t>solar weighted prices and solar exports across the day</w:t>
      </w:r>
    </w:p>
    <w:p w14:paraId="2CFA0038" w14:textId="5DB45F73" w:rsidR="004F04EB" w:rsidRDefault="00991062" w:rsidP="00004129">
      <w:pPr>
        <w:pStyle w:val="Figure-Table-BoxHeading"/>
        <w:keepNext/>
      </w:pPr>
      <w:r>
        <w:rPr>
          <w:noProof/>
        </w:rPr>
        <w:drawing>
          <wp:inline distT="0" distB="0" distL="0" distR="0" wp14:anchorId="65797EFF" wp14:editId="57F0BAE5">
            <wp:extent cx="6120130" cy="3985895"/>
            <wp:effectExtent l="0" t="0" r="0" b="0"/>
            <wp:docPr id="3" name="Picture 3">
              <a:extLst xmlns:a="http://schemas.openxmlformats.org/drawingml/2006/main">
                <a:ext uri="{FF2B5EF4-FFF2-40B4-BE49-F238E27FC236}">
                  <a16:creationId xmlns:a16="http://schemas.microsoft.com/office/drawing/2014/main" id="{204B5B64-D19D-93AD-8597-6DAFBB3792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04B5B64-D19D-93AD-8597-6DAFBB3792DF}"/>
                        </a:ext>
                      </a:extLst>
                    </pic:cNvPr>
                    <pic:cNvPicPr>
                      <a:picLocks noChangeAspect="1"/>
                    </pic:cNvPicPr>
                  </pic:nvPicPr>
                  <pic:blipFill>
                    <a:blip r:embed="rId20"/>
                    <a:stretch>
                      <a:fillRect/>
                    </a:stretch>
                  </pic:blipFill>
                  <pic:spPr>
                    <a:xfrm>
                      <a:off x="0" y="0"/>
                      <a:ext cx="6120130" cy="3985895"/>
                    </a:xfrm>
                    <a:prstGeom prst="rect">
                      <a:avLst/>
                    </a:prstGeom>
                  </pic:spPr>
                </pic:pic>
              </a:graphicData>
            </a:graphic>
          </wp:inline>
        </w:drawing>
      </w:r>
    </w:p>
    <w:p w14:paraId="6A83A2EA" w14:textId="473DA85A" w:rsidR="00E87319" w:rsidRPr="002B4959" w:rsidRDefault="00E87319" w:rsidP="002B4959">
      <w:pPr>
        <w:pStyle w:val="Source"/>
        <w:rPr>
          <w:lang w:val="en-US"/>
        </w:rPr>
      </w:pPr>
      <w:r w:rsidRPr="0015275C">
        <w:rPr>
          <w:lang w:val="en-US"/>
        </w:rPr>
        <w:t>Source: AEMO; Victorian distribution businesses</w:t>
      </w:r>
      <w:r>
        <w:rPr>
          <w:lang w:val="en-US"/>
        </w:rPr>
        <w:t>; ESC analysis</w:t>
      </w:r>
    </w:p>
    <w:p w14:paraId="274841B5" w14:textId="4BDC9FD1" w:rsidR="004F20B3" w:rsidRDefault="00AC7FEF" w:rsidP="004F20B3">
      <w:bookmarkStart w:id="27" w:name="_Toc143691737"/>
      <w:bookmarkStart w:id="28" w:name="_Toc150869236"/>
      <w:bookmarkStart w:id="29" w:name="_Toc480988882"/>
      <w:bookmarkStart w:id="30" w:name="_Toc481138193"/>
      <w:bookmarkStart w:id="31" w:name="_Toc481138401"/>
      <w:r>
        <w:t>M</w:t>
      </w:r>
      <w:r w:rsidR="004F20B3">
        <w:t xml:space="preserve">inimum feed-in tariff rates </w:t>
      </w:r>
      <w:r>
        <w:t xml:space="preserve">across the board </w:t>
      </w:r>
      <w:r w:rsidR="004F20B3">
        <w:t xml:space="preserve">will be lower in 2024–25 than </w:t>
      </w:r>
      <w:r>
        <w:t xml:space="preserve">in </w:t>
      </w:r>
      <w:r w:rsidR="004F20B3">
        <w:t xml:space="preserve">2023–24. This is because solar weighted wholesale </w:t>
      </w:r>
      <w:r w:rsidR="003A2C7D">
        <w:t xml:space="preserve">electricity </w:t>
      </w:r>
      <w:r w:rsidR="004F20B3">
        <w:t xml:space="preserve">prices are forecast to be lower for all parts of the day in </w:t>
      </w:r>
      <w:r w:rsidR="004F20B3" w:rsidRPr="008325AA">
        <w:t>2024–25</w:t>
      </w:r>
      <w:r w:rsidR="004F20B3">
        <w:t xml:space="preserve"> than </w:t>
      </w:r>
      <w:r w:rsidR="0073069C">
        <w:t xml:space="preserve">corresponding </w:t>
      </w:r>
      <w:r w:rsidR="004F20B3">
        <w:t xml:space="preserve">prices </w:t>
      </w:r>
      <w:r w:rsidR="007A02DF">
        <w:t>in</w:t>
      </w:r>
      <w:r w:rsidR="0073069C">
        <w:t xml:space="preserve"> </w:t>
      </w:r>
      <w:r w:rsidR="004F20B3">
        <w:t xml:space="preserve">2023–24. This reflects market expectations that wholesale spot prices will be lower on average for all parts of the day in the next financial year. </w:t>
      </w:r>
    </w:p>
    <w:p w14:paraId="1A0D7C5F" w14:textId="7C69A97F" w:rsidR="004F20B3" w:rsidRDefault="004F20B3" w:rsidP="004F20B3">
      <w:r>
        <w:t xml:space="preserve">We have updated our solar weighted wholesale </w:t>
      </w:r>
      <w:r w:rsidR="003A2C7D">
        <w:t xml:space="preserve">electricity </w:t>
      </w:r>
      <w:r>
        <w:t>price forecasts</w:t>
      </w:r>
      <w:r w:rsidR="00912595">
        <w:t xml:space="preserve">, as </w:t>
      </w:r>
      <w:r w:rsidR="007D7B3D">
        <w:t>foreshadowed</w:t>
      </w:r>
      <w:r w:rsidR="00C86DE0">
        <w:t xml:space="preserve"> in </w:t>
      </w:r>
      <w:r w:rsidR="00912595">
        <w:t>our</w:t>
      </w:r>
      <w:r>
        <w:t xml:space="preserve"> </w:t>
      </w:r>
      <w:r w:rsidR="00912595">
        <w:t>draft decision</w:t>
      </w:r>
      <w:r>
        <w:t xml:space="preserve">. This </w:t>
      </w:r>
      <w:r w:rsidR="00354F52">
        <w:t xml:space="preserve">has </w:t>
      </w:r>
      <w:r>
        <w:t>led to</w:t>
      </w:r>
      <w:r w:rsidDel="001E5E6D">
        <w:t xml:space="preserve"> </w:t>
      </w:r>
      <w:r w:rsidR="00322662">
        <w:t xml:space="preserve">some of the </w:t>
      </w:r>
      <w:r>
        <w:t>minimum feed-in tariffs</w:t>
      </w:r>
      <w:r w:rsidR="004E022C">
        <w:t xml:space="preserve"> </w:t>
      </w:r>
      <w:r w:rsidR="006C2EE5">
        <w:t xml:space="preserve">rates for the time varying feed-in tariffs </w:t>
      </w:r>
      <w:r w:rsidR="00BE2CAF">
        <w:t xml:space="preserve">decreasing slightly </w:t>
      </w:r>
      <w:r w:rsidR="004E022C">
        <w:t xml:space="preserve">from </w:t>
      </w:r>
      <w:r w:rsidR="00BE2CAF">
        <w:t xml:space="preserve">what they were in </w:t>
      </w:r>
      <w:r w:rsidR="004E022C">
        <w:t>the draft decision</w:t>
      </w:r>
      <w:r>
        <w:t xml:space="preserve">. </w:t>
      </w:r>
    </w:p>
    <w:p w14:paraId="3D37DD98" w14:textId="08B41833" w:rsidR="007A0D1D" w:rsidRDefault="007A0D1D" w:rsidP="007A0D1D">
      <w:pPr>
        <w:pStyle w:val="Heading2"/>
      </w:pPr>
      <w:bookmarkStart w:id="32" w:name="_Toc159844539"/>
      <w:r>
        <w:t xml:space="preserve">Electricity generators and retailers have different </w:t>
      </w:r>
      <w:proofErr w:type="gramStart"/>
      <w:r>
        <w:t>costs</w:t>
      </w:r>
      <w:bookmarkEnd w:id="27"/>
      <w:bookmarkEnd w:id="28"/>
      <w:bookmarkEnd w:id="32"/>
      <w:proofErr w:type="gramEnd"/>
    </w:p>
    <w:p w14:paraId="233CF36D" w14:textId="77777777" w:rsidR="007A0D1D" w:rsidRDefault="007A0D1D" w:rsidP="007A0D1D">
      <w:r>
        <w:t xml:space="preserve">Solar customers are electricity generators. They are not electricity retailers. </w:t>
      </w:r>
    </w:p>
    <w:p w14:paraId="745362F4" w14:textId="758BAC52" w:rsidR="007A0D1D" w:rsidRDefault="007A0D1D" w:rsidP="007A0D1D">
      <w:r>
        <w:t xml:space="preserve">Retailers must </w:t>
      </w:r>
      <w:r w:rsidR="00C32080">
        <w:t xml:space="preserve">buy </w:t>
      </w:r>
      <w:r>
        <w:t xml:space="preserve">enough </w:t>
      </w:r>
      <w:r w:rsidR="00247A8A">
        <w:t xml:space="preserve">wholesale </w:t>
      </w:r>
      <w:r w:rsidR="0008414C">
        <w:t>electricity</w:t>
      </w:r>
      <w:r>
        <w:t xml:space="preserve"> to cover</w:t>
      </w:r>
      <w:r w:rsidR="007751E8">
        <w:t xml:space="preserve"> </w:t>
      </w:r>
      <w:r>
        <w:t xml:space="preserve">their customers’ electricity </w:t>
      </w:r>
      <w:r w:rsidR="0048578F">
        <w:t>usage</w:t>
      </w:r>
      <w:r>
        <w:t xml:space="preserve"> across the </w:t>
      </w:r>
      <w:r w:rsidR="002A2EE7">
        <w:t>entire</w:t>
      </w:r>
      <w:r w:rsidR="009724C5">
        <w:t xml:space="preserve"> 24 hours</w:t>
      </w:r>
      <w:r w:rsidR="00703ACB">
        <w:t xml:space="preserve"> of the </w:t>
      </w:r>
      <w:r>
        <w:t xml:space="preserve">day. </w:t>
      </w:r>
      <w:r w:rsidR="0048578F">
        <w:t>While they buy</w:t>
      </w:r>
      <w:r>
        <w:t xml:space="preserve"> electricity </w:t>
      </w:r>
      <w:r w:rsidR="00525CA9">
        <w:t xml:space="preserve">during the day when demand </w:t>
      </w:r>
      <w:r w:rsidR="004A3E10">
        <w:t>and wholesale prices are</w:t>
      </w:r>
      <w:r w:rsidR="00525CA9">
        <w:t xml:space="preserve"> low</w:t>
      </w:r>
      <w:r w:rsidR="004A3E10">
        <w:t>,</w:t>
      </w:r>
      <w:r w:rsidR="00525CA9">
        <w:t xml:space="preserve"> </w:t>
      </w:r>
      <w:r w:rsidR="004A3E10">
        <w:t xml:space="preserve">they must </w:t>
      </w:r>
      <w:r w:rsidR="00484B3D">
        <w:t xml:space="preserve">also </w:t>
      </w:r>
      <w:r w:rsidR="00247A8A">
        <w:t xml:space="preserve">buy </w:t>
      </w:r>
      <w:r w:rsidR="00484B3D">
        <w:t>it</w:t>
      </w:r>
      <w:r>
        <w:t xml:space="preserve"> at night</w:t>
      </w:r>
      <w:r w:rsidR="00247A8A">
        <w:t xml:space="preserve"> when demand and prices are high</w:t>
      </w:r>
      <w:r>
        <w:t xml:space="preserve">. </w:t>
      </w:r>
    </w:p>
    <w:p w14:paraId="3E0819FC" w14:textId="2480466E" w:rsidR="007A0D1D" w:rsidRDefault="007A0D1D" w:rsidP="007A0D1D">
      <w:r>
        <w:t xml:space="preserve">Despite </w:t>
      </w:r>
      <w:r w:rsidR="00AA4937">
        <w:t>changes</w:t>
      </w:r>
      <w:r>
        <w:t xml:space="preserve"> in the wholesale spot price, retailers generally charge</w:t>
      </w:r>
      <w:r w:rsidDel="52C955D3">
        <w:t xml:space="preserve"> </w:t>
      </w:r>
      <w:r>
        <w:t xml:space="preserve">their </w:t>
      </w:r>
      <w:r w:rsidDel="52C955D3">
        <w:t>customers</w:t>
      </w:r>
      <w:r w:rsidR="00ED3A9C">
        <w:t xml:space="preserve"> </w:t>
      </w:r>
      <w:r w:rsidR="0012238B">
        <w:t>relatively</w:t>
      </w:r>
      <w:r w:rsidR="00ED3A9C">
        <w:t xml:space="preserve"> fixed</w:t>
      </w:r>
      <w:r w:rsidR="00AC66E6">
        <w:t xml:space="preserve"> </w:t>
      </w:r>
      <w:r>
        <w:t>price</w:t>
      </w:r>
      <w:r w:rsidR="0012238B">
        <w:t>s</w:t>
      </w:r>
      <w:r>
        <w:t xml:space="preserve"> across the day, regardless of the wholesale spot price at the time. By </w:t>
      </w:r>
      <w:r w:rsidR="00DA1200">
        <w:t>doing so</w:t>
      </w:r>
      <w:r>
        <w:t xml:space="preserve">, retailers shield their customers from </w:t>
      </w:r>
      <w:r w:rsidR="0082593F">
        <w:t xml:space="preserve">wholesale market price </w:t>
      </w:r>
      <w:r>
        <w:t>volatility.</w:t>
      </w:r>
    </w:p>
    <w:p w14:paraId="552A56CF" w14:textId="501B440B" w:rsidR="007A0D1D" w:rsidRDefault="007A0D1D" w:rsidP="007A0D1D">
      <w:r>
        <w:lastRenderedPageBreak/>
        <w:t xml:space="preserve">Along with </w:t>
      </w:r>
      <w:r w:rsidR="000F1414">
        <w:t>buying</w:t>
      </w:r>
      <w:r>
        <w:t xml:space="preserve"> electricity from the wholesale market</w:t>
      </w:r>
      <w:r w:rsidR="000F1414">
        <w:t xml:space="preserve">, </w:t>
      </w:r>
      <w:r>
        <w:t xml:space="preserve">retailers also incur extra </w:t>
      </w:r>
      <w:r w:rsidR="001210EE">
        <w:t xml:space="preserve">operating </w:t>
      </w:r>
      <w:r>
        <w:t>costs</w:t>
      </w:r>
      <w:r w:rsidR="009B6726">
        <w:t xml:space="preserve"> such as:</w:t>
      </w:r>
      <w:r>
        <w:t xml:space="preserve"> </w:t>
      </w:r>
    </w:p>
    <w:p w14:paraId="545127FA" w14:textId="23D0BA5D" w:rsidR="007A0D1D" w:rsidRDefault="007A0D1D" w:rsidP="007A0D1D">
      <w:pPr>
        <w:pStyle w:val="ListBullet"/>
      </w:pPr>
      <w:r>
        <w:t xml:space="preserve">hedging </w:t>
      </w:r>
      <w:r w:rsidR="00277A5F">
        <w:t>wholesale price</w:t>
      </w:r>
      <w:r>
        <w:t xml:space="preserve"> risks </w:t>
      </w:r>
    </w:p>
    <w:p w14:paraId="4877876C" w14:textId="77777777" w:rsidR="007A0D1D" w:rsidRDefault="007A0D1D" w:rsidP="007A0D1D">
      <w:pPr>
        <w:pStyle w:val="ListBullet"/>
      </w:pPr>
      <w:r>
        <w:t xml:space="preserve">transporting electricity </w:t>
      </w:r>
    </w:p>
    <w:p w14:paraId="2C931FC4" w14:textId="77777777" w:rsidR="007A0D1D" w:rsidRDefault="007A0D1D" w:rsidP="007A0D1D">
      <w:pPr>
        <w:pStyle w:val="ListBullet"/>
      </w:pPr>
      <w:r>
        <w:t xml:space="preserve">environmental obligations </w:t>
      </w:r>
    </w:p>
    <w:p w14:paraId="23365A67" w14:textId="30E3A9C5" w:rsidR="007A0D1D" w:rsidRDefault="007A0D1D" w:rsidP="007A0D1D">
      <w:pPr>
        <w:pStyle w:val="ListBullet"/>
      </w:pPr>
      <w:r>
        <w:t xml:space="preserve">regulatory </w:t>
      </w:r>
      <w:r w:rsidR="00865B17">
        <w:t>requirements</w:t>
      </w:r>
      <w:r w:rsidR="00865B17" w:rsidDel="00865B17">
        <w:t xml:space="preserve"> </w:t>
      </w:r>
    </w:p>
    <w:p w14:paraId="7736DDBB" w14:textId="77777777" w:rsidR="007A0D1D" w:rsidRDefault="007A0D1D" w:rsidP="007A0D1D">
      <w:pPr>
        <w:pStyle w:val="ListBullet"/>
      </w:pPr>
      <w:r>
        <w:t xml:space="preserve">corporate overheads. </w:t>
      </w:r>
    </w:p>
    <w:p w14:paraId="77ED3915" w14:textId="47377EB5" w:rsidR="00C218FE" w:rsidRDefault="007A0D1D" w:rsidP="007A0D1D">
      <w:r>
        <w:t xml:space="preserve">Solar customers </w:t>
      </w:r>
      <w:r w:rsidDel="00924153">
        <w:t xml:space="preserve">do not </w:t>
      </w:r>
      <w:r w:rsidR="00BB5A32">
        <w:t>face</w:t>
      </w:r>
      <w:r w:rsidR="00924153">
        <w:t xml:space="preserve"> these </w:t>
      </w:r>
      <w:r w:rsidR="00883FCE">
        <w:t>additional</w:t>
      </w:r>
      <w:r w:rsidR="00C010F7">
        <w:t xml:space="preserve"> </w:t>
      </w:r>
      <w:r>
        <w:t xml:space="preserve">costs. The extra </w:t>
      </w:r>
      <w:r w:rsidR="00883FCE">
        <w:t xml:space="preserve">operational </w:t>
      </w:r>
      <w:r>
        <w:t xml:space="preserve">costs retailers </w:t>
      </w:r>
      <w:r w:rsidR="00D66EF6">
        <w:t xml:space="preserve">bear </w:t>
      </w:r>
      <w:r>
        <w:t xml:space="preserve">mean that </w:t>
      </w:r>
      <w:r w:rsidR="00B2487B">
        <w:t xml:space="preserve">retail electricity </w:t>
      </w:r>
      <w:r w:rsidR="00883FCE">
        <w:t xml:space="preserve">tariffs will always exceed </w:t>
      </w:r>
      <w:r>
        <w:t>the minimum feed-in tariffs.</w:t>
      </w:r>
    </w:p>
    <w:p w14:paraId="0EE5579B" w14:textId="2D0C9B55" w:rsidR="007A0D1D" w:rsidRDefault="00C4775E" w:rsidP="007A0D1D">
      <w:r>
        <w:t xml:space="preserve">To set feed-in tariffs that match retail </w:t>
      </w:r>
      <w:r w:rsidR="00065B4F">
        <w:t xml:space="preserve">market </w:t>
      </w:r>
      <w:r>
        <w:t>offers</w:t>
      </w:r>
      <w:r w:rsidR="00BB52CA">
        <w:t xml:space="preserve"> would mean solar customer</w:t>
      </w:r>
      <w:r w:rsidR="00DA5577">
        <w:t xml:space="preserve">s </w:t>
      </w:r>
      <w:r w:rsidR="00A21DBF">
        <w:t>are</w:t>
      </w:r>
      <w:r w:rsidR="00DA5577">
        <w:t xml:space="preserve"> paid for services they do not provide</w:t>
      </w:r>
      <w:r w:rsidR="00BB52CA">
        <w:t>.</w:t>
      </w:r>
      <w:r>
        <w:t xml:space="preserve"> </w:t>
      </w:r>
      <w:r w:rsidR="000B16EB">
        <w:t xml:space="preserve">It would not be appropriate to </w:t>
      </w:r>
      <w:r w:rsidR="00E501AC">
        <w:t>pay</w:t>
      </w:r>
      <w:r w:rsidR="000B16EB">
        <w:t xml:space="preserve"> solar customers for value they do not provide when exporting electricity to the grid.</w:t>
      </w:r>
      <w:r w:rsidR="002148A9">
        <w:t xml:space="preserve"> Non-solar customers would have to make up this difference through even higher </w:t>
      </w:r>
      <w:r w:rsidR="007862D5">
        <w:t>retail prices</w:t>
      </w:r>
      <w:r w:rsidR="002148A9">
        <w:t>.</w:t>
      </w:r>
    </w:p>
    <w:p w14:paraId="4265AFD4" w14:textId="77777777" w:rsidR="00FA4C57" w:rsidRDefault="00FA4C57" w:rsidP="00FA4C57">
      <w:pPr>
        <w:pStyle w:val="Pull-outHeading"/>
      </w:pPr>
      <w:bookmarkStart w:id="33" w:name="_Toc156921344"/>
      <w:bookmarkStart w:id="34" w:name="_Toc150869237"/>
      <w:r>
        <w:t xml:space="preserve">Solar power avoids retail electricity </w:t>
      </w:r>
      <w:proofErr w:type="gramStart"/>
      <w:r>
        <w:t>prices</w:t>
      </w:r>
      <w:bookmarkEnd w:id="33"/>
      <w:proofErr w:type="gramEnd"/>
    </w:p>
    <w:p w14:paraId="08BFE2DF" w14:textId="32A4D6CC" w:rsidR="00412F68" w:rsidRPr="007862D5" w:rsidRDefault="006E12E3" w:rsidP="00FA4C57">
      <w:pPr>
        <w:pStyle w:val="Pull-out"/>
      </w:pPr>
      <w:r w:rsidRPr="007862D5">
        <w:t>While each customer’s consumption profile is different</w:t>
      </w:r>
      <w:r w:rsidR="003431E2" w:rsidRPr="007862D5">
        <w:t>, generally, s</w:t>
      </w:r>
      <w:r w:rsidR="00FA4C57" w:rsidRPr="007862D5">
        <w:t xml:space="preserve">olar customers receive greater savings when they use the electricity they generate. </w:t>
      </w:r>
      <w:r w:rsidR="00412F68" w:rsidRPr="007862D5">
        <w:t xml:space="preserve">When solar customers use the energy </w:t>
      </w:r>
      <w:r w:rsidR="00692CDF" w:rsidRPr="007862D5">
        <w:t xml:space="preserve">their systems produce, they avoid paying retail tariffs. </w:t>
      </w:r>
    </w:p>
    <w:p w14:paraId="521737FF" w14:textId="10CD26C6" w:rsidR="00FA4C57" w:rsidRDefault="00E86FFA" w:rsidP="00FA4C57">
      <w:pPr>
        <w:pStyle w:val="Pull-out"/>
      </w:pPr>
      <w:r w:rsidRPr="007862D5">
        <w:t xml:space="preserve">These savings can be </w:t>
      </w:r>
      <w:r w:rsidR="00A60E44" w:rsidRPr="007862D5">
        <w:t>hard to</w:t>
      </w:r>
      <w:r w:rsidRPr="007862D5">
        <w:t xml:space="preserve"> see </w:t>
      </w:r>
      <w:r w:rsidR="00A60E44" w:rsidRPr="007862D5">
        <w:t xml:space="preserve">as </w:t>
      </w:r>
      <w:r w:rsidR="00FA4C57" w:rsidRPr="007862D5">
        <w:t>bill</w:t>
      </w:r>
      <w:r w:rsidR="00576B3C">
        <w:t>s</w:t>
      </w:r>
      <w:r w:rsidR="00FA4C57" w:rsidRPr="007862D5">
        <w:t xml:space="preserve"> do not </w:t>
      </w:r>
      <w:r w:rsidR="00A60E44" w:rsidRPr="007862D5">
        <w:t>show</w:t>
      </w:r>
      <w:r w:rsidR="00FA4C57" w:rsidRPr="007862D5">
        <w:t xml:space="preserve"> how much power you</w:t>
      </w:r>
      <w:r w:rsidR="00D8723D" w:rsidRPr="007862D5">
        <w:t xml:space="preserve"> have used from your system</w:t>
      </w:r>
      <w:r w:rsidR="00A60E44" w:rsidRPr="007862D5">
        <w:t>. Therefore</w:t>
      </w:r>
      <w:r w:rsidR="00D8723D" w:rsidRPr="007862D5">
        <w:t>,</w:t>
      </w:r>
      <w:r w:rsidR="00A60E44" w:rsidRPr="007862D5">
        <w:t xml:space="preserve"> </w:t>
      </w:r>
      <w:r w:rsidR="00FA4C57" w:rsidRPr="007862D5">
        <w:t>the savings from your solar panels may not be obvious from your bill.</w:t>
      </w:r>
    </w:p>
    <w:p w14:paraId="5FCC25A0" w14:textId="08288731" w:rsidR="00FA4C57" w:rsidRDefault="00FA4C57" w:rsidP="00FA4C57">
      <w:pPr>
        <w:pStyle w:val="Pull-out"/>
      </w:pPr>
      <w:r>
        <w:t xml:space="preserve">The payback period on your solar system should </w:t>
      </w:r>
      <w:r w:rsidR="003255D6">
        <w:t>account for</w:t>
      </w:r>
      <w:r>
        <w:t xml:space="preserve"> these avoided retail costs. Most customers will save more by using what they produce than they would from the feed-in tariffs.</w:t>
      </w:r>
    </w:p>
    <w:p w14:paraId="35CC4BDC" w14:textId="52CB8076" w:rsidR="00FA4C57" w:rsidRDefault="00FA4C57" w:rsidP="00FA4C57">
      <w:pPr>
        <w:pStyle w:val="Pull-out"/>
      </w:pPr>
      <w:r>
        <w:t>To maximise the return on</w:t>
      </w:r>
      <w:r w:rsidDel="0047775E">
        <w:t xml:space="preserve"> </w:t>
      </w:r>
      <w:r>
        <w:t xml:space="preserve">investment for solar panels, in most cases it is best to install a system that roughly matches your daytime electricity requirements and not </w:t>
      </w:r>
      <w:r w:rsidR="00051BEC">
        <w:t xml:space="preserve">much </w:t>
      </w:r>
      <w:r>
        <w:t>more. If you connect a system which far exceeds your daily usage the return per kilowatt installed will be lower, and your payback period longer.</w:t>
      </w:r>
    </w:p>
    <w:p w14:paraId="7986FD80" w14:textId="133B9097" w:rsidR="00FA4C57" w:rsidRDefault="00FA4C57" w:rsidP="00FA4C57">
      <w:pPr>
        <w:pStyle w:val="Pull-out"/>
      </w:pPr>
      <w:r>
        <w:t xml:space="preserve">Solar customers can use more of the electricity they produce if they shift some of their electricity usage to when their solar systems are </w:t>
      </w:r>
      <w:r w:rsidR="00051BEC">
        <w:t xml:space="preserve">producing </w:t>
      </w:r>
      <w:r>
        <w:t xml:space="preserve">(for example by running washing machines or hot water systems during the day instead of at night). </w:t>
      </w:r>
      <w:r w:rsidR="00394AB2">
        <w:t>This</w:t>
      </w:r>
      <w:r>
        <w:t xml:space="preserve"> can further reduce the amount of electricity they buy from their retailers and increase the financial return on their solar system.</w:t>
      </w:r>
    </w:p>
    <w:p w14:paraId="2A3871A8" w14:textId="01A0CCCB" w:rsidR="00033780" w:rsidRDefault="00033780" w:rsidP="00033780">
      <w:pPr>
        <w:pStyle w:val="Heading2numbered"/>
      </w:pPr>
      <w:bookmarkStart w:id="35" w:name="_Toc159844540"/>
      <w:bookmarkEnd w:id="34"/>
      <w:r>
        <w:t xml:space="preserve">We have used the same approach as we have in past </w:t>
      </w:r>
      <w:proofErr w:type="gramStart"/>
      <w:r>
        <w:t>reviews</w:t>
      </w:r>
      <w:bookmarkEnd w:id="35"/>
      <w:proofErr w:type="gramEnd"/>
      <w:r>
        <w:t xml:space="preserve"> </w:t>
      </w:r>
    </w:p>
    <w:p w14:paraId="03D2BFE7" w14:textId="4C447835" w:rsidR="004B2C83" w:rsidRDefault="00033780" w:rsidP="004855CE">
      <w:r>
        <w:t>In setting the minimum feed-in tariffs to apply from 1 July 202</w:t>
      </w:r>
      <w:r w:rsidR="004B2C83">
        <w:t>4</w:t>
      </w:r>
      <w:r>
        <w:t xml:space="preserve">, we have used the same avoided costs approach as in previous tariff reviews. This approach forecasts the solar weighted wholesale </w:t>
      </w:r>
      <w:r>
        <w:lastRenderedPageBreak/>
        <w:t>prices for 202</w:t>
      </w:r>
      <w:r w:rsidR="00B26BDC">
        <w:t>4</w:t>
      </w:r>
      <w:r>
        <w:t>─2</w:t>
      </w:r>
      <w:r w:rsidR="00B26BDC">
        <w:t>5</w:t>
      </w:r>
      <w:r>
        <w:t xml:space="preserve"> and adds these to other costs retailers and the community avoid when solar customers export their energy to the grid. </w:t>
      </w:r>
    </w:p>
    <w:p w14:paraId="65E22E07" w14:textId="77777777" w:rsidR="006E54B5" w:rsidRDefault="006E54B5" w:rsidP="002E3B38">
      <w:pPr>
        <w:pStyle w:val="Heading2numbered"/>
      </w:pPr>
      <w:bookmarkStart w:id="36" w:name="_Toc159844541"/>
      <w:r>
        <w:t xml:space="preserve">We have had regard to stakeholders’ </w:t>
      </w:r>
      <w:proofErr w:type="gramStart"/>
      <w:r>
        <w:t>feedback</w:t>
      </w:r>
      <w:bookmarkEnd w:id="36"/>
      <w:proofErr w:type="gramEnd"/>
      <w:r>
        <w:t xml:space="preserve"> </w:t>
      </w:r>
    </w:p>
    <w:p w14:paraId="0F2A8BA9" w14:textId="6C06932D" w:rsidR="00044EA9" w:rsidRDefault="00D747E7" w:rsidP="00B503C2">
      <w:r>
        <w:t>F</w:t>
      </w:r>
      <w:r w:rsidR="006E54B5">
        <w:t xml:space="preserve">ollowing publication of the draft decision </w:t>
      </w:r>
      <w:r w:rsidR="00A31E28">
        <w:t>we h</w:t>
      </w:r>
      <w:r w:rsidR="001D39B6">
        <w:t>el</w:t>
      </w:r>
      <w:r w:rsidR="00A31E28">
        <w:t>d</w:t>
      </w:r>
      <w:r>
        <w:t xml:space="preserve"> a consultation period </w:t>
      </w:r>
      <w:r w:rsidR="006E54B5">
        <w:t>seek</w:t>
      </w:r>
      <w:r>
        <w:t>ing</w:t>
      </w:r>
      <w:r w:rsidR="006E54B5">
        <w:t xml:space="preserve"> feedback. </w:t>
      </w:r>
    </w:p>
    <w:p w14:paraId="2884FA29" w14:textId="7C94B967" w:rsidR="00BD6244" w:rsidRDefault="006E54B5" w:rsidP="00B503C2">
      <w:r>
        <w:t xml:space="preserve">Stakeholders made </w:t>
      </w:r>
      <w:r w:rsidR="00BD29A5">
        <w:t>19</w:t>
      </w:r>
      <w:r w:rsidR="00FF782C">
        <w:t xml:space="preserve"> </w:t>
      </w:r>
      <w:r>
        <w:t xml:space="preserve">submissions on our draft decision. The submissions were from </w:t>
      </w:r>
      <w:r w:rsidR="00A379EC">
        <w:t>15</w:t>
      </w:r>
      <w:r>
        <w:t xml:space="preserve"> solar customers, </w:t>
      </w:r>
      <w:r w:rsidR="00BD29A5">
        <w:t>two</w:t>
      </w:r>
      <w:r>
        <w:t xml:space="preserve"> </w:t>
      </w:r>
      <w:r w:rsidR="005123BA">
        <w:t xml:space="preserve">community </w:t>
      </w:r>
      <w:r w:rsidR="00BD29A5">
        <w:t>solar</w:t>
      </w:r>
      <w:r>
        <w:t xml:space="preserve"> groups,</w:t>
      </w:r>
      <w:r w:rsidR="00BF61D6">
        <w:t xml:space="preserve"> </w:t>
      </w:r>
      <w:r w:rsidR="00137529">
        <w:t xml:space="preserve">one </w:t>
      </w:r>
      <w:r w:rsidR="006B301E">
        <w:t>distributor</w:t>
      </w:r>
      <w:r>
        <w:t xml:space="preserve"> and</w:t>
      </w:r>
      <w:r w:rsidR="00BD29A5">
        <w:t xml:space="preserve"> a</w:t>
      </w:r>
      <w:r>
        <w:t xml:space="preserve"> retailer. </w:t>
      </w:r>
    </w:p>
    <w:p w14:paraId="6453A44B" w14:textId="41CA9917" w:rsidR="00BD6244" w:rsidRDefault="00137529" w:rsidP="00B503C2">
      <w:r>
        <w:t>The</w:t>
      </w:r>
      <w:r w:rsidR="006E54B5">
        <w:t xml:space="preserve"> Electricity Industry Act </w:t>
      </w:r>
      <w:r>
        <w:t>requires us to</w:t>
      </w:r>
      <w:r w:rsidR="00630882">
        <w:t xml:space="preserve"> </w:t>
      </w:r>
      <w:r w:rsidR="006E54B5">
        <w:t>look at specific factors and costs when setting the minimum feed-in tariffs.</w:t>
      </w:r>
      <w:r w:rsidR="00C937A4">
        <w:rPr>
          <w:rStyle w:val="FootnoteReference"/>
        </w:rPr>
        <w:footnoteReference w:id="12"/>
      </w:r>
      <w:r w:rsidR="006E54B5">
        <w:t xml:space="preserve"> Our decision on the minimum feed-in tariffs reflects </w:t>
      </w:r>
      <w:r w:rsidR="00E54ADA">
        <w:t xml:space="preserve">the </w:t>
      </w:r>
      <w:r w:rsidR="006E54B5">
        <w:t xml:space="preserve">market </w:t>
      </w:r>
      <w:r w:rsidR="00E54ADA">
        <w:t xml:space="preserve">value </w:t>
      </w:r>
      <w:r w:rsidR="00451092">
        <w:t>of so</w:t>
      </w:r>
      <w:r w:rsidR="00D30E04">
        <w:t xml:space="preserve">lar exports and their </w:t>
      </w:r>
      <w:r w:rsidR="00451092">
        <w:t>social</w:t>
      </w:r>
      <w:r w:rsidR="00D30E04">
        <w:t xml:space="preserve"> and environmental benefits</w:t>
      </w:r>
      <w:r w:rsidR="006E54B5">
        <w:t xml:space="preserve">. This means that solar customers are paid the value of the energy they produce. </w:t>
      </w:r>
    </w:p>
    <w:p w14:paraId="720E97B7" w14:textId="22B7A198" w:rsidR="00E5390E" w:rsidRDefault="006E54B5" w:rsidP="00B503C2">
      <w:r>
        <w:t>We considered all submissions in reaching our final decision. We summarise and address the key themes from submissions in the ‘Themes from submissions and our responses’ chapter.</w:t>
      </w:r>
      <w:r w:rsidR="00BE4AD3">
        <w:t xml:space="preserve"> </w:t>
      </w:r>
    </w:p>
    <w:p w14:paraId="3A6E416F" w14:textId="5858C62B" w:rsidR="00730DD8" w:rsidRDefault="0015634F" w:rsidP="00312B1E">
      <w:r>
        <w:t>In general,</w:t>
      </w:r>
      <w:r w:rsidR="00BF61D6">
        <w:t xml:space="preserve"> submissions </w:t>
      </w:r>
      <w:r w:rsidR="002120CC">
        <w:t>from</w:t>
      </w:r>
      <w:r w:rsidR="00BF61D6">
        <w:t xml:space="preserve"> consumers </w:t>
      </w:r>
      <w:r w:rsidR="00983CA9">
        <w:t xml:space="preserve">considered the </w:t>
      </w:r>
      <w:r w:rsidR="003C1E96">
        <w:t xml:space="preserve">feed-in tariffs in the </w:t>
      </w:r>
      <w:r w:rsidR="00983CA9">
        <w:t>draft decision to be too low</w:t>
      </w:r>
      <w:r w:rsidR="00CE10F2">
        <w:t>.</w:t>
      </w:r>
      <w:r w:rsidR="007F39B5">
        <w:t xml:space="preserve"> </w:t>
      </w:r>
      <w:r w:rsidR="00EF1EDA">
        <w:t>A</w:t>
      </w:r>
      <w:r w:rsidR="00310027">
        <w:t xml:space="preserve">n energy retailer </w:t>
      </w:r>
      <w:r w:rsidR="00EF1EDA">
        <w:t xml:space="preserve">also </w:t>
      </w:r>
      <w:r w:rsidR="00310027">
        <w:t>propos</w:t>
      </w:r>
      <w:r w:rsidR="00EF1EDA">
        <w:t>ed</w:t>
      </w:r>
      <w:r w:rsidR="00310027">
        <w:t xml:space="preserve"> a flexible feed-in tariff, and a</w:t>
      </w:r>
      <w:r w:rsidR="00E75F2E">
        <w:t>n electricity</w:t>
      </w:r>
      <w:r w:rsidR="00E27FC1">
        <w:t xml:space="preserve"> distributor </w:t>
      </w:r>
      <w:r w:rsidR="00310027">
        <w:t>suggest</w:t>
      </w:r>
      <w:r w:rsidR="00EF1EDA">
        <w:t>ed</w:t>
      </w:r>
      <w:r w:rsidR="00E27FC1">
        <w:t xml:space="preserve"> </w:t>
      </w:r>
      <w:r w:rsidR="009C6E1D">
        <w:t>further</w:t>
      </w:r>
      <w:r w:rsidR="00312B1E">
        <w:t xml:space="preserve"> public</w:t>
      </w:r>
      <w:r w:rsidR="009C6E1D">
        <w:t xml:space="preserve"> educat</w:t>
      </w:r>
      <w:r w:rsidR="009C512A">
        <w:t xml:space="preserve">ion </w:t>
      </w:r>
      <w:r w:rsidR="003866CF">
        <w:t>was needed as</w:t>
      </w:r>
      <w:r w:rsidR="00211D78">
        <w:t xml:space="preserve"> consumers </w:t>
      </w:r>
      <w:r w:rsidR="003866CF">
        <w:t>generally do</w:t>
      </w:r>
      <w:r w:rsidR="00211D78">
        <w:t xml:space="preserve"> not understand the feed-in tariff and how it </w:t>
      </w:r>
      <w:r w:rsidR="008A1F03">
        <w:t>i</w:t>
      </w:r>
      <w:r w:rsidR="00211D78">
        <w:t>s set.</w:t>
      </w:r>
    </w:p>
    <w:p w14:paraId="34DF4476" w14:textId="77777777" w:rsidR="00690764" w:rsidRPr="00B503C2" w:rsidRDefault="00690764" w:rsidP="00B503C2">
      <w:pPr>
        <w:sectPr w:rsidR="00690764" w:rsidRPr="00B503C2" w:rsidSect="00000778">
          <w:footerReference w:type="default" r:id="rId21"/>
          <w:type w:val="continuous"/>
          <w:pgSz w:w="11906" w:h="16838" w:code="9"/>
          <w:pgMar w:top="1134" w:right="1134" w:bottom="1134" w:left="1134" w:header="709" w:footer="692" w:gutter="0"/>
          <w:pgNumType w:start="1"/>
          <w:cols w:space="708"/>
          <w:docGrid w:linePitch="360"/>
        </w:sectPr>
      </w:pPr>
    </w:p>
    <w:p w14:paraId="2C395A35" w14:textId="4DC3BB80" w:rsidR="00427E51" w:rsidRDefault="00427E51" w:rsidP="00427E51">
      <w:pPr>
        <w:pStyle w:val="Heading1"/>
      </w:pPr>
      <w:bookmarkStart w:id="37" w:name="_Toc150869240"/>
      <w:bookmarkStart w:id="38" w:name="_Toc159844542"/>
      <w:r>
        <w:lastRenderedPageBreak/>
        <w:t>O</w:t>
      </w:r>
      <w:r w:rsidRPr="009C7956">
        <w:t xml:space="preserve">ur </w:t>
      </w:r>
      <w:r w:rsidRPr="00427E51">
        <w:t>minimum</w:t>
      </w:r>
      <w:r w:rsidRPr="009C7956">
        <w:t xml:space="preserve"> feed-in tariff decision</w:t>
      </w:r>
      <w:bookmarkEnd w:id="37"/>
      <w:bookmarkEnd w:id="38"/>
    </w:p>
    <w:p w14:paraId="79FA54FE" w14:textId="026CEFE4" w:rsidR="000E4AFF" w:rsidRDefault="000E4AFF" w:rsidP="000E4AFF">
      <w:r>
        <w:t>Our decision is to set three minimum feed-in tariffs for financial year 2024–25</w:t>
      </w:r>
      <w:r w:rsidR="002F7122">
        <w:t>:</w:t>
      </w:r>
    </w:p>
    <w:p w14:paraId="139B84F8" w14:textId="7BB92207" w:rsidR="000E4AFF" w:rsidRDefault="000E4AFF" w:rsidP="00D92845">
      <w:pPr>
        <w:pStyle w:val="ListBullet"/>
      </w:pPr>
      <w:r>
        <w:t>a flat minimum feed-in tariff</w:t>
      </w:r>
      <w:r w:rsidR="001F510D">
        <w:t xml:space="preserve"> and</w:t>
      </w:r>
    </w:p>
    <w:p w14:paraId="5048D8C3" w14:textId="508B9C73" w:rsidR="000E4AFF" w:rsidRDefault="000E4AFF" w:rsidP="00D92845">
      <w:pPr>
        <w:pStyle w:val="ListBullet"/>
      </w:pPr>
      <w:r>
        <w:t>two time-varying minimum feed-in tariff options.</w:t>
      </w:r>
    </w:p>
    <w:p w14:paraId="416B920E" w14:textId="6C53F7DB" w:rsidR="00B503C2" w:rsidRDefault="000E4AFF" w:rsidP="000E4AFF">
      <w:r>
        <w:t xml:space="preserve">Solar customers with a </w:t>
      </w:r>
      <w:r w:rsidRPr="00E80B56">
        <w:t xml:space="preserve">flat </w:t>
      </w:r>
      <w:proofErr w:type="spellStart"/>
      <w:r w:rsidRPr="00E80B56">
        <w:t>feed</w:t>
      </w:r>
      <w:proofErr w:type="spellEnd"/>
      <w:r w:rsidR="00D04FB5" w:rsidRPr="00E80B56">
        <w:t>-</w:t>
      </w:r>
      <w:r w:rsidRPr="00E80B56">
        <w:t>in tariff</w:t>
      </w:r>
      <w:r>
        <w:t xml:space="preserve"> </w:t>
      </w:r>
      <w:r w:rsidR="0054535D">
        <w:t>are</w:t>
      </w:r>
      <w:r>
        <w:t xml:space="preserve"> paid the same amount regardless of the time of day or day of the week. Solar customers with </w:t>
      </w:r>
      <w:r w:rsidRPr="00E80B56">
        <w:t>time-varying feed-in tariffs</w:t>
      </w:r>
      <w:r>
        <w:t xml:space="preserve"> </w:t>
      </w:r>
      <w:r w:rsidR="00270200">
        <w:t>are</w:t>
      </w:r>
      <w:r>
        <w:t xml:space="preserve"> paid different amounts at different times of the day.</w:t>
      </w:r>
    </w:p>
    <w:p w14:paraId="793FA75E" w14:textId="512332E2" w:rsidR="007702CA" w:rsidRDefault="007702CA" w:rsidP="003835A0">
      <w:pPr>
        <w:pStyle w:val="Heading2numbered"/>
      </w:pPr>
      <w:bookmarkStart w:id="39" w:name="_Toc159844543"/>
      <w:r>
        <w:t>The flat minimum feed-in tariff</w:t>
      </w:r>
      <w:bookmarkEnd w:id="39"/>
      <w:r>
        <w:t xml:space="preserve"> </w:t>
      </w:r>
    </w:p>
    <w:p w14:paraId="1A04CCE4" w14:textId="76F561F8" w:rsidR="007702CA" w:rsidRDefault="007702CA" w:rsidP="007702CA">
      <w:r w:rsidRPr="00133130">
        <w:t>The</w:t>
      </w:r>
      <w:r w:rsidRPr="00133130" w:rsidDel="00672DBB">
        <w:t xml:space="preserve"> </w:t>
      </w:r>
      <w:r w:rsidRPr="00133130">
        <w:t xml:space="preserve">flat minimum feed-in tariff for 2024–25 is </w:t>
      </w:r>
      <w:r w:rsidR="00D0741B" w:rsidRPr="00133130">
        <w:t>3</w:t>
      </w:r>
      <w:r w:rsidRPr="00133130">
        <w:t>.</w:t>
      </w:r>
      <w:r w:rsidR="007B0E7A" w:rsidRPr="00133130">
        <w:t>3</w:t>
      </w:r>
      <w:r w:rsidRPr="00133130">
        <w:t xml:space="preserve"> cents per kWh. The flat minimum feed-in tariff for 2023–24 was 4.9 cents per kWh.</w:t>
      </w:r>
      <w:r>
        <w:t xml:space="preserve"> </w:t>
      </w:r>
    </w:p>
    <w:p w14:paraId="00935D35" w14:textId="171B4FC3" w:rsidR="00C52B93" w:rsidRDefault="007702CA" w:rsidP="007702CA">
      <w:r>
        <w:t>Solar weighted electricity prices are forecast to be</w:t>
      </w:r>
      <w:r w:rsidR="009C380F">
        <w:t xml:space="preserve"> </w:t>
      </w:r>
      <w:r w:rsidR="00FC4017">
        <w:t>lower</w:t>
      </w:r>
      <w:r>
        <w:t xml:space="preserve"> in 2024–25, especially during daylight hours. The growing number of solar installations ha</w:t>
      </w:r>
      <w:r w:rsidR="006D3E33">
        <w:t>s</w:t>
      </w:r>
      <w:r>
        <w:t xml:space="preserve"> caused lower daytime prices by adding to the supply of and reducing the demand for electricity during the day. The flat minimum feed-in tariff reflects these lower solar weighted wholesale </w:t>
      </w:r>
      <w:r w:rsidR="00F31B2E">
        <w:t xml:space="preserve">electricity </w:t>
      </w:r>
      <w:r>
        <w:t>prices.</w:t>
      </w:r>
    </w:p>
    <w:p w14:paraId="5C1A1685" w14:textId="1A4C934B" w:rsidR="00C26D6C" w:rsidRDefault="00C26D6C" w:rsidP="003835A0">
      <w:pPr>
        <w:pStyle w:val="Figure-Table-BoxHeading"/>
      </w:pPr>
      <w:r w:rsidRPr="0051591C">
        <w:t xml:space="preserve">Table 1.1: </w:t>
      </w:r>
      <w:r>
        <w:t>Flat minimum</w:t>
      </w:r>
      <w:r w:rsidRPr="0051591C">
        <w:t xml:space="preserve"> feed-in tariff 202</w:t>
      </w:r>
      <w:r>
        <w:t>4</w:t>
      </w:r>
      <w:r w:rsidR="004062D1" w:rsidRPr="00871190">
        <w:t>–</w:t>
      </w:r>
      <w:r w:rsidRPr="0051591C">
        <w:t>2</w:t>
      </w:r>
      <w:r>
        <w:t>5</w:t>
      </w:r>
      <w:r w:rsidRPr="0051591C">
        <w:t xml:space="preserve"> (cents per k</w:t>
      </w:r>
      <w:r>
        <w:t>Wh</w:t>
      </w:r>
      <w:r w:rsidRPr="0051591C">
        <w:t>)</w:t>
      </w:r>
    </w:p>
    <w:tbl>
      <w:tblPr>
        <w:tblStyle w:val="TableGrid"/>
        <w:tblpPr w:leftFromText="180" w:rightFromText="180" w:vertAnchor="text" w:horzAnchor="margin" w:tblpY="16"/>
        <w:tblW w:w="5000" w:type="pct"/>
        <w:tblLook w:val="04A0" w:firstRow="1" w:lastRow="0" w:firstColumn="1" w:lastColumn="0" w:noHBand="0" w:noVBand="1"/>
        <w:tblCaption w:val="Table A.1 Current and closed feed-in tariff schemes since 2008"/>
        <w:tblDescription w:val="Table A.1 shows four columns in a table with the four headings as tariff, minimum rate, closed to new applicants and scheme end date with four rows for the premium, standard, transitional and minimum feed-in tariff schemes. The table explains the premium feed-in tariff (PFiT) was a minimum of 60c/kWh, closed to new applicants on 29 December 2011 and the scheme ends in 2024. Next is the Standard feed-in tariff (SFiT) was a &quot;one-for-one&quot; rate based on the customers retail rate, it closed to new applicants on 31 December 2012 and the scheme ended 31 December 2016. Next is the Transitional feed-in tariff (TFiT) was 25c/kWh, closed to new applicants 31 Decemeber 2012 and the scheme ended 31 December 2016. The final row is the minimum feed-in tariff, the minimum rate is updated annually and is currently 6.7c/kWh and will be 5.2c/kWh for 2022-23, it is open to new applicants with no scheme end date. "/>
      </w:tblPr>
      <w:tblGrid>
        <w:gridCol w:w="3119"/>
        <w:gridCol w:w="6519"/>
      </w:tblGrid>
      <w:tr w:rsidR="00C26D6C" w:rsidRPr="005D36D3" w14:paraId="3F976DE0" w14:textId="77777777">
        <w:trPr>
          <w:cnfStyle w:val="100000000000" w:firstRow="1" w:lastRow="0" w:firstColumn="0" w:lastColumn="0" w:oddVBand="0" w:evenVBand="0" w:oddHBand="0" w:evenHBand="0" w:firstRowFirstColumn="0" w:firstRowLastColumn="0" w:lastRowFirstColumn="0" w:lastRowLastColumn="0"/>
          <w:trHeight w:val="10"/>
        </w:trPr>
        <w:tc>
          <w:tcPr>
            <w:tcW w:w="1618" w:type="pct"/>
            <w:hideMark/>
          </w:tcPr>
          <w:p w14:paraId="6FDED43D" w14:textId="77777777" w:rsidR="00C26D6C" w:rsidRPr="00A910B1" w:rsidRDefault="00C26D6C">
            <w:pPr>
              <w:keepNext/>
              <w:spacing w:before="0" w:line="240" w:lineRule="auto"/>
              <w:rPr>
                <w:b w:val="0"/>
                <w:sz w:val="18"/>
                <w:szCs w:val="18"/>
                <w:lang w:val="en-US"/>
              </w:rPr>
            </w:pPr>
            <w:r w:rsidRPr="00A910B1">
              <w:rPr>
                <w:b w:val="0"/>
                <w:sz w:val="18"/>
                <w:szCs w:val="18"/>
                <w:lang w:val="en-US"/>
              </w:rPr>
              <w:t>Tariff</w:t>
            </w:r>
          </w:p>
        </w:tc>
        <w:tc>
          <w:tcPr>
            <w:tcW w:w="3382" w:type="pct"/>
            <w:hideMark/>
          </w:tcPr>
          <w:p w14:paraId="528125E4" w14:textId="77777777" w:rsidR="00C26D6C" w:rsidRPr="00A910B1" w:rsidRDefault="00C26D6C">
            <w:pPr>
              <w:keepNext/>
              <w:spacing w:before="0" w:line="240" w:lineRule="auto"/>
              <w:rPr>
                <w:b w:val="0"/>
                <w:sz w:val="18"/>
                <w:szCs w:val="18"/>
                <w:lang w:val="en-US"/>
              </w:rPr>
            </w:pPr>
            <w:r w:rsidRPr="00A910B1">
              <w:rPr>
                <w:b w:val="0"/>
                <w:sz w:val="18"/>
                <w:szCs w:val="18"/>
                <w:lang w:val="en-US"/>
              </w:rPr>
              <w:t xml:space="preserve">Flat rate to </w:t>
            </w:r>
            <w:proofErr w:type="gramStart"/>
            <w:r w:rsidRPr="00A910B1">
              <w:rPr>
                <w:b w:val="0"/>
                <w:sz w:val="18"/>
                <w:szCs w:val="18"/>
                <w:lang w:val="en-US"/>
              </w:rPr>
              <w:t>apply at all times</w:t>
            </w:r>
            <w:proofErr w:type="gramEnd"/>
            <w:r w:rsidRPr="00A910B1">
              <w:rPr>
                <w:b w:val="0"/>
                <w:sz w:val="18"/>
                <w:szCs w:val="18"/>
                <w:lang w:val="en-US"/>
              </w:rPr>
              <w:t xml:space="preserve"> </w:t>
            </w:r>
          </w:p>
        </w:tc>
      </w:tr>
      <w:tr w:rsidR="00C26D6C" w:rsidRPr="005D36D3" w14:paraId="11008ADB" w14:textId="77777777">
        <w:trPr>
          <w:cnfStyle w:val="000000100000" w:firstRow="0" w:lastRow="0" w:firstColumn="0" w:lastColumn="0" w:oddVBand="0" w:evenVBand="0" w:oddHBand="1" w:evenHBand="0" w:firstRowFirstColumn="0" w:firstRowLastColumn="0" w:lastRowFirstColumn="0" w:lastRowLastColumn="0"/>
          <w:trHeight w:val="10"/>
        </w:trPr>
        <w:tc>
          <w:tcPr>
            <w:tcW w:w="1618" w:type="pct"/>
            <w:hideMark/>
          </w:tcPr>
          <w:p w14:paraId="2F5F003F" w14:textId="77777777" w:rsidR="00C26D6C" w:rsidRPr="00A910B1" w:rsidRDefault="00C26D6C">
            <w:pPr>
              <w:keepNext/>
              <w:spacing w:before="0" w:line="240" w:lineRule="auto"/>
              <w:rPr>
                <w:sz w:val="18"/>
                <w:szCs w:val="18"/>
                <w:lang w:val="en-US"/>
              </w:rPr>
            </w:pPr>
            <w:r w:rsidRPr="00A910B1">
              <w:rPr>
                <w:sz w:val="18"/>
                <w:szCs w:val="18"/>
                <w:lang w:val="en-US"/>
              </w:rPr>
              <w:t>Minimum feed-in tariff</w:t>
            </w:r>
          </w:p>
        </w:tc>
        <w:tc>
          <w:tcPr>
            <w:tcW w:w="3382" w:type="pct"/>
            <w:hideMark/>
          </w:tcPr>
          <w:p w14:paraId="6A992A81" w14:textId="4DEF83BE" w:rsidR="00C26D6C" w:rsidRPr="00A910B1" w:rsidRDefault="000471B9">
            <w:pPr>
              <w:keepNext/>
              <w:spacing w:before="0" w:line="240" w:lineRule="auto"/>
              <w:rPr>
                <w:sz w:val="18"/>
                <w:szCs w:val="18"/>
                <w:lang w:val="en-US"/>
              </w:rPr>
            </w:pPr>
            <w:r w:rsidRPr="00A910B1">
              <w:rPr>
                <w:sz w:val="18"/>
                <w:szCs w:val="18"/>
                <w:lang w:val="en-US"/>
              </w:rPr>
              <w:t>3.3</w:t>
            </w:r>
          </w:p>
        </w:tc>
      </w:tr>
    </w:tbl>
    <w:p w14:paraId="5CDBADED" w14:textId="66CD9101" w:rsidR="00C26D6C" w:rsidRDefault="00C26D6C" w:rsidP="00C26D6C">
      <w:pPr>
        <w:pStyle w:val="Heading2"/>
      </w:pPr>
      <w:bookmarkStart w:id="40" w:name="_Toc143691742"/>
      <w:bookmarkStart w:id="41" w:name="_Toc150869242"/>
      <w:bookmarkStart w:id="42" w:name="_Toc159844544"/>
      <w:r w:rsidRPr="00577F22">
        <w:t xml:space="preserve">The two time-varying minimum feed-in tariffs </w:t>
      </w:r>
      <w:bookmarkEnd w:id="40"/>
      <w:r w:rsidRPr="00577F22">
        <w:t>are</w:t>
      </w:r>
      <w:r w:rsidR="00FA537B" w:rsidRPr="00577F22">
        <w:t xml:space="preserve"> </w:t>
      </w:r>
      <w:bookmarkEnd w:id="41"/>
      <w:r w:rsidR="00C25099" w:rsidRPr="00577F22">
        <w:t>lower</w:t>
      </w:r>
      <w:r w:rsidR="00C25099">
        <w:t xml:space="preserve"> than in 2023–</w:t>
      </w:r>
      <w:proofErr w:type="gramStart"/>
      <w:r w:rsidR="00C25099">
        <w:t>24</w:t>
      </w:r>
      <w:bookmarkEnd w:id="42"/>
      <w:proofErr w:type="gramEnd"/>
    </w:p>
    <w:p w14:paraId="2996B3DA" w14:textId="73E0582F" w:rsidR="00871190" w:rsidRPr="00871190" w:rsidRDefault="00C26D6C" w:rsidP="00871190">
      <w:r w:rsidRPr="00837F43">
        <w:t>Table</w:t>
      </w:r>
      <w:r>
        <w:t>s</w:t>
      </w:r>
      <w:r w:rsidRPr="00837F43">
        <w:t xml:space="preserve"> 1.2 </w:t>
      </w:r>
      <w:r>
        <w:t xml:space="preserve">and 1.3 </w:t>
      </w:r>
      <w:r w:rsidRPr="00837F43">
        <w:t xml:space="preserve">set out the </w:t>
      </w:r>
      <w:r>
        <w:t>time-varying minimum</w:t>
      </w:r>
      <w:r w:rsidRPr="003A0B33">
        <w:t xml:space="preserve"> feed-in tariff</w:t>
      </w:r>
      <w:r>
        <w:t xml:space="preserve"> rate</w:t>
      </w:r>
      <w:r w:rsidRPr="003A0B33">
        <w:t>s for 202</w:t>
      </w:r>
      <w:r>
        <w:t>4–</w:t>
      </w:r>
      <w:r w:rsidRPr="003A0B33">
        <w:t>2</w:t>
      </w:r>
      <w:r>
        <w:t>5</w:t>
      </w:r>
      <w:r w:rsidRPr="003A0B33">
        <w:t xml:space="preserve"> and the time blocks for when they apply. Retailers </w:t>
      </w:r>
      <w:r>
        <w:t>that choose these time blocks must</w:t>
      </w:r>
      <w:r w:rsidRPr="003A0B33">
        <w:t xml:space="preserve"> </w:t>
      </w:r>
      <w:r>
        <w:t xml:space="preserve">offer </w:t>
      </w:r>
      <w:r w:rsidRPr="003A0B33">
        <w:t>at least the minimum rate</w:t>
      </w:r>
      <w:r>
        <w:t>s</w:t>
      </w:r>
      <w:r w:rsidRPr="003A0B33">
        <w:t xml:space="preserve"> that appl</w:t>
      </w:r>
      <w:r>
        <w:t>y</w:t>
      </w:r>
      <w:r w:rsidRPr="003A0B33">
        <w:t xml:space="preserve"> but </w:t>
      </w:r>
      <w:r w:rsidR="002F6E7F">
        <w:t>can</w:t>
      </w:r>
      <w:r w:rsidRPr="003A0B33">
        <w:t xml:space="preserve"> offer higher rates.</w:t>
      </w:r>
    </w:p>
    <w:p w14:paraId="157E7E40" w14:textId="24B44F58" w:rsidR="00871190" w:rsidRPr="00871190" w:rsidRDefault="00871190" w:rsidP="00164D7C">
      <w:pPr>
        <w:keepNext/>
        <w:spacing w:before="120" w:after="120"/>
        <w:rPr>
          <w:rFonts w:asciiTheme="majorHAnsi" w:eastAsiaTheme="majorEastAsia" w:hAnsiTheme="majorHAnsi" w:cstheme="majorBidi"/>
          <w:b/>
          <w:color w:val="4986A0" w:themeColor="text2"/>
          <w:szCs w:val="24"/>
          <w:lang w:val="en-US"/>
        </w:rPr>
      </w:pPr>
      <w:r w:rsidRPr="00871190">
        <w:rPr>
          <w:rFonts w:asciiTheme="majorHAnsi" w:eastAsiaTheme="majorEastAsia" w:hAnsiTheme="majorHAnsi" w:cstheme="majorBidi"/>
          <w:b/>
          <w:color w:val="4986A0" w:themeColor="text2"/>
          <w:szCs w:val="24"/>
          <w:lang w:val="en-US"/>
        </w:rPr>
        <w:t xml:space="preserve">Table 1.2: Time-varying minimum feed-in tariffs 2024–25: </w:t>
      </w:r>
      <w:r w:rsidR="00697942">
        <w:rPr>
          <w:rFonts w:asciiTheme="majorHAnsi" w:eastAsiaTheme="majorEastAsia" w:hAnsiTheme="majorHAnsi" w:cstheme="majorBidi"/>
          <w:b/>
          <w:color w:val="4986A0" w:themeColor="text2"/>
          <w:szCs w:val="24"/>
          <w:lang w:val="en-US"/>
        </w:rPr>
        <w:t>O</w:t>
      </w:r>
      <w:r w:rsidRPr="00871190">
        <w:rPr>
          <w:rFonts w:asciiTheme="majorHAnsi" w:eastAsiaTheme="majorEastAsia" w:hAnsiTheme="majorHAnsi" w:cstheme="majorBidi"/>
          <w:b/>
          <w:color w:val="4986A0" w:themeColor="text2"/>
          <w:szCs w:val="24"/>
          <w:lang w:val="en-US"/>
        </w:rPr>
        <w:t>ption</w:t>
      </w:r>
      <w:r w:rsidR="00B67700">
        <w:rPr>
          <w:rFonts w:asciiTheme="majorHAnsi" w:eastAsiaTheme="majorEastAsia" w:hAnsiTheme="majorHAnsi" w:cstheme="majorBidi"/>
          <w:b/>
          <w:color w:val="4986A0" w:themeColor="text2"/>
          <w:szCs w:val="24"/>
          <w:lang w:val="en-US"/>
        </w:rPr>
        <w:t xml:space="preserve"> 1</w:t>
      </w:r>
      <w:r w:rsidRPr="00871190">
        <w:rPr>
          <w:rFonts w:asciiTheme="majorHAnsi" w:eastAsiaTheme="majorEastAsia" w:hAnsiTheme="majorHAnsi" w:cstheme="majorBidi"/>
          <w:b/>
          <w:color w:val="4986A0" w:themeColor="text2"/>
          <w:szCs w:val="24"/>
          <w:lang w:val="en-US"/>
        </w:rPr>
        <w:t xml:space="preserve"> (cents per kWh)</w:t>
      </w:r>
    </w:p>
    <w:tbl>
      <w:tblPr>
        <w:tblW w:w="10120" w:type="dxa"/>
        <w:tblLook w:val="04A0" w:firstRow="1" w:lastRow="0" w:firstColumn="1" w:lastColumn="0" w:noHBand="0" w:noVBand="1"/>
      </w:tblPr>
      <w:tblGrid>
        <w:gridCol w:w="3402"/>
        <w:gridCol w:w="2239"/>
        <w:gridCol w:w="2239"/>
        <w:gridCol w:w="2240"/>
      </w:tblGrid>
      <w:tr w:rsidR="00871190" w:rsidRPr="00871190" w14:paraId="1FF81E8E" w14:textId="77777777">
        <w:trPr>
          <w:trHeight w:val="300"/>
        </w:trPr>
        <w:tc>
          <w:tcPr>
            <w:tcW w:w="3402" w:type="dxa"/>
            <w:tcBorders>
              <w:top w:val="nil"/>
              <w:left w:val="nil"/>
              <w:bottom w:val="single" w:sz="8" w:space="0" w:color="FFFFFF"/>
              <w:right w:val="nil"/>
            </w:tcBorders>
            <w:shd w:val="clear" w:color="000000" w:fill="4986A0"/>
            <w:vAlign w:val="center"/>
            <w:hideMark/>
          </w:tcPr>
          <w:p w14:paraId="30BE1EBD" w14:textId="77777777" w:rsidR="00871190" w:rsidRPr="00A910B1" w:rsidRDefault="00871190" w:rsidP="00871190">
            <w:pPr>
              <w:spacing w:before="0" w:after="0" w:line="240" w:lineRule="auto"/>
              <w:rPr>
                <w:rFonts w:ascii="Arial" w:eastAsia="Times New Roman" w:hAnsi="Arial" w:cs="Arial"/>
                <w:b/>
                <w:color w:val="FFFFFF"/>
                <w:sz w:val="18"/>
                <w:szCs w:val="18"/>
                <w:lang w:eastAsia="zh-CN"/>
              </w:rPr>
            </w:pPr>
            <w:r w:rsidRPr="00A910B1">
              <w:rPr>
                <w:rFonts w:ascii="Arial" w:eastAsia="Times New Roman" w:hAnsi="Arial" w:cs="Arial"/>
                <w:b/>
                <w:color w:val="FFFFFF"/>
                <w:sz w:val="18"/>
                <w:szCs w:val="18"/>
                <w:lang w:eastAsia="zh-CN"/>
              </w:rPr>
              <w:t xml:space="preserve">Time block </w:t>
            </w:r>
          </w:p>
        </w:tc>
        <w:tc>
          <w:tcPr>
            <w:tcW w:w="2239" w:type="dxa"/>
            <w:tcBorders>
              <w:top w:val="nil"/>
              <w:left w:val="nil"/>
              <w:bottom w:val="single" w:sz="8" w:space="0" w:color="FFFFFF"/>
              <w:right w:val="nil"/>
            </w:tcBorders>
            <w:shd w:val="clear" w:color="000000" w:fill="4986A0"/>
            <w:vAlign w:val="center"/>
            <w:hideMark/>
          </w:tcPr>
          <w:p w14:paraId="08AE0910" w14:textId="77777777" w:rsidR="00871190" w:rsidRPr="00A910B1" w:rsidRDefault="00871190" w:rsidP="00871190">
            <w:pPr>
              <w:spacing w:before="0" w:after="0" w:line="240" w:lineRule="auto"/>
              <w:rPr>
                <w:rFonts w:ascii="Arial" w:eastAsia="Times New Roman" w:hAnsi="Arial" w:cs="Arial"/>
                <w:b/>
                <w:color w:val="FFFFFF"/>
                <w:sz w:val="18"/>
                <w:szCs w:val="18"/>
                <w:lang w:eastAsia="zh-CN"/>
              </w:rPr>
            </w:pPr>
            <w:r w:rsidRPr="00A910B1">
              <w:rPr>
                <w:rFonts w:ascii="Arial" w:eastAsia="Times New Roman" w:hAnsi="Arial" w:cs="Arial"/>
                <w:b/>
                <w:color w:val="FFFFFF"/>
                <w:sz w:val="18"/>
                <w:szCs w:val="18"/>
                <w:lang w:eastAsia="zh-CN"/>
              </w:rPr>
              <w:t>Overnight</w:t>
            </w:r>
          </w:p>
        </w:tc>
        <w:tc>
          <w:tcPr>
            <w:tcW w:w="2239" w:type="dxa"/>
            <w:tcBorders>
              <w:top w:val="nil"/>
              <w:left w:val="nil"/>
              <w:bottom w:val="single" w:sz="8" w:space="0" w:color="FFFFFF"/>
              <w:right w:val="nil"/>
            </w:tcBorders>
            <w:shd w:val="clear" w:color="000000" w:fill="4986A0"/>
            <w:vAlign w:val="center"/>
            <w:hideMark/>
          </w:tcPr>
          <w:p w14:paraId="179E5A78" w14:textId="77777777" w:rsidR="00871190" w:rsidRPr="00A910B1" w:rsidRDefault="00871190" w:rsidP="00871190">
            <w:pPr>
              <w:spacing w:before="0" w:after="0" w:line="240" w:lineRule="auto"/>
              <w:rPr>
                <w:rFonts w:ascii="Arial" w:eastAsia="Times New Roman" w:hAnsi="Arial" w:cs="Arial"/>
                <w:b/>
                <w:color w:val="FFFFFF"/>
                <w:sz w:val="18"/>
                <w:szCs w:val="18"/>
                <w:lang w:eastAsia="zh-CN"/>
              </w:rPr>
            </w:pPr>
            <w:r w:rsidRPr="00A910B1">
              <w:rPr>
                <w:rFonts w:ascii="Arial" w:eastAsia="Times New Roman" w:hAnsi="Arial" w:cs="Arial"/>
                <w:b/>
                <w:color w:val="FFFFFF"/>
                <w:sz w:val="18"/>
                <w:szCs w:val="18"/>
                <w:lang w:eastAsia="zh-CN"/>
              </w:rPr>
              <w:t xml:space="preserve">Day </w:t>
            </w:r>
          </w:p>
        </w:tc>
        <w:tc>
          <w:tcPr>
            <w:tcW w:w="2240" w:type="dxa"/>
            <w:tcBorders>
              <w:top w:val="nil"/>
              <w:left w:val="nil"/>
              <w:bottom w:val="single" w:sz="8" w:space="0" w:color="FFFFFF"/>
              <w:right w:val="nil"/>
            </w:tcBorders>
            <w:shd w:val="clear" w:color="000000" w:fill="4986A0"/>
            <w:vAlign w:val="center"/>
            <w:hideMark/>
          </w:tcPr>
          <w:p w14:paraId="31017527" w14:textId="77777777" w:rsidR="00871190" w:rsidRPr="00A910B1" w:rsidRDefault="00871190" w:rsidP="00871190">
            <w:pPr>
              <w:spacing w:before="0" w:after="0" w:line="240" w:lineRule="auto"/>
              <w:rPr>
                <w:rFonts w:ascii="Arial" w:eastAsia="Times New Roman" w:hAnsi="Arial" w:cs="Arial"/>
                <w:b/>
                <w:color w:val="FFFFFF"/>
                <w:sz w:val="18"/>
                <w:szCs w:val="18"/>
                <w:lang w:eastAsia="zh-CN"/>
              </w:rPr>
            </w:pPr>
            <w:r w:rsidRPr="00A910B1">
              <w:rPr>
                <w:rFonts w:ascii="Arial" w:eastAsia="Times New Roman" w:hAnsi="Arial" w:cs="Arial"/>
                <w:b/>
                <w:color w:val="FFFFFF"/>
                <w:sz w:val="18"/>
                <w:szCs w:val="18"/>
                <w:lang w:eastAsia="zh-CN"/>
              </w:rPr>
              <w:t xml:space="preserve">Early Evening </w:t>
            </w:r>
          </w:p>
        </w:tc>
      </w:tr>
      <w:tr w:rsidR="00871190" w:rsidRPr="00871190" w14:paraId="33E74C8C" w14:textId="77777777">
        <w:trPr>
          <w:trHeight w:val="564"/>
        </w:trPr>
        <w:tc>
          <w:tcPr>
            <w:tcW w:w="3402" w:type="dxa"/>
            <w:tcBorders>
              <w:top w:val="nil"/>
              <w:left w:val="nil"/>
              <w:bottom w:val="single" w:sz="8" w:space="0" w:color="FFFFFF"/>
              <w:right w:val="nil"/>
            </w:tcBorders>
            <w:shd w:val="clear" w:color="000000" w:fill="F2F2F2"/>
            <w:vAlign w:val="center"/>
            <w:hideMark/>
          </w:tcPr>
          <w:p w14:paraId="0CB8E8B5" w14:textId="77777777" w:rsidR="00871190" w:rsidRPr="00A910B1" w:rsidRDefault="00871190"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Minimum feed-in tariff</w:t>
            </w:r>
          </w:p>
        </w:tc>
        <w:tc>
          <w:tcPr>
            <w:tcW w:w="2239" w:type="dxa"/>
            <w:tcBorders>
              <w:top w:val="nil"/>
              <w:left w:val="nil"/>
              <w:bottom w:val="single" w:sz="8" w:space="0" w:color="FFFFFF"/>
              <w:right w:val="nil"/>
            </w:tcBorders>
            <w:shd w:val="clear" w:color="000000" w:fill="F2F2F2"/>
            <w:vAlign w:val="center"/>
            <w:hideMark/>
          </w:tcPr>
          <w:p w14:paraId="2CC4274B" w14:textId="1CDA523A" w:rsidR="00871190" w:rsidRPr="00A910B1" w:rsidRDefault="00EC3C18"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7.6</w:t>
            </w:r>
          </w:p>
        </w:tc>
        <w:tc>
          <w:tcPr>
            <w:tcW w:w="2239" w:type="dxa"/>
            <w:tcBorders>
              <w:top w:val="nil"/>
              <w:left w:val="nil"/>
              <w:bottom w:val="single" w:sz="8" w:space="0" w:color="FFFFFF"/>
              <w:right w:val="nil"/>
            </w:tcBorders>
            <w:shd w:val="clear" w:color="000000" w:fill="F2F2F2"/>
            <w:vAlign w:val="center"/>
            <w:hideMark/>
          </w:tcPr>
          <w:p w14:paraId="7C244348" w14:textId="16C1AEDC" w:rsidR="00871190" w:rsidRPr="00A910B1" w:rsidRDefault="00EC3C18"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2.8</w:t>
            </w:r>
          </w:p>
        </w:tc>
        <w:tc>
          <w:tcPr>
            <w:tcW w:w="2240" w:type="dxa"/>
            <w:tcBorders>
              <w:top w:val="nil"/>
              <w:left w:val="nil"/>
              <w:bottom w:val="single" w:sz="8" w:space="0" w:color="FFFFFF"/>
              <w:right w:val="nil"/>
            </w:tcBorders>
            <w:shd w:val="clear" w:color="000000" w:fill="F2F2F2"/>
            <w:vAlign w:val="center"/>
            <w:hideMark/>
          </w:tcPr>
          <w:p w14:paraId="16361599" w14:textId="42E5E65C" w:rsidR="00871190" w:rsidRPr="00A910B1" w:rsidRDefault="00EC3C18"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7.0</w:t>
            </w:r>
          </w:p>
        </w:tc>
      </w:tr>
      <w:tr w:rsidR="00871190" w:rsidRPr="00871190" w14:paraId="0C15B7DF" w14:textId="77777777">
        <w:trPr>
          <w:trHeight w:val="564"/>
        </w:trPr>
        <w:tc>
          <w:tcPr>
            <w:tcW w:w="3402" w:type="dxa"/>
            <w:tcBorders>
              <w:top w:val="nil"/>
              <w:left w:val="nil"/>
              <w:bottom w:val="single" w:sz="8" w:space="0" w:color="FFFFFF"/>
              <w:right w:val="nil"/>
            </w:tcBorders>
            <w:shd w:val="clear" w:color="000000" w:fill="E3E3E4"/>
            <w:vAlign w:val="center"/>
            <w:hideMark/>
          </w:tcPr>
          <w:p w14:paraId="4B707904" w14:textId="77777777" w:rsidR="00871190" w:rsidRPr="00A910B1" w:rsidRDefault="00871190"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Time period weekdays</w:t>
            </w:r>
          </w:p>
        </w:tc>
        <w:tc>
          <w:tcPr>
            <w:tcW w:w="2239" w:type="dxa"/>
            <w:tcBorders>
              <w:top w:val="nil"/>
              <w:left w:val="nil"/>
              <w:bottom w:val="single" w:sz="8" w:space="0" w:color="FFFFFF"/>
              <w:right w:val="nil"/>
            </w:tcBorders>
            <w:shd w:val="clear" w:color="000000" w:fill="E3E3E4"/>
            <w:vAlign w:val="center"/>
            <w:hideMark/>
          </w:tcPr>
          <w:p w14:paraId="34DF6658" w14:textId="77777777" w:rsidR="00871190" w:rsidRPr="00A910B1" w:rsidRDefault="00871190"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10 pm – 7 am</w:t>
            </w:r>
          </w:p>
        </w:tc>
        <w:tc>
          <w:tcPr>
            <w:tcW w:w="2239" w:type="dxa"/>
            <w:tcBorders>
              <w:top w:val="nil"/>
              <w:left w:val="nil"/>
              <w:bottom w:val="single" w:sz="8" w:space="0" w:color="FFFFFF"/>
              <w:right w:val="nil"/>
            </w:tcBorders>
            <w:shd w:val="clear" w:color="000000" w:fill="E3E3E4"/>
            <w:vAlign w:val="center"/>
            <w:hideMark/>
          </w:tcPr>
          <w:p w14:paraId="3F99F67F" w14:textId="77777777" w:rsidR="00C760A5" w:rsidRDefault="00871190"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 xml:space="preserve">7 am – 3 pm, </w:t>
            </w:r>
          </w:p>
          <w:p w14:paraId="79661A47" w14:textId="48C819FE" w:rsidR="00871190" w:rsidRPr="00A910B1" w:rsidRDefault="00871190"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 xml:space="preserve">9 pm – 10 pm </w:t>
            </w:r>
          </w:p>
        </w:tc>
        <w:tc>
          <w:tcPr>
            <w:tcW w:w="2240" w:type="dxa"/>
            <w:tcBorders>
              <w:top w:val="nil"/>
              <w:left w:val="nil"/>
              <w:bottom w:val="single" w:sz="8" w:space="0" w:color="FFFFFF"/>
              <w:right w:val="nil"/>
            </w:tcBorders>
            <w:shd w:val="clear" w:color="000000" w:fill="E3E3E4"/>
            <w:vAlign w:val="center"/>
            <w:hideMark/>
          </w:tcPr>
          <w:p w14:paraId="5D0B0D9A" w14:textId="77777777" w:rsidR="00871190" w:rsidRPr="00A910B1" w:rsidRDefault="00871190"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 xml:space="preserve">3 pm – 9 pm </w:t>
            </w:r>
          </w:p>
        </w:tc>
      </w:tr>
      <w:tr w:rsidR="00871190" w:rsidRPr="00871190" w14:paraId="54948FC1" w14:textId="77777777">
        <w:trPr>
          <w:trHeight w:val="564"/>
        </w:trPr>
        <w:tc>
          <w:tcPr>
            <w:tcW w:w="3402" w:type="dxa"/>
            <w:tcBorders>
              <w:top w:val="nil"/>
              <w:left w:val="nil"/>
              <w:bottom w:val="nil"/>
              <w:right w:val="nil"/>
            </w:tcBorders>
            <w:shd w:val="clear" w:color="000000" w:fill="F2F2F2"/>
            <w:vAlign w:val="center"/>
            <w:hideMark/>
          </w:tcPr>
          <w:p w14:paraId="383BA135" w14:textId="77777777" w:rsidR="00871190" w:rsidRPr="00A910B1" w:rsidRDefault="00871190"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Time period weekends</w:t>
            </w:r>
          </w:p>
        </w:tc>
        <w:tc>
          <w:tcPr>
            <w:tcW w:w="2239" w:type="dxa"/>
            <w:tcBorders>
              <w:top w:val="nil"/>
              <w:left w:val="nil"/>
              <w:bottom w:val="nil"/>
              <w:right w:val="nil"/>
            </w:tcBorders>
            <w:shd w:val="clear" w:color="000000" w:fill="F2F2F2"/>
            <w:vAlign w:val="center"/>
            <w:hideMark/>
          </w:tcPr>
          <w:p w14:paraId="62A434C2" w14:textId="77777777" w:rsidR="00871190" w:rsidRPr="00A910B1" w:rsidRDefault="00871190"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 xml:space="preserve">10 pm – 7 am </w:t>
            </w:r>
          </w:p>
        </w:tc>
        <w:tc>
          <w:tcPr>
            <w:tcW w:w="2239" w:type="dxa"/>
            <w:tcBorders>
              <w:top w:val="nil"/>
              <w:left w:val="nil"/>
              <w:bottom w:val="nil"/>
              <w:right w:val="nil"/>
            </w:tcBorders>
            <w:shd w:val="clear" w:color="000000" w:fill="F2F2F2"/>
            <w:vAlign w:val="center"/>
            <w:hideMark/>
          </w:tcPr>
          <w:p w14:paraId="5088F3C2" w14:textId="77777777" w:rsidR="00871190" w:rsidRPr="00A910B1" w:rsidRDefault="00871190"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 xml:space="preserve">7 am – 10 pm </w:t>
            </w:r>
          </w:p>
        </w:tc>
        <w:tc>
          <w:tcPr>
            <w:tcW w:w="2240" w:type="dxa"/>
            <w:tcBorders>
              <w:top w:val="nil"/>
              <w:left w:val="nil"/>
              <w:bottom w:val="nil"/>
              <w:right w:val="nil"/>
            </w:tcBorders>
            <w:shd w:val="clear" w:color="000000" w:fill="F2F2F2"/>
            <w:vAlign w:val="center"/>
            <w:hideMark/>
          </w:tcPr>
          <w:p w14:paraId="30FC27ED" w14:textId="77777777" w:rsidR="00871190" w:rsidRPr="00A910B1" w:rsidRDefault="00871190"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n/a</w:t>
            </w:r>
          </w:p>
        </w:tc>
      </w:tr>
    </w:tbl>
    <w:p w14:paraId="625BC517" w14:textId="77777777" w:rsidR="00871190" w:rsidRPr="00871190" w:rsidRDefault="00871190" w:rsidP="00871190"/>
    <w:p w14:paraId="75A4E55C" w14:textId="48992CDC" w:rsidR="00871190" w:rsidRPr="00871190" w:rsidRDefault="00871190" w:rsidP="00164D7C">
      <w:pPr>
        <w:keepNext/>
        <w:spacing w:before="120" w:after="120"/>
        <w:rPr>
          <w:rFonts w:asciiTheme="majorHAnsi" w:eastAsiaTheme="majorEastAsia" w:hAnsiTheme="majorHAnsi" w:cstheme="majorBidi"/>
          <w:b/>
          <w:color w:val="4986A0" w:themeColor="text2"/>
          <w:szCs w:val="24"/>
          <w:lang w:val="en-US"/>
        </w:rPr>
      </w:pPr>
      <w:r w:rsidRPr="00871190">
        <w:rPr>
          <w:rFonts w:asciiTheme="majorHAnsi" w:eastAsiaTheme="majorEastAsia" w:hAnsiTheme="majorHAnsi" w:cstheme="majorBidi"/>
          <w:b/>
          <w:color w:val="4986A0" w:themeColor="text2"/>
          <w:szCs w:val="24"/>
          <w:lang w:val="en-US"/>
        </w:rPr>
        <w:lastRenderedPageBreak/>
        <w:t>Table 1.3: Time-varying minimum feed-in tariffs 2024</w:t>
      </w:r>
      <w:r w:rsidR="004062D1" w:rsidRPr="00871190">
        <w:rPr>
          <w:rFonts w:asciiTheme="majorHAnsi" w:eastAsiaTheme="majorEastAsia" w:hAnsiTheme="majorHAnsi" w:cstheme="majorBidi"/>
          <w:b/>
          <w:color w:val="4986A0" w:themeColor="text2"/>
          <w:szCs w:val="24"/>
          <w:lang w:val="en-US"/>
        </w:rPr>
        <w:t>–</w:t>
      </w:r>
      <w:r w:rsidRPr="00871190">
        <w:rPr>
          <w:rFonts w:asciiTheme="majorHAnsi" w:eastAsiaTheme="majorEastAsia" w:hAnsiTheme="majorHAnsi" w:cstheme="majorBidi"/>
          <w:b/>
          <w:color w:val="4986A0" w:themeColor="text2"/>
          <w:szCs w:val="24"/>
          <w:lang w:val="en-US"/>
        </w:rPr>
        <w:t xml:space="preserve">25: </w:t>
      </w:r>
      <w:r w:rsidR="00C760A5">
        <w:rPr>
          <w:rFonts w:asciiTheme="majorHAnsi" w:eastAsiaTheme="majorEastAsia" w:hAnsiTheme="majorHAnsi" w:cstheme="majorBidi"/>
          <w:b/>
          <w:color w:val="4986A0" w:themeColor="text2"/>
          <w:szCs w:val="24"/>
          <w:lang w:val="en-US"/>
        </w:rPr>
        <w:t>O</w:t>
      </w:r>
      <w:r w:rsidRPr="00871190">
        <w:rPr>
          <w:rFonts w:asciiTheme="majorHAnsi" w:eastAsiaTheme="majorEastAsia" w:hAnsiTheme="majorHAnsi" w:cstheme="majorBidi"/>
          <w:b/>
          <w:color w:val="4986A0" w:themeColor="text2"/>
          <w:szCs w:val="24"/>
          <w:lang w:val="en-US"/>
        </w:rPr>
        <w:t xml:space="preserve">ption </w:t>
      </w:r>
      <w:r w:rsidR="00C760A5">
        <w:rPr>
          <w:rFonts w:asciiTheme="majorHAnsi" w:eastAsiaTheme="majorEastAsia" w:hAnsiTheme="majorHAnsi" w:cstheme="majorBidi"/>
          <w:b/>
          <w:color w:val="4986A0" w:themeColor="text2"/>
          <w:szCs w:val="24"/>
          <w:lang w:val="en-US"/>
        </w:rPr>
        <w:t>2</w:t>
      </w:r>
      <w:r w:rsidRPr="00871190">
        <w:rPr>
          <w:rFonts w:asciiTheme="majorHAnsi" w:eastAsiaTheme="majorEastAsia" w:hAnsiTheme="majorHAnsi" w:cstheme="majorBidi"/>
          <w:b/>
          <w:color w:val="4986A0" w:themeColor="text2"/>
          <w:szCs w:val="24"/>
          <w:lang w:val="en-US"/>
        </w:rPr>
        <w:t xml:space="preserve"> (cents per kWh)</w:t>
      </w:r>
    </w:p>
    <w:tbl>
      <w:tblPr>
        <w:tblW w:w="10065" w:type="dxa"/>
        <w:tblLook w:val="04A0" w:firstRow="1" w:lastRow="0" w:firstColumn="1" w:lastColumn="0" w:noHBand="0" w:noVBand="1"/>
      </w:tblPr>
      <w:tblGrid>
        <w:gridCol w:w="3360"/>
        <w:gridCol w:w="2260"/>
        <w:gridCol w:w="2318"/>
        <w:gridCol w:w="2127"/>
      </w:tblGrid>
      <w:tr w:rsidR="00871190" w:rsidRPr="00871190" w14:paraId="3A404160" w14:textId="77777777">
        <w:trPr>
          <w:trHeight w:val="564"/>
        </w:trPr>
        <w:tc>
          <w:tcPr>
            <w:tcW w:w="3360" w:type="dxa"/>
            <w:tcBorders>
              <w:top w:val="nil"/>
              <w:left w:val="nil"/>
              <w:bottom w:val="single" w:sz="8" w:space="0" w:color="FFFFFF"/>
              <w:right w:val="nil"/>
            </w:tcBorders>
            <w:shd w:val="clear" w:color="000000" w:fill="4986A0"/>
            <w:vAlign w:val="center"/>
            <w:hideMark/>
          </w:tcPr>
          <w:p w14:paraId="51FFEABD" w14:textId="77777777" w:rsidR="00871190" w:rsidRPr="00A910B1" w:rsidRDefault="00871190" w:rsidP="00871190">
            <w:pPr>
              <w:spacing w:before="0" w:after="0" w:line="240" w:lineRule="auto"/>
              <w:rPr>
                <w:rFonts w:ascii="Arial" w:eastAsia="Times New Roman" w:hAnsi="Arial" w:cs="Arial"/>
                <w:b/>
                <w:color w:val="FFFFFF"/>
                <w:sz w:val="18"/>
                <w:szCs w:val="18"/>
                <w:lang w:eastAsia="zh-CN"/>
              </w:rPr>
            </w:pPr>
            <w:r w:rsidRPr="00A910B1">
              <w:rPr>
                <w:rFonts w:ascii="Arial" w:eastAsia="Times New Roman" w:hAnsi="Arial" w:cs="Arial"/>
                <w:b/>
                <w:color w:val="FFFFFF"/>
                <w:sz w:val="18"/>
                <w:szCs w:val="18"/>
                <w:lang w:eastAsia="zh-CN"/>
              </w:rPr>
              <w:t xml:space="preserve">Time block </w:t>
            </w:r>
          </w:p>
        </w:tc>
        <w:tc>
          <w:tcPr>
            <w:tcW w:w="2260" w:type="dxa"/>
            <w:tcBorders>
              <w:top w:val="nil"/>
              <w:left w:val="nil"/>
              <w:bottom w:val="single" w:sz="8" w:space="0" w:color="FFFFFF"/>
              <w:right w:val="nil"/>
            </w:tcBorders>
            <w:shd w:val="clear" w:color="000000" w:fill="4986A0"/>
            <w:vAlign w:val="center"/>
            <w:hideMark/>
          </w:tcPr>
          <w:p w14:paraId="61DD394A" w14:textId="77777777" w:rsidR="00871190" w:rsidRPr="00A910B1" w:rsidRDefault="00871190" w:rsidP="00871190">
            <w:pPr>
              <w:spacing w:before="0" w:after="0" w:line="240" w:lineRule="auto"/>
              <w:rPr>
                <w:rFonts w:ascii="Arial" w:eastAsia="Times New Roman" w:hAnsi="Arial" w:cs="Arial"/>
                <w:b/>
                <w:color w:val="FFFFFF"/>
                <w:sz w:val="18"/>
                <w:szCs w:val="18"/>
                <w:lang w:eastAsia="zh-CN"/>
              </w:rPr>
            </w:pPr>
            <w:r w:rsidRPr="00A910B1">
              <w:rPr>
                <w:rFonts w:ascii="Arial" w:eastAsia="Times New Roman" w:hAnsi="Arial" w:cs="Arial"/>
                <w:b/>
                <w:color w:val="FFFFFF"/>
                <w:sz w:val="18"/>
                <w:szCs w:val="18"/>
                <w:lang w:eastAsia="zh-CN"/>
              </w:rPr>
              <w:t>Shoulder</w:t>
            </w:r>
          </w:p>
        </w:tc>
        <w:tc>
          <w:tcPr>
            <w:tcW w:w="2318" w:type="dxa"/>
            <w:tcBorders>
              <w:top w:val="nil"/>
              <w:left w:val="nil"/>
              <w:bottom w:val="single" w:sz="8" w:space="0" w:color="FFFFFF"/>
              <w:right w:val="nil"/>
            </w:tcBorders>
            <w:shd w:val="clear" w:color="000000" w:fill="4986A0"/>
            <w:vAlign w:val="center"/>
            <w:hideMark/>
          </w:tcPr>
          <w:p w14:paraId="7EEBA38C" w14:textId="2FAB112B" w:rsidR="00871190" w:rsidRPr="00A910B1" w:rsidRDefault="00871190" w:rsidP="00871190">
            <w:pPr>
              <w:spacing w:before="0" w:after="0" w:line="240" w:lineRule="auto"/>
              <w:rPr>
                <w:rFonts w:ascii="Arial" w:eastAsia="Times New Roman" w:hAnsi="Arial" w:cs="Arial"/>
                <w:b/>
                <w:color w:val="FFFFFF"/>
                <w:sz w:val="18"/>
                <w:szCs w:val="18"/>
                <w:lang w:eastAsia="zh-CN"/>
              </w:rPr>
            </w:pPr>
            <w:r w:rsidRPr="00A910B1">
              <w:rPr>
                <w:rFonts w:ascii="Arial" w:eastAsia="Times New Roman" w:hAnsi="Arial" w:cs="Arial"/>
                <w:b/>
                <w:color w:val="FFFFFF"/>
                <w:sz w:val="18"/>
                <w:szCs w:val="18"/>
                <w:lang w:eastAsia="zh-CN"/>
              </w:rPr>
              <w:t xml:space="preserve">Off </w:t>
            </w:r>
            <w:r w:rsidR="00EF6A6F">
              <w:rPr>
                <w:rFonts w:ascii="Arial" w:eastAsia="Times New Roman" w:hAnsi="Arial" w:cs="Arial"/>
                <w:b/>
                <w:color w:val="FFFFFF"/>
                <w:sz w:val="18"/>
                <w:szCs w:val="18"/>
                <w:lang w:eastAsia="zh-CN"/>
              </w:rPr>
              <w:t>p</w:t>
            </w:r>
            <w:r w:rsidRPr="00A910B1">
              <w:rPr>
                <w:rFonts w:ascii="Arial" w:eastAsia="Times New Roman" w:hAnsi="Arial" w:cs="Arial"/>
                <w:b/>
                <w:color w:val="FFFFFF"/>
                <w:sz w:val="18"/>
                <w:szCs w:val="18"/>
                <w:lang w:eastAsia="zh-CN"/>
              </w:rPr>
              <w:t>eak</w:t>
            </w:r>
          </w:p>
        </w:tc>
        <w:tc>
          <w:tcPr>
            <w:tcW w:w="2127" w:type="dxa"/>
            <w:tcBorders>
              <w:top w:val="nil"/>
              <w:left w:val="nil"/>
              <w:bottom w:val="single" w:sz="8" w:space="0" w:color="FFFFFF"/>
              <w:right w:val="nil"/>
            </w:tcBorders>
            <w:shd w:val="clear" w:color="000000" w:fill="4986A0"/>
            <w:vAlign w:val="center"/>
            <w:hideMark/>
          </w:tcPr>
          <w:p w14:paraId="30EE1FA1" w14:textId="77777777" w:rsidR="00871190" w:rsidRPr="00A910B1" w:rsidRDefault="00871190" w:rsidP="00871190">
            <w:pPr>
              <w:spacing w:before="0" w:after="0" w:line="240" w:lineRule="auto"/>
              <w:rPr>
                <w:rFonts w:ascii="Arial" w:eastAsia="Times New Roman" w:hAnsi="Arial" w:cs="Arial"/>
                <w:b/>
                <w:color w:val="FFFFFF"/>
                <w:sz w:val="18"/>
                <w:szCs w:val="18"/>
                <w:lang w:eastAsia="zh-CN"/>
              </w:rPr>
            </w:pPr>
            <w:r w:rsidRPr="00A910B1">
              <w:rPr>
                <w:rFonts w:ascii="Arial" w:eastAsia="Times New Roman" w:hAnsi="Arial" w:cs="Arial"/>
                <w:b/>
                <w:color w:val="FFFFFF"/>
                <w:sz w:val="18"/>
                <w:szCs w:val="18"/>
                <w:lang w:eastAsia="zh-CN"/>
              </w:rPr>
              <w:t xml:space="preserve">Peak </w:t>
            </w:r>
          </w:p>
        </w:tc>
      </w:tr>
      <w:tr w:rsidR="00871190" w:rsidRPr="00871190" w14:paraId="408888B8" w14:textId="77777777">
        <w:trPr>
          <w:trHeight w:val="564"/>
        </w:trPr>
        <w:tc>
          <w:tcPr>
            <w:tcW w:w="3360" w:type="dxa"/>
            <w:tcBorders>
              <w:top w:val="nil"/>
              <w:left w:val="nil"/>
              <w:bottom w:val="single" w:sz="8" w:space="0" w:color="FFFFFF"/>
              <w:right w:val="nil"/>
            </w:tcBorders>
            <w:shd w:val="clear" w:color="000000" w:fill="F2F2F2"/>
            <w:vAlign w:val="center"/>
            <w:hideMark/>
          </w:tcPr>
          <w:p w14:paraId="4E18CA34" w14:textId="77777777" w:rsidR="00871190" w:rsidRPr="00A910B1" w:rsidRDefault="00871190"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Minimum feed-in tariff</w:t>
            </w:r>
          </w:p>
        </w:tc>
        <w:tc>
          <w:tcPr>
            <w:tcW w:w="2260" w:type="dxa"/>
            <w:tcBorders>
              <w:top w:val="nil"/>
              <w:left w:val="nil"/>
              <w:bottom w:val="single" w:sz="8" w:space="0" w:color="FFFFFF"/>
              <w:right w:val="nil"/>
            </w:tcBorders>
            <w:shd w:val="clear" w:color="000000" w:fill="F2F2F2"/>
            <w:vAlign w:val="center"/>
            <w:hideMark/>
          </w:tcPr>
          <w:p w14:paraId="28120DED" w14:textId="668487E5" w:rsidR="00871190" w:rsidRPr="00A910B1" w:rsidRDefault="00E52DAF"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4.1</w:t>
            </w:r>
          </w:p>
        </w:tc>
        <w:tc>
          <w:tcPr>
            <w:tcW w:w="2318" w:type="dxa"/>
            <w:tcBorders>
              <w:top w:val="nil"/>
              <w:left w:val="nil"/>
              <w:bottom w:val="single" w:sz="8" w:space="0" w:color="FFFFFF"/>
              <w:right w:val="nil"/>
            </w:tcBorders>
            <w:shd w:val="clear" w:color="000000" w:fill="F2F2F2"/>
            <w:vAlign w:val="center"/>
            <w:hideMark/>
          </w:tcPr>
          <w:p w14:paraId="57ACF930" w14:textId="7F1BBAA7" w:rsidR="00871190" w:rsidRPr="00A910B1" w:rsidRDefault="00E52DAF"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2.1</w:t>
            </w:r>
          </w:p>
        </w:tc>
        <w:tc>
          <w:tcPr>
            <w:tcW w:w="2127" w:type="dxa"/>
            <w:tcBorders>
              <w:top w:val="nil"/>
              <w:left w:val="nil"/>
              <w:bottom w:val="single" w:sz="8" w:space="0" w:color="FFFFFF"/>
              <w:right w:val="nil"/>
            </w:tcBorders>
            <w:shd w:val="clear" w:color="000000" w:fill="F2F2F2"/>
            <w:vAlign w:val="center"/>
            <w:hideMark/>
          </w:tcPr>
          <w:p w14:paraId="21E09A34" w14:textId="5A5110EB" w:rsidR="00871190" w:rsidRPr="00A910B1" w:rsidRDefault="00E52DAF"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8.4</w:t>
            </w:r>
          </w:p>
        </w:tc>
      </w:tr>
      <w:tr w:rsidR="00871190" w:rsidRPr="00871190" w14:paraId="75E7F49E" w14:textId="77777777">
        <w:trPr>
          <w:trHeight w:val="564"/>
        </w:trPr>
        <w:tc>
          <w:tcPr>
            <w:tcW w:w="3360" w:type="dxa"/>
            <w:tcBorders>
              <w:top w:val="nil"/>
              <w:left w:val="nil"/>
              <w:bottom w:val="single" w:sz="8" w:space="0" w:color="FFFFFF"/>
              <w:right w:val="nil"/>
            </w:tcBorders>
            <w:shd w:val="clear" w:color="000000" w:fill="E3E3E4"/>
            <w:vAlign w:val="center"/>
            <w:hideMark/>
          </w:tcPr>
          <w:p w14:paraId="50F1CDCA" w14:textId="77777777" w:rsidR="00871190" w:rsidRPr="00A910B1" w:rsidRDefault="00871190"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Applicable period every day</w:t>
            </w:r>
          </w:p>
        </w:tc>
        <w:tc>
          <w:tcPr>
            <w:tcW w:w="2260" w:type="dxa"/>
            <w:tcBorders>
              <w:top w:val="nil"/>
              <w:left w:val="nil"/>
              <w:bottom w:val="single" w:sz="8" w:space="0" w:color="FFFFFF"/>
              <w:right w:val="nil"/>
            </w:tcBorders>
            <w:shd w:val="clear" w:color="000000" w:fill="E3E3E4"/>
            <w:vAlign w:val="center"/>
            <w:hideMark/>
          </w:tcPr>
          <w:p w14:paraId="67709B24" w14:textId="77777777" w:rsidR="00871190" w:rsidRPr="00A910B1" w:rsidRDefault="00871190"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2 pm – 4 pm, 9 pm – 10 am</w:t>
            </w:r>
          </w:p>
        </w:tc>
        <w:tc>
          <w:tcPr>
            <w:tcW w:w="2318" w:type="dxa"/>
            <w:tcBorders>
              <w:top w:val="nil"/>
              <w:left w:val="nil"/>
              <w:bottom w:val="single" w:sz="8" w:space="0" w:color="FFFFFF"/>
              <w:right w:val="nil"/>
            </w:tcBorders>
            <w:shd w:val="clear" w:color="000000" w:fill="E3E3E4"/>
            <w:vAlign w:val="center"/>
            <w:hideMark/>
          </w:tcPr>
          <w:p w14:paraId="65FCAF55" w14:textId="77777777" w:rsidR="00871190" w:rsidRPr="00A910B1" w:rsidRDefault="00871190"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10 am – 2 pm</w:t>
            </w:r>
          </w:p>
        </w:tc>
        <w:tc>
          <w:tcPr>
            <w:tcW w:w="2127" w:type="dxa"/>
            <w:tcBorders>
              <w:top w:val="nil"/>
              <w:left w:val="nil"/>
              <w:bottom w:val="single" w:sz="8" w:space="0" w:color="FFFFFF"/>
              <w:right w:val="nil"/>
            </w:tcBorders>
            <w:shd w:val="clear" w:color="000000" w:fill="E3E3E4"/>
            <w:vAlign w:val="center"/>
            <w:hideMark/>
          </w:tcPr>
          <w:p w14:paraId="29DF485E" w14:textId="77777777" w:rsidR="00871190" w:rsidRPr="00A910B1" w:rsidRDefault="00871190" w:rsidP="00871190">
            <w:pPr>
              <w:spacing w:before="0" w:after="0" w:line="240" w:lineRule="auto"/>
              <w:rPr>
                <w:rFonts w:ascii="Arial" w:eastAsia="Times New Roman" w:hAnsi="Arial" w:cs="Arial"/>
                <w:color w:val="000000"/>
                <w:sz w:val="18"/>
                <w:szCs w:val="18"/>
                <w:lang w:eastAsia="zh-CN"/>
              </w:rPr>
            </w:pPr>
            <w:r w:rsidRPr="00A910B1">
              <w:rPr>
                <w:rFonts w:ascii="Arial" w:eastAsia="Times New Roman" w:hAnsi="Arial" w:cs="Arial"/>
                <w:color w:val="000000"/>
                <w:sz w:val="18"/>
                <w:szCs w:val="18"/>
                <w:lang w:eastAsia="zh-CN"/>
              </w:rPr>
              <w:t xml:space="preserve">4 pm – 9 pm </w:t>
            </w:r>
          </w:p>
        </w:tc>
      </w:tr>
    </w:tbl>
    <w:p w14:paraId="49757F5F" w14:textId="77777777" w:rsidR="009478C1" w:rsidRDefault="009478C1" w:rsidP="00164D7C">
      <w:pPr>
        <w:pStyle w:val="Heading2numbered"/>
      </w:pPr>
      <w:bookmarkStart w:id="43" w:name="_Toc159844545"/>
      <w:r>
        <w:t>Components of the feed-in tariff</w:t>
      </w:r>
      <w:bookmarkEnd w:id="43"/>
      <w:r>
        <w:t xml:space="preserve"> </w:t>
      </w:r>
    </w:p>
    <w:p w14:paraId="7A90037F" w14:textId="30A15611" w:rsidR="00AA6E63" w:rsidRDefault="009478C1" w:rsidP="007702CA">
      <w:r>
        <w:t xml:space="preserve">When setting the minimum feed-in tariffs we must have regard to certain costs that retailers avoid when they </w:t>
      </w:r>
      <w:r w:rsidR="0026494F">
        <w:t xml:space="preserve">purchase a </w:t>
      </w:r>
      <w:r>
        <w:t>solar</w:t>
      </w:r>
      <w:r w:rsidR="0026494F">
        <w:t xml:space="preserve"> customer’s</w:t>
      </w:r>
      <w:r>
        <w:t xml:space="preserve"> exports.</w:t>
      </w:r>
      <w:r w:rsidR="002611AD">
        <w:rPr>
          <w:rStyle w:val="FootnoteReference"/>
        </w:rPr>
        <w:footnoteReference w:id="13"/>
      </w:r>
      <w:r>
        <w:t xml:space="preserve"> These include:</w:t>
      </w:r>
    </w:p>
    <w:p w14:paraId="4DBFB271" w14:textId="2F7318C5" w:rsidR="00AA6E63" w:rsidRDefault="009478C1" w:rsidP="00164D7C">
      <w:pPr>
        <w:pStyle w:val="ListBullet"/>
        <w:rPr>
          <w:rStyle w:val="TableBulletChar"/>
        </w:rPr>
      </w:pPr>
      <w:r w:rsidRPr="00164D7C">
        <w:rPr>
          <w:rStyle w:val="TableBulletChar"/>
        </w:rPr>
        <w:t xml:space="preserve">solar weighted wholesale electricity prices during daytime hours </w:t>
      </w:r>
    </w:p>
    <w:p w14:paraId="67F6F175" w14:textId="0E6EABCC" w:rsidR="00AA6E63" w:rsidRDefault="009478C1" w:rsidP="00164D7C">
      <w:pPr>
        <w:pStyle w:val="ListBullet"/>
        <w:rPr>
          <w:rStyle w:val="TableBulletChar"/>
        </w:rPr>
      </w:pPr>
      <w:r w:rsidRPr="00164D7C">
        <w:rPr>
          <w:rStyle w:val="TableBulletChar"/>
        </w:rPr>
        <w:t xml:space="preserve">National Energy Market fees and ancillary service charges </w:t>
      </w:r>
    </w:p>
    <w:p w14:paraId="54816DBC" w14:textId="659523E3" w:rsidR="00A74690" w:rsidRPr="003B4892" w:rsidRDefault="009478C1" w:rsidP="00164D7C">
      <w:pPr>
        <w:pStyle w:val="ListBullet"/>
        <w:rPr>
          <w:rStyle w:val="TableBulletChar"/>
        </w:rPr>
      </w:pPr>
      <w:r w:rsidRPr="003B4892">
        <w:rPr>
          <w:rStyle w:val="TableBulletChar"/>
        </w:rPr>
        <w:t xml:space="preserve">network or line losses. </w:t>
      </w:r>
    </w:p>
    <w:p w14:paraId="7BE77B0D" w14:textId="77777777" w:rsidR="00795199" w:rsidRDefault="009478C1" w:rsidP="007702CA">
      <w:r>
        <w:t xml:space="preserve">We must also have regard to the avoided social cost of carbon and human health costs. </w:t>
      </w:r>
    </w:p>
    <w:p w14:paraId="348941ED" w14:textId="5476A582" w:rsidR="00784416" w:rsidRDefault="009478C1" w:rsidP="00784416">
      <w:r>
        <w:t>Solar weighted wholesale electricity prices</w:t>
      </w:r>
      <w:r w:rsidR="00AA0C7E">
        <w:t xml:space="preserve"> </w:t>
      </w:r>
      <w:r w:rsidR="00973065">
        <w:t xml:space="preserve">drive </w:t>
      </w:r>
      <w:r>
        <w:t xml:space="preserve">the changes in the feed-in tariffs. </w:t>
      </w:r>
      <w:r w:rsidR="00784416">
        <w:t>D</w:t>
      </w:r>
      <w:r w:rsidR="00784416" w:rsidRPr="00AA0C7E">
        <w:t xml:space="preserve">uring the </w:t>
      </w:r>
      <w:r w:rsidR="00784416">
        <w:t>peak and evening</w:t>
      </w:r>
      <w:r w:rsidR="00784416" w:rsidRPr="00AA0C7E">
        <w:t xml:space="preserve"> period</w:t>
      </w:r>
      <w:r w:rsidR="00784416">
        <w:t xml:space="preserve">s </w:t>
      </w:r>
      <w:r w:rsidR="00AB750E">
        <w:t xml:space="preserve">solar weighted </w:t>
      </w:r>
      <w:r w:rsidR="00784416" w:rsidRPr="00AA0C7E">
        <w:t>wholesale prices contribute</w:t>
      </w:r>
      <w:r w:rsidR="00784416">
        <w:t xml:space="preserve"> up to 65 per cent of the feed-in tariff</w:t>
      </w:r>
      <w:r w:rsidR="00D3546C">
        <w:t>s</w:t>
      </w:r>
      <w:r w:rsidR="00784416">
        <w:t xml:space="preserve">. However, </w:t>
      </w:r>
      <w:r w:rsidR="000978B4">
        <w:t xml:space="preserve">during the </w:t>
      </w:r>
      <w:r w:rsidR="00784416">
        <w:t>daytime and off-peak feed-in tariff</w:t>
      </w:r>
      <w:r w:rsidR="000978B4">
        <w:t xml:space="preserve"> periods, solar weighted wholesale prices contribute </w:t>
      </w:r>
      <w:r w:rsidR="000978B4" w:rsidRPr="00AA0C7E">
        <w:t>close to zero</w:t>
      </w:r>
      <w:r w:rsidR="000978B4">
        <w:t xml:space="preserve"> per cent</w:t>
      </w:r>
      <w:r w:rsidR="000978B4" w:rsidRPr="00AA0C7E">
        <w:t xml:space="preserve"> </w:t>
      </w:r>
      <w:r w:rsidR="00322958">
        <w:t xml:space="preserve">of the feed-in tariff </w:t>
      </w:r>
      <w:r w:rsidR="000978B4" w:rsidRPr="00AA0C7E">
        <w:t xml:space="preserve">or </w:t>
      </w:r>
      <w:r w:rsidR="00322958">
        <w:t>even reduce it</w:t>
      </w:r>
      <w:r w:rsidR="00784416">
        <w:t xml:space="preserve">. </w:t>
      </w:r>
    </w:p>
    <w:p w14:paraId="4FA60A0F" w14:textId="562F7E5F" w:rsidR="00AD7456" w:rsidRDefault="009478C1" w:rsidP="007702CA">
      <w:r>
        <w:t>Table 1.</w:t>
      </w:r>
      <w:r w:rsidR="003B08B2">
        <w:t>4</w:t>
      </w:r>
      <w:r>
        <w:t xml:space="preserve"> sets out the cost</w:t>
      </w:r>
      <w:r w:rsidR="00292B5C">
        <w:t>s</w:t>
      </w:r>
      <w:r>
        <w:t xml:space="preserve"> that make up the feed-in tariffs</w:t>
      </w:r>
      <w:r w:rsidR="00723758">
        <w:t xml:space="preserve">, including the </w:t>
      </w:r>
      <w:r w:rsidR="008A1E8C">
        <w:t>wholesale charges</w:t>
      </w:r>
      <w:r>
        <w:t xml:space="preserve">. </w:t>
      </w:r>
    </w:p>
    <w:p w14:paraId="7B65576A" w14:textId="2DFCC1B8" w:rsidR="00F02829" w:rsidRPr="00B81B98" w:rsidRDefault="009478C1" w:rsidP="00B81B98">
      <w:pPr>
        <w:keepNext/>
        <w:spacing w:before="120" w:after="120"/>
        <w:rPr>
          <w:rFonts w:asciiTheme="majorHAnsi" w:hAnsiTheme="majorHAnsi"/>
          <w:lang w:val="en-US"/>
        </w:rPr>
      </w:pPr>
      <w:r w:rsidRPr="00B85575">
        <w:rPr>
          <w:rFonts w:asciiTheme="majorHAnsi" w:eastAsiaTheme="majorEastAsia" w:hAnsiTheme="majorHAnsi" w:cstheme="majorBidi"/>
          <w:b/>
          <w:color w:val="4986A0" w:themeColor="text2"/>
          <w:szCs w:val="24"/>
          <w:lang w:val="en-US"/>
        </w:rPr>
        <w:t>Table 1.4: Components of the 202</w:t>
      </w:r>
      <w:r w:rsidR="000352C3" w:rsidRPr="00B85575">
        <w:rPr>
          <w:rFonts w:asciiTheme="majorHAnsi" w:eastAsiaTheme="majorEastAsia" w:hAnsiTheme="majorHAnsi" w:cstheme="majorBidi"/>
          <w:b/>
          <w:color w:val="4986A0" w:themeColor="text2"/>
          <w:szCs w:val="24"/>
          <w:lang w:val="en-US"/>
        </w:rPr>
        <w:t>4</w:t>
      </w:r>
      <w:r w:rsidRPr="00B85575">
        <w:rPr>
          <w:rFonts w:asciiTheme="majorHAnsi" w:eastAsiaTheme="majorEastAsia" w:hAnsiTheme="majorHAnsi" w:cstheme="majorBidi"/>
          <w:b/>
          <w:color w:val="4986A0" w:themeColor="text2"/>
          <w:szCs w:val="24"/>
          <w:lang w:val="en-US"/>
        </w:rPr>
        <w:t>–2</w:t>
      </w:r>
      <w:r w:rsidR="000352C3" w:rsidRPr="00B85575">
        <w:rPr>
          <w:rFonts w:asciiTheme="majorHAnsi" w:eastAsiaTheme="majorEastAsia" w:hAnsiTheme="majorHAnsi" w:cstheme="majorBidi"/>
          <w:b/>
          <w:color w:val="4986A0" w:themeColor="text2"/>
          <w:szCs w:val="24"/>
          <w:lang w:val="en-US"/>
        </w:rPr>
        <w:t>5</w:t>
      </w:r>
      <w:r w:rsidRPr="00B85575">
        <w:rPr>
          <w:rFonts w:asciiTheme="majorHAnsi" w:eastAsiaTheme="majorEastAsia" w:hAnsiTheme="majorHAnsi" w:cstheme="majorBidi"/>
          <w:b/>
          <w:color w:val="4986A0" w:themeColor="text2"/>
          <w:szCs w:val="24"/>
          <w:lang w:val="en-US"/>
        </w:rPr>
        <w:t xml:space="preserve"> minimum feed-in tariffs (cents per kWh)</w:t>
      </w:r>
    </w:p>
    <w:tbl>
      <w:tblPr>
        <w:tblStyle w:val="TableGrid"/>
        <w:tblW w:w="9498" w:type="dxa"/>
        <w:tblLayout w:type="fixed"/>
        <w:tblLook w:val="04A0" w:firstRow="1" w:lastRow="0" w:firstColumn="1" w:lastColumn="0" w:noHBand="0" w:noVBand="1"/>
        <w:tblCaption w:val="Table 1.3 Components of the 2022-23 minimum feed-in tariffs cents per kilowatt hour"/>
        <w:tblDescription w:val="Table 1.3 shows four components of the 2022-23 minimum feed-in tariff for each time block; flat/all times, overnight, day and early evening. Wholesale electricity prices; flat is 2.48, overnight is 4.27, day is 2.28 and early evening is 4.05. Market fees and ancillary service charges; flat, overnight, day and early evening are all 0.08. Value of avoided transmission and distribution losses; flat is 0.15, overnight is 0.25, day is 0.14 and early evening is 0.24. Value of social cost of carbon and human health costs; flat, overnight, day and early evening is 2.49. "/>
      </w:tblPr>
      <w:tblGrid>
        <w:gridCol w:w="2008"/>
        <w:gridCol w:w="588"/>
        <w:gridCol w:w="104"/>
        <w:gridCol w:w="1128"/>
        <w:gridCol w:w="850"/>
        <w:gridCol w:w="1134"/>
        <w:gridCol w:w="1276"/>
        <w:gridCol w:w="1276"/>
        <w:gridCol w:w="1134"/>
      </w:tblGrid>
      <w:tr w:rsidR="00422383" w:rsidRPr="00CD4227" w14:paraId="693B7B96" w14:textId="77777777">
        <w:trPr>
          <w:cnfStyle w:val="100000000000" w:firstRow="1" w:lastRow="0" w:firstColumn="0" w:lastColumn="0" w:oddVBand="0" w:evenVBand="0" w:oddHBand="0" w:evenHBand="0" w:firstRowFirstColumn="0" w:firstRowLastColumn="0" w:lastRowFirstColumn="0" w:lastRowLastColumn="0"/>
          <w:trHeight w:val="300"/>
        </w:trPr>
        <w:tc>
          <w:tcPr>
            <w:tcW w:w="2008" w:type="dxa"/>
            <w:noWrap/>
          </w:tcPr>
          <w:p w14:paraId="1F73725F" w14:textId="77777777" w:rsidR="00422383" w:rsidRPr="005B6922" w:rsidRDefault="00422383">
            <w:pPr>
              <w:pStyle w:val="TableHeading"/>
              <w:rPr>
                <w:sz w:val="18"/>
                <w:szCs w:val="18"/>
                <w:lang w:eastAsia="en-AU"/>
              </w:rPr>
            </w:pPr>
          </w:p>
        </w:tc>
        <w:tc>
          <w:tcPr>
            <w:tcW w:w="588" w:type="dxa"/>
            <w:noWrap/>
          </w:tcPr>
          <w:p w14:paraId="2AF779C2" w14:textId="77777777" w:rsidR="00422383" w:rsidRPr="005B6922" w:rsidRDefault="00422383">
            <w:pPr>
              <w:pStyle w:val="TableHeading"/>
              <w:jc w:val="center"/>
              <w:rPr>
                <w:sz w:val="18"/>
                <w:szCs w:val="18"/>
                <w:lang w:eastAsia="en-AU"/>
              </w:rPr>
            </w:pPr>
            <w:r w:rsidRPr="005B6922">
              <w:rPr>
                <w:sz w:val="18"/>
                <w:szCs w:val="18"/>
                <w:lang w:eastAsia="en-AU"/>
              </w:rPr>
              <w:t>Flat</w:t>
            </w:r>
          </w:p>
        </w:tc>
        <w:tc>
          <w:tcPr>
            <w:tcW w:w="3216" w:type="dxa"/>
            <w:gridSpan w:val="4"/>
            <w:noWrap/>
          </w:tcPr>
          <w:p w14:paraId="7306D9BF" w14:textId="64294FDE" w:rsidR="00422383" w:rsidRPr="005B6922" w:rsidRDefault="00AE5237">
            <w:pPr>
              <w:pStyle w:val="TableHeading"/>
              <w:jc w:val="center"/>
              <w:rPr>
                <w:sz w:val="18"/>
                <w:szCs w:val="18"/>
                <w:lang w:eastAsia="en-AU"/>
              </w:rPr>
            </w:pPr>
            <w:r>
              <w:rPr>
                <w:sz w:val="18"/>
                <w:szCs w:val="18"/>
                <w:lang w:eastAsia="en-AU"/>
              </w:rPr>
              <w:t xml:space="preserve">Option 1: </w:t>
            </w:r>
            <w:r w:rsidR="00422383" w:rsidRPr="005B6922">
              <w:rPr>
                <w:sz w:val="18"/>
                <w:szCs w:val="18"/>
                <w:lang w:eastAsia="en-AU"/>
              </w:rPr>
              <w:t xml:space="preserve">Time-varying </w:t>
            </w:r>
            <w:r w:rsidR="0019779D">
              <w:rPr>
                <w:sz w:val="18"/>
                <w:szCs w:val="18"/>
                <w:lang w:eastAsia="en-AU"/>
              </w:rPr>
              <w:t>tariffs</w:t>
            </w:r>
          </w:p>
        </w:tc>
        <w:tc>
          <w:tcPr>
            <w:tcW w:w="3686" w:type="dxa"/>
            <w:gridSpan w:val="3"/>
          </w:tcPr>
          <w:p w14:paraId="68DC5F28" w14:textId="2EE5A281" w:rsidR="00422383" w:rsidRPr="005B6922" w:rsidRDefault="003F261C">
            <w:pPr>
              <w:pStyle w:val="TableHeading"/>
              <w:jc w:val="center"/>
              <w:rPr>
                <w:sz w:val="18"/>
                <w:szCs w:val="18"/>
                <w:lang w:eastAsia="en-AU"/>
              </w:rPr>
            </w:pPr>
            <w:r>
              <w:rPr>
                <w:sz w:val="18"/>
                <w:szCs w:val="18"/>
                <w:lang w:eastAsia="en-AU"/>
              </w:rPr>
              <w:t xml:space="preserve">Option 2: </w:t>
            </w:r>
            <w:r w:rsidR="00422383" w:rsidRPr="005B6922">
              <w:rPr>
                <w:sz w:val="18"/>
                <w:szCs w:val="18"/>
                <w:lang w:eastAsia="en-AU"/>
              </w:rPr>
              <w:t xml:space="preserve">Time-varying </w:t>
            </w:r>
            <w:r>
              <w:rPr>
                <w:sz w:val="18"/>
                <w:szCs w:val="18"/>
                <w:lang w:eastAsia="en-AU"/>
              </w:rPr>
              <w:t>tariffs</w:t>
            </w:r>
          </w:p>
        </w:tc>
      </w:tr>
      <w:tr w:rsidR="00422383" w:rsidRPr="00CD4227" w14:paraId="24E0CE7E" w14:textId="77777777">
        <w:trPr>
          <w:cnfStyle w:val="000000100000" w:firstRow="0" w:lastRow="0" w:firstColumn="0" w:lastColumn="0" w:oddVBand="0" w:evenVBand="0" w:oddHBand="1" w:evenHBand="0" w:firstRowFirstColumn="0" w:firstRowLastColumn="0" w:lastRowFirstColumn="0" w:lastRowLastColumn="0"/>
          <w:trHeight w:val="300"/>
        </w:trPr>
        <w:tc>
          <w:tcPr>
            <w:tcW w:w="2008" w:type="dxa"/>
            <w:noWrap/>
            <w:hideMark/>
          </w:tcPr>
          <w:p w14:paraId="2A012593" w14:textId="77777777" w:rsidR="00422383" w:rsidRPr="005B6922" w:rsidRDefault="00422383">
            <w:pPr>
              <w:pStyle w:val="TableHeading"/>
              <w:rPr>
                <w:color w:val="auto"/>
                <w:sz w:val="18"/>
                <w:szCs w:val="18"/>
                <w:lang w:eastAsia="en-AU"/>
              </w:rPr>
            </w:pPr>
            <w:r w:rsidRPr="005B6922">
              <w:rPr>
                <w:color w:val="auto"/>
                <w:sz w:val="18"/>
                <w:szCs w:val="18"/>
                <w:lang w:eastAsia="en-AU"/>
              </w:rPr>
              <w:t>Component</w:t>
            </w:r>
          </w:p>
        </w:tc>
        <w:tc>
          <w:tcPr>
            <w:tcW w:w="692" w:type="dxa"/>
            <w:gridSpan w:val="2"/>
            <w:noWrap/>
          </w:tcPr>
          <w:p w14:paraId="090B4A74" w14:textId="77777777" w:rsidR="00422383" w:rsidRPr="005B6922" w:rsidRDefault="00422383">
            <w:pPr>
              <w:pStyle w:val="TableHeading"/>
              <w:jc w:val="right"/>
              <w:rPr>
                <w:color w:val="auto"/>
                <w:sz w:val="18"/>
                <w:szCs w:val="18"/>
                <w:lang w:eastAsia="en-AU"/>
              </w:rPr>
            </w:pPr>
          </w:p>
        </w:tc>
        <w:tc>
          <w:tcPr>
            <w:tcW w:w="1128" w:type="dxa"/>
            <w:noWrap/>
            <w:hideMark/>
          </w:tcPr>
          <w:p w14:paraId="1133F3A6" w14:textId="77777777" w:rsidR="00422383" w:rsidRPr="005B6922" w:rsidRDefault="00422383">
            <w:pPr>
              <w:pStyle w:val="TableHeading"/>
              <w:jc w:val="right"/>
              <w:rPr>
                <w:color w:val="auto"/>
                <w:sz w:val="18"/>
                <w:szCs w:val="18"/>
                <w:lang w:eastAsia="en-AU"/>
              </w:rPr>
            </w:pPr>
            <w:r w:rsidRPr="005B6922">
              <w:rPr>
                <w:color w:val="auto"/>
                <w:sz w:val="18"/>
                <w:szCs w:val="18"/>
                <w:lang w:eastAsia="en-AU"/>
              </w:rPr>
              <w:t xml:space="preserve">Overnight </w:t>
            </w:r>
          </w:p>
        </w:tc>
        <w:tc>
          <w:tcPr>
            <w:tcW w:w="850" w:type="dxa"/>
            <w:noWrap/>
            <w:hideMark/>
          </w:tcPr>
          <w:p w14:paraId="1116E0EE" w14:textId="77777777" w:rsidR="00422383" w:rsidRPr="005B6922" w:rsidRDefault="00422383">
            <w:pPr>
              <w:pStyle w:val="TableHeading"/>
              <w:jc w:val="right"/>
              <w:rPr>
                <w:color w:val="auto"/>
                <w:sz w:val="18"/>
                <w:szCs w:val="18"/>
                <w:lang w:eastAsia="en-AU"/>
              </w:rPr>
            </w:pPr>
            <w:r w:rsidRPr="005B6922">
              <w:rPr>
                <w:color w:val="auto"/>
                <w:sz w:val="18"/>
                <w:szCs w:val="18"/>
                <w:lang w:eastAsia="en-AU"/>
              </w:rPr>
              <w:t>Day</w:t>
            </w:r>
          </w:p>
        </w:tc>
        <w:tc>
          <w:tcPr>
            <w:tcW w:w="1134" w:type="dxa"/>
            <w:noWrap/>
            <w:hideMark/>
          </w:tcPr>
          <w:p w14:paraId="35BFB1B9" w14:textId="77777777" w:rsidR="00422383" w:rsidRPr="005B6922" w:rsidRDefault="00422383">
            <w:pPr>
              <w:pStyle w:val="TableHeading"/>
              <w:jc w:val="right"/>
              <w:rPr>
                <w:color w:val="auto"/>
                <w:sz w:val="18"/>
                <w:szCs w:val="18"/>
                <w:lang w:eastAsia="en-AU"/>
              </w:rPr>
            </w:pPr>
            <w:r w:rsidRPr="005B6922">
              <w:rPr>
                <w:color w:val="auto"/>
                <w:sz w:val="18"/>
                <w:szCs w:val="18"/>
                <w:lang w:eastAsia="en-AU"/>
              </w:rPr>
              <w:t xml:space="preserve">Early evening </w:t>
            </w:r>
          </w:p>
        </w:tc>
        <w:tc>
          <w:tcPr>
            <w:tcW w:w="1276" w:type="dxa"/>
          </w:tcPr>
          <w:p w14:paraId="1611E6F1" w14:textId="77777777" w:rsidR="00422383" w:rsidRPr="005B6922" w:rsidRDefault="00422383">
            <w:pPr>
              <w:pStyle w:val="TableHeading"/>
              <w:jc w:val="right"/>
              <w:rPr>
                <w:color w:val="auto"/>
                <w:sz w:val="18"/>
                <w:szCs w:val="18"/>
                <w:lang w:eastAsia="en-AU"/>
              </w:rPr>
            </w:pPr>
            <w:r w:rsidRPr="005B6922">
              <w:rPr>
                <w:color w:val="auto"/>
                <w:sz w:val="18"/>
                <w:szCs w:val="18"/>
                <w:lang w:eastAsia="en-AU"/>
              </w:rPr>
              <w:t>Shoulder</w:t>
            </w:r>
          </w:p>
        </w:tc>
        <w:tc>
          <w:tcPr>
            <w:tcW w:w="1276" w:type="dxa"/>
          </w:tcPr>
          <w:p w14:paraId="47D57222" w14:textId="31B780B5" w:rsidR="00422383" w:rsidRPr="005B6922" w:rsidRDefault="00FC50B2">
            <w:pPr>
              <w:pStyle w:val="TableHeading"/>
              <w:jc w:val="right"/>
              <w:rPr>
                <w:color w:val="auto"/>
                <w:sz w:val="18"/>
                <w:szCs w:val="18"/>
                <w:lang w:eastAsia="en-AU"/>
              </w:rPr>
            </w:pPr>
            <w:r w:rsidRPr="005B6922">
              <w:rPr>
                <w:color w:val="auto"/>
                <w:sz w:val="18"/>
                <w:szCs w:val="18"/>
                <w:lang w:eastAsia="en-AU"/>
              </w:rPr>
              <w:t>Off-peak</w:t>
            </w:r>
          </w:p>
        </w:tc>
        <w:tc>
          <w:tcPr>
            <w:tcW w:w="1134" w:type="dxa"/>
          </w:tcPr>
          <w:p w14:paraId="6288603C" w14:textId="34135145" w:rsidR="00422383" w:rsidRPr="005B6922" w:rsidRDefault="00FC50B2">
            <w:pPr>
              <w:pStyle w:val="TableHeading"/>
              <w:jc w:val="right"/>
              <w:rPr>
                <w:color w:val="auto"/>
                <w:sz w:val="18"/>
                <w:szCs w:val="18"/>
                <w:lang w:eastAsia="en-AU"/>
              </w:rPr>
            </w:pPr>
            <w:r w:rsidRPr="005B6922">
              <w:rPr>
                <w:color w:val="auto"/>
                <w:sz w:val="18"/>
                <w:szCs w:val="18"/>
                <w:lang w:eastAsia="en-AU"/>
              </w:rPr>
              <w:t>Peak</w:t>
            </w:r>
            <w:r w:rsidR="00422383" w:rsidRPr="005B6922">
              <w:rPr>
                <w:color w:val="auto"/>
                <w:sz w:val="18"/>
                <w:szCs w:val="18"/>
                <w:lang w:eastAsia="en-AU"/>
              </w:rPr>
              <w:t xml:space="preserve"> </w:t>
            </w:r>
          </w:p>
        </w:tc>
      </w:tr>
      <w:tr w:rsidR="00422383" w:rsidRPr="0037227A" w14:paraId="1B8D380D" w14:textId="77777777">
        <w:trPr>
          <w:cnfStyle w:val="000000010000" w:firstRow="0" w:lastRow="0" w:firstColumn="0" w:lastColumn="0" w:oddVBand="0" w:evenVBand="0" w:oddHBand="0" w:evenHBand="1" w:firstRowFirstColumn="0" w:firstRowLastColumn="0" w:lastRowFirstColumn="0" w:lastRowLastColumn="0"/>
          <w:trHeight w:val="285"/>
        </w:trPr>
        <w:tc>
          <w:tcPr>
            <w:tcW w:w="2008" w:type="dxa"/>
            <w:noWrap/>
            <w:hideMark/>
          </w:tcPr>
          <w:p w14:paraId="5F5E7271" w14:textId="77777777" w:rsidR="00422383" w:rsidRPr="005B6922" w:rsidRDefault="00422383">
            <w:pPr>
              <w:pStyle w:val="TableBody"/>
              <w:rPr>
                <w:sz w:val="18"/>
                <w:szCs w:val="18"/>
                <w:lang w:eastAsia="en-AU"/>
              </w:rPr>
            </w:pPr>
            <w:r w:rsidRPr="005B6922">
              <w:rPr>
                <w:sz w:val="18"/>
                <w:szCs w:val="18"/>
                <w:lang w:eastAsia="en-AU"/>
              </w:rPr>
              <w:t>Solar weighted wholesale electricity prices</w:t>
            </w:r>
          </w:p>
        </w:tc>
        <w:tc>
          <w:tcPr>
            <w:tcW w:w="692" w:type="dxa"/>
            <w:gridSpan w:val="2"/>
            <w:noWrap/>
            <w:hideMark/>
          </w:tcPr>
          <w:p w14:paraId="45593B82" w14:textId="4B3D2CCD" w:rsidR="00422383" w:rsidRPr="005B6922" w:rsidRDefault="00CB061C">
            <w:pPr>
              <w:pStyle w:val="TableBody"/>
              <w:jc w:val="right"/>
              <w:rPr>
                <w:sz w:val="18"/>
                <w:szCs w:val="18"/>
                <w:lang w:eastAsia="en-AU"/>
              </w:rPr>
            </w:pPr>
            <w:r w:rsidRPr="005B6922">
              <w:rPr>
                <w:sz w:val="18"/>
                <w:szCs w:val="18"/>
              </w:rPr>
              <w:t>0</w:t>
            </w:r>
            <w:r w:rsidR="00422383" w:rsidRPr="005B6922">
              <w:rPr>
                <w:sz w:val="18"/>
                <w:szCs w:val="18"/>
              </w:rPr>
              <w:t>.</w:t>
            </w:r>
            <w:r w:rsidRPr="005B6922">
              <w:rPr>
                <w:sz w:val="18"/>
                <w:szCs w:val="18"/>
              </w:rPr>
              <w:t>6</w:t>
            </w:r>
            <w:r w:rsidR="00D54D19" w:rsidRPr="005B6922">
              <w:rPr>
                <w:sz w:val="18"/>
                <w:szCs w:val="18"/>
              </w:rPr>
              <w:t>4</w:t>
            </w:r>
          </w:p>
        </w:tc>
        <w:tc>
          <w:tcPr>
            <w:tcW w:w="1128" w:type="dxa"/>
            <w:noWrap/>
            <w:hideMark/>
          </w:tcPr>
          <w:p w14:paraId="0B4CB7A2" w14:textId="4A53ACD7" w:rsidR="00422383" w:rsidRPr="005B6922" w:rsidRDefault="005F3081">
            <w:pPr>
              <w:pStyle w:val="TableBody"/>
              <w:jc w:val="right"/>
              <w:rPr>
                <w:sz w:val="18"/>
                <w:szCs w:val="18"/>
                <w:lang w:eastAsia="en-AU"/>
              </w:rPr>
            </w:pPr>
            <w:r w:rsidRPr="005B6922">
              <w:rPr>
                <w:sz w:val="18"/>
                <w:szCs w:val="18"/>
              </w:rPr>
              <w:t>4</w:t>
            </w:r>
            <w:r w:rsidR="00422383" w:rsidRPr="005B6922">
              <w:rPr>
                <w:sz w:val="18"/>
                <w:szCs w:val="18"/>
              </w:rPr>
              <w:t>.</w:t>
            </w:r>
            <w:r w:rsidRPr="005B6922">
              <w:rPr>
                <w:sz w:val="18"/>
                <w:szCs w:val="18"/>
              </w:rPr>
              <w:t>74</w:t>
            </w:r>
          </w:p>
        </w:tc>
        <w:tc>
          <w:tcPr>
            <w:tcW w:w="850" w:type="dxa"/>
            <w:noWrap/>
            <w:hideMark/>
          </w:tcPr>
          <w:p w14:paraId="192D6752" w14:textId="40242C03" w:rsidR="00422383" w:rsidRPr="005B6922" w:rsidRDefault="005F3081">
            <w:pPr>
              <w:pStyle w:val="TableBody"/>
              <w:jc w:val="right"/>
              <w:rPr>
                <w:sz w:val="18"/>
                <w:szCs w:val="18"/>
                <w:lang w:eastAsia="en-AU"/>
              </w:rPr>
            </w:pPr>
            <w:r w:rsidRPr="005B6922">
              <w:rPr>
                <w:sz w:val="18"/>
                <w:szCs w:val="18"/>
              </w:rPr>
              <w:t>0</w:t>
            </w:r>
            <w:r w:rsidR="00422383" w:rsidRPr="005B6922">
              <w:rPr>
                <w:sz w:val="18"/>
                <w:szCs w:val="18"/>
              </w:rPr>
              <w:t>.</w:t>
            </w:r>
            <w:r w:rsidRPr="005B6922">
              <w:rPr>
                <w:sz w:val="18"/>
                <w:szCs w:val="18"/>
              </w:rPr>
              <w:t>20</w:t>
            </w:r>
          </w:p>
        </w:tc>
        <w:tc>
          <w:tcPr>
            <w:tcW w:w="1134" w:type="dxa"/>
            <w:noWrap/>
            <w:hideMark/>
          </w:tcPr>
          <w:p w14:paraId="7DE1615E" w14:textId="68720B9A" w:rsidR="00422383" w:rsidRPr="005B6922" w:rsidRDefault="002C03C5">
            <w:pPr>
              <w:pStyle w:val="TableBody"/>
              <w:jc w:val="right"/>
              <w:rPr>
                <w:sz w:val="18"/>
                <w:szCs w:val="18"/>
                <w:lang w:eastAsia="en-AU"/>
              </w:rPr>
            </w:pPr>
            <w:r w:rsidRPr="005B6922">
              <w:rPr>
                <w:sz w:val="18"/>
                <w:szCs w:val="18"/>
              </w:rPr>
              <w:t>4.19</w:t>
            </w:r>
          </w:p>
        </w:tc>
        <w:tc>
          <w:tcPr>
            <w:tcW w:w="1276" w:type="dxa"/>
          </w:tcPr>
          <w:p w14:paraId="4A615646" w14:textId="5EC53D8F" w:rsidR="00422383" w:rsidRPr="005B6922" w:rsidRDefault="0097699C">
            <w:pPr>
              <w:pStyle w:val="TableBody"/>
              <w:jc w:val="right"/>
              <w:rPr>
                <w:sz w:val="18"/>
                <w:szCs w:val="18"/>
              </w:rPr>
            </w:pPr>
            <w:r w:rsidRPr="005B6922">
              <w:rPr>
                <w:sz w:val="18"/>
                <w:szCs w:val="18"/>
              </w:rPr>
              <w:t>1</w:t>
            </w:r>
            <w:r w:rsidR="00422383" w:rsidRPr="005B6922">
              <w:rPr>
                <w:sz w:val="18"/>
                <w:szCs w:val="18"/>
              </w:rPr>
              <w:t>.</w:t>
            </w:r>
            <w:r w:rsidRPr="005B6922">
              <w:rPr>
                <w:sz w:val="18"/>
                <w:szCs w:val="18"/>
              </w:rPr>
              <w:t>41</w:t>
            </w:r>
          </w:p>
        </w:tc>
        <w:tc>
          <w:tcPr>
            <w:tcW w:w="1276" w:type="dxa"/>
          </w:tcPr>
          <w:p w14:paraId="1337907A" w14:textId="35E54642" w:rsidR="00422383" w:rsidRPr="005B6922" w:rsidRDefault="00C32F22">
            <w:pPr>
              <w:pStyle w:val="TableBody"/>
              <w:jc w:val="right"/>
              <w:rPr>
                <w:sz w:val="18"/>
                <w:szCs w:val="18"/>
              </w:rPr>
            </w:pPr>
            <w:r w:rsidRPr="005B6922">
              <w:rPr>
                <w:sz w:val="18"/>
                <w:szCs w:val="18"/>
              </w:rPr>
              <w:t xml:space="preserve"> -0.41</w:t>
            </w:r>
          </w:p>
        </w:tc>
        <w:tc>
          <w:tcPr>
            <w:tcW w:w="1134" w:type="dxa"/>
          </w:tcPr>
          <w:p w14:paraId="55AE5204" w14:textId="0226A700" w:rsidR="00422383" w:rsidRPr="005B6922" w:rsidRDefault="00C32F22">
            <w:pPr>
              <w:pStyle w:val="TableBody"/>
              <w:jc w:val="right"/>
              <w:rPr>
                <w:sz w:val="18"/>
                <w:szCs w:val="18"/>
              </w:rPr>
            </w:pPr>
            <w:r w:rsidRPr="005B6922">
              <w:rPr>
                <w:sz w:val="18"/>
                <w:szCs w:val="18"/>
              </w:rPr>
              <w:t>5.48</w:t>
            </w:r>
          </w:p>
        </w:tc>
      </w:tr>
      <w:tr w:rsidR="00422383" w:rsidRPr="0037227A" w14:paraId="0000103E" w14:textId="77777777">
        <w:trPr>
          <w:cnfStyle w:val="000000100000" w:firstRow="0" w:lastRow="0" w:firstColumn="0" w:lastColumn="0" w:oddVBand="0" w:evenVBand="0" w:oddHBand="1" w:evenHBand="0" w:firstRowFirstColumn="0" w:firstRowLastColumn="0" w:lastRowFirstColumn="0" w:lastRowLastColumn="0"/>
          <w:trHeight w:val="285"/>
        </w:trPr>
        <w:tc>
          <w:tcPr>
            <w:tcW w:w="2008" w:type="dxa"/>
            <w:noWrap/>
            <w:hideMark/>
          </w:tcPr>
          <w:p w14:paraId="13AC00F9" w14:textId="1CBDB235" w:rsidR="00422383" w:rsidRPr="005B6922" w:rsidRDefault="00591032">
            <w:pPr>
              <w:pStyle w:val="TableBody"/>
              <w:rPr>
                <w:sz w:val="18"/>
                <w:szCs w:val="18"/>
                <w:lang w:eastAsia="en-AU"/>
              </w:rPr>
            </w:pPr>
            <w:r w:rsidRPr="005B6922">
              <w:rPr>
                <w:sz w:val="18"/>
                <w:szCs w:val="18"/>
                <w:lang w:eastAsia="en-AU"/>
              </w:rPr>
              <w:t>Avoided market</w:t>
            </w:r>
            <w:r w:rsidR="00422383" w:rsidRPr="005B6922">
              <w:rPr>
                <w:sz w:val="18"/>
                <w:szCs w:val="18"/>
                <w:lang w:eastAsia="en-AU"/>
              </w:rPr>
              <w:t xml:space="preserve"> fees and ancillary service charges</w:t>
            </w:r>
          </w:p>
        </w:tc>
        <w:tc>
          <w:tcPr>
            <w:tcW w:w="692" w:type="dxa"/>
            <w:gridSpan w:val="2"/>
            <w:noWrap/>
            <w:hideMark/>
          </w:tcPr>
          <w:p w14:paraId="48AE176A" w14:textId="457F5DB1" w:rsidR="00422383" w:rsidRPr="005B6922" w:rsidRDefault="00E10A8E">
            <w:pPr>
              <w:pStyle w:val="TableBody"/>
              <w:jc w:val="right"/>
              <w:rPr>
                <w:sz w:val="18"/>
                <w:szCs w:val="18"/>
                <w:lang w:eastAsia="en-AU"/>
              </w:rPr>
            </w:pPr>
            <w:r w:rsidRPr="005B6922">
              <w:rPr>
                <w:sz w:val="18"/>
                <w:szCs w:val="18"/>
              </w:rPr>
              <w:t>0.08</w:t>
            </w:r>
          </w:p>
        </w:tc>
        <w:tc>
          <w:tcPr>
            <w:tcW w:w="1128" w:type="dxa"/>
            <w:noWrap/>
            <w:hideMark/>
          </w:tcPr>
          <w:p w14:paraId="59C517DF" w14:textId="3C47F86B" w:rsidR="00422383" w:rsidRPr="005B6922" w:rsidRDefault="00B06518">
            <w:pPr>
              <w:pStyle w:val="TableBody"/>
              <w:jc w:val="right"/>
              <w:rPr>
                <w:sz w:val="18"/>
                <w:szCs w:val="18"/>
                <w:lang w:eastAsia="en-AU"/>
              </w:rPr>
            </w:pPr>
            <w:r w:rsidRPr="005B6922">
              <w:rPr>
                <w:sz w:val="18"/>
                <w:szCs w:val="18"/>
              </w:rPr>
              <w:t>0.08</w:t>
            </w:r>
          </w:p>
        </w:tc>
        <w:tc>
          <w:tcPr>
            <w:tcW w:w="850" w:type="dxa"/>
            <w:noWrap/>
            <w:hideMark/>
          </w:tcPr>
          <w:p w14:paraId="7931A218" w14:textId="578FB1AF" w:rsidR="00422383" w:rsidRPr="005B6922" w:rsidRDefault="00B06518">
            <w:pPr>
              <w:pStyle w:val="TableBody"/>
              <w:jc w:val="right"/>
              <w:rPr>
                <w:sz w:val="18"/>
                <w:szCs w:val="18"/>
                <w:lang w:eastAsia="en-AU"/>
              </w:rPr>
            </w:pPr>
            <w:r w:rsidRPr="005B6922">
              <w:rPr>
                <w:sz w:val="18"/>
                <w:szCs w:val="18"/>
              </w:rPr>
              <w:t>0.08</w:t>
            </w:r>
          </w:p>
        </w:tc>
        <w:tc>
          <w:tcPr>
            <w:tcW w:w="1134" w:type="dxa"/>
            <w:noWrap/>
            <w:hideMark/>
          </w:tcPr>
          <w:p w14:paraId="00247BFE" w14:textId="47F645F9" w:rsidR="00422383" w:rsidRPr="005B6922" w:rsidRDefault="00B06518">
            <w:pPr>
              <w:pStyle w:val="TableBody"/>
              <w:jc w:val="right"/>
              <w:rPr>
                <w:sz w:val="18"/>
                <w:szCs w:val="18"/>
              </w:rPr>
            </w:pPr>
            <w:r w:rsidRPr="005B6922">
              <w:rPr>
                <w:sz w:val="18"/>
                <w:szCs w:val="18"/>
              </w:rPr>
              <w:t>0.08</w:t>
            </w:r>
          </w:p>
        </w:tc>
        <w:tc>
          <w:tcPr>
            <w:tcW w:w="1276" w:type="dxa"/>
          </w:tcPr>
          <w:p w14:paraId="12B569C3" w14:textId="155F5E62" w:rsidR="00422383" w:rsidRPr="005B6922" w:rsidRDefault="00B06518">
            <w:pPr>
              <w:pStyle w:val="TableBody"/>
              <w:jc w:val="right"/>
              <w:rPr>
                <w:sz w:val="18"/>
                <w:szCs w:val="18"/>
              </w:rPr>
            </w:pPr>
            <w:r w:rsidRPr="005B6922">
              <w:rPr>
                <w:sz w:val="18"/>
                <w:szCs w:val="18"/>
              </w:rPr>
              <w:t>0.08</w:t>
            </w:r>
          </w:p>
        </w:tc>
        <w:tc>
          <w:tcPr>
            <w:tcW w:w="1276" w:type="dxa"/>
          </w:tcPr>
          <w:p w14:paraId="54A710F1" w14:textId="20AB7C03" w:rsidR="00422383" w:rsidRPr="005B6922" w:rsidRDefault="00B06518">
            <w:pPr>
              <w:pStyle w:val="TableBody"/>
              <w:jc w:val="right"/>
              <w:rPr>
                <w:sz w:val="18"/>
                <w:szCs w:val="18"/>
              </w:rPr>
            </w:pPr>
            <w:r w:rsidRPr="005B6922">
              <w:rPr>
                <w:sz w:val="18"/>
                <w:szCs w:val="18"/>
              </w:rPr>
              <w:t>0.08</w:t>
            </w:r>
          </w:p>
        </w:tc>
        <w:tc>
          <w:tcPr>
            <w:tcW w:w="1134" w:type="dxa"/>
          </w:tcPr>
          <w:p w14:paraId="2841D11D" w14:textId="7F0D201B" w:rsidR="00422383" w:rsidRPr="005B6922" w:rsidRDefault="00B06518">
            <w:pPr>
              <w:pStyle w:val="TableBody"/>
              <w:jc w:val="right"/>
              <w:rPr>
                <w:sz w:val="18"/>
                <w:szCs w:val="18"/>
              </w:rPr>
            </w:pPr>
            <w:r w:rsidRPr="005B6922">
              <w:rPr>
                <w:sz w:val="18"/>
                <w:szCs w:val="18"/>
              </w:rPr>
              <w:t>0.08</w:t>
            </w:r>
          </w:p>
        </w:tc>
      </w:tr>
      <w:tr w:rsidR="00422383" w:rsidRPr="0037227A" w14:paraId="403B37B1" w14:textId="77777777">
        <w:trPr>
          <w:cnfStyle w:val="000000010000" w:firstRow="0" w:lastRow="0" w:firstColumn="0" w:lastColumn="0" w:oddVBand="0" w:evenVBand="0" w:oddHBand="0" w:evenHBand="1" w:firstRowFirstColumn="0" w:firstRowLastColumn="0" w:lastRowFirstColumn="0" w:lastRowLastColumn="0"/>
          <w:trHeight w:val="285"/>
        </w:trPr>
        <w:tc>
          <w:tcPr>
            <w:tcW w:w="2008" w:type="dxa"/>
            <w:noWrap/>
            <w:hideMark/>
          </w:tcPr>
          <w:p w14:paraId="1D7BD1AC" w14:textId="77777777" w:rsidR="00422383" w:rsidRPr="005B6922" w:rsidRDefault="00422383">
            <w:pPr>
              <w:pStyle w:val="TableBody"/>
              <w:rPr>
                <w:sz w:val="18"/>
                <w:szCs w:val="18"/>
                <w:lang w:eastAsia="en-AU"/>
              </w:rPr>
            </w:pPr>
            <w:r w:rsidRPr="005B6922">
              <w:rPr>
                <w:sz w:val="18"/>
                <w:szCs w:val="18"/>
                <w:lang w:eastAsia="en-AU"/>
              </w:rPr>
              <w:t xml:space="preserve">Value of avoided transmission </w:t>
            </w:r>
          </w:p>
          <w:p w14:paraId="32278156" w14:textId="77777777" w:rsidR="00422383" w:rsidRPr="005B6922" w:rsidRDefault="00422383">
            <w:pPr>
              <w:pStyle w:val="TableBody"/>
              <w:rPr>
                <w:sz w:val="18"/>
                <w:szCs w:val="18"/>
                <w:lang w:eastAsia="en-AU"/>
              </w:rPr>
            </w:pPr>
            <w:r w:rsidRPr="005B6922">
              <w:rPr>
                <w:sz w:val="18"/>
                <w:szCs w:val="18"/>
                <w:lang w:eastAsia="en-AU"/>
              </w:rPr>
              <w:t>and distribution losses</w:t>
            </w:r>
            <w:r w:rsidRPr="005B6922">
              <w:rPr>
                <w:rStyle w:val="FootnoteReference"/>
                <w:sz w:val="18"/>
                <w:szCs w:val="18"/>
                <w:lang w:eastAsia="en-AU"/>
              </w:rPr>
              <w:footnoteReference w:id="14"/>
            </w:r>
          </w:p>
        </w:tc>
        <w:tc>
          <w:tcPr>
            <w:tcW w:w="692" w:type="dxa"/>
            <w:gridSpan w:val="2"/>
            <w:noWrap/>
            <w:hideMark/>
          </w:tcPr>
          <w:p w14:paraId="30999D4E" w14:textId="1CDB5D41" w:rsidR="00422383" w:rsidRPr="005B6922" w:rsidRDefault="00E10A8E">
            <w:pPr>
              <w:pStyle w:val="TableBody"/>
              <w:jc w:val="right"/>
              <w:rPr>
                <w:sz w:val="18"/>
                <w:szCs w:val="18"/>
                <w:lang w:eastAsia="en-AU"/>
              </w:rPr>
            </w:pPr>
            <w:r w:rsidRPr="005B6922">
              <w:rPr>
                <w:sz w:val="18"/>
                <w:szCs w:val="18"/>
              </w:rPr>
              <w:t>0.05</w:t>
            </w:r>
          </w:p>
        </w:tc>
        <w:tc>
          <w:tcPr>
            <w:tcW w:w="1128" w:type="dxa"/>
            <w:noWrap/>
            <w:hideMark/>
          </w:tcPr>
          <w:p w14:paraId="103483BE" w14:textId="7ADE2314" w:rsidR="00422383" w:rsidRPr="005B6922" w:rsidRDefault="002E2A6D">
            <w:pPr>
              <w:pStyle w:val="TableBody"/>
              <w:jc w:val="right"/>
              <w:rPr>
                <w:sz w:val="18"/>
                <w:szCs w:val="18"/>
                <w:lang w:eastAsia="en-AU"/>
              </w:rPr>
            </w:pPr>
            <w:r w:rsidRPr="005B6922">
              <w:rPr>
                <w:sz w:val="18"/>
                <w:szCs w:val="18"/>
              </w:rPr>
              <w:t>0.31</w:t>
            </w:r>
          </w:p>
        </w:tc>
        <w:tc>
          <w:tcPr>
            <w:tcW w:w="850" w:type="dxa"/>
            <w:noWrap/>
            <w:hideMark/>
          </w:tcPr>
          <w:p w14:paraId="49AED1A9" w14:textId="168645FF" w:rsidR="00422383" w:rsidRPr="005B6922" w:rsidRDefault="002E2A6D">
            <w:pPr>
              <w:pStyle w:val="TableBody"/>
              <w:jc w:val="right"/>
              <w:rPr>
                <w:sz w:val="18"/>
                <w:szCs w:val="18"/>
                <w:lang w:eastAsia="en-AU"/>
              </w:rPr>
            </w:pPr>
            <w:r w:rsidRPr="005B6922">
              <w:rPr>
                <w:sz w:val="18"/>
                <w:szCs w:val="18"/>
              </w:rPr>
              <w:t>0.02</w:t>
            </w:r>
          </w:p>
        </w:tc>
        <w:tc>
          <w:tcPr>
            <w:tcW w:w="1134" w:type="dxa"/>
            <w:noWrap/>
            <w:hideMark/>
          </w:tcPr>
          <w:p w14:paraId="52AE1EBA" w14:textId="0D374058" w:rsidR="00422383" w:rsidRPr="005B6922" w:rsidRDefault="002E2A6D">
            <w:pPr>
              <w:pStyle w:val="TableBody"/>
              <w:jc w:val="right"/>
              <w:rPr>
                <w:sz w:val="18"/>
                <w:szCs w:val="18"/>
              </w:rPr>
            </w:pPr>
            <w:r w:rsidRPr="005B6922">
              <w:rPr>
                <w:sz w:val="18"/>
                <w:szCs w:val="18"/>
              </w:rPr>
              <w:t>0.27</w:t>
            </w:r>
          </w:p>
        </w:tc>
        <w:tc>
          <w:tcPr>
            <w:tcW w:w="1276" w:type="dxa"/>
          </w:tcPr>
          <w:p w14:paraId="7CDDB9B5" w14:textId="5D9F9A98" w:rsidR="00422383" w:rsidRPr="005B6922" w:rsidRDefault="002E2A6D">
            <w:pPr>
              <w:pStyle w:val="TableBody"/>
              <w:jc w:val="right"/>
              <w:rPr>
                <w:sz w:val="18"/>
                <w:szCs w:val="18"/>
              </w:rPr>
            </w:pPr>
            <w:r w:rsidRPr="005B6922">
              <w:rPr>
                <w:sz w:val="18"/>
                <w:szCs w:val="18"/>
              </w:rPr>
              <w:t>0.09</w:t>
            </w:r>
          </w:p>
        </w:tc>
        <w:tc>
          <w:tcPr>
            <w:tcW w:w="1276" w:type="dxa"/>
          </w:tcPr>
          <w:p w14:paraId="612A436C" w14:textId="3C3CC826" w:rsidR="00422383" w:rsidRPr="005B6922" w:rsidRDefault="002E2A6D">
            <w:pPr>
              <w:pStyle w:val="TableBody"/>
              <w:jc w:val="right"/>
              <w:rPr>
                <w:sz w:val="18"/>
                <w:szCs w:val="18"/>
              </w:rPr>
            </w:pPr>
            <w:r w:rsidRPr="005B6922">
              <w:rPr>
                <w:sz w:val="18"/>
                <w:szCs w:val="18"/>
              </w:rPr>
              <w:t xml:space="preserve"> -0.02</w:t>
            </w:r>
          </w:p>
        </w:tc>
        <w:tc>
          <w:tcPr>
            <w:tcW w:w="1134" w:type="dxa"/>
          </w:tcPr>
          <w:p w14:paraId="2D696B04" w14:textId="7D34D4C3" w:rsidR="00422383" w:rsidRPr="005B6922" w:rsidRDefault="004C7F8D">
            <w:pPr>
              <w:pStyle w:val="TableBody"/>
              <w:jc w:val="right"/>
              <w:rPr>
                <w:sz w:val="18"/>
                <w:szCs w:val="18"/>
              </w:rPr>
            </w:pPr>
            <w:r w:rsidRPr="005B6922">
              <w:rPr>
                <w:sz w:val="18"/>
                <w:szCs w:val="18"/>
              </w:rPr>
              <w:t>0.35</w:t>
            </w:r>
          </w:p>
        </w:tc>
      </w:tr>
      <w:tr w:rsidR="00422383" w:rsidRPr="0037227A" w14:paraId="2F35B67C" w14:textId="77777777">
        <w:trPr>
          <w:cnfStyle w:val="000000100000" w:firstRow="0" w:lastRow="0" w:firstColumn="0" w:lastColumn="0" w:oddVBand="0" w:evenVBand="0" w:oddHBand="1" w:evenHBand="0" w:firstRowFirstColumn="0" w:firstRowLastColumn="0" w:lastRowFirstColumn="0" w:lastRowLastColumn="0"/>
          <w:trHeight w:val="285"/>
        </w:trPr>
        <w:tc>
          <w:tcPr>
            <w:tcW w:w="2008" w:type="dxa"/>
            <w:noWrap/>
            <w:hideMark/>
          </w:tcPr>
          <w:p w14:paraId="3AD466D4" w14:textId="77777777" w:rsidR="00422383" w:rsidRPr="005B6922" w:rsidRDefault="00422383">
            <w:pPr>
              <w:pStyle w:val="TableBody"/>
              <w:rPr>
                <w:sz w:val="18"/>
                <w:szCs w:val="18"/>
                <w:lang w:eastAsia="en-AU"/>
              </w:rPr>
            </w:pPr>
            <w:r w:rsidRPr="005B6922">
              <w:rPr>
                <w:sz w:val="18"/>
                <w:szCs w:val="18"/>
                <w:lang w:eastAsia="en-AU"/>
              </w:rPr>
              <w:lastRenderedPageBreak/>
              <w:t>Value of avoided social cost of carbon and human health costs</w:t>
            </w:r>
          </w:p>
        </w:tc>
        <w:tc>
          <w:tcPr>
            <w:tcW w:w="692" w:type="dxa"/>
            <w:gridSpan w:val="2"/>
            <w:noWrap/>
            <w:hideMark/>
          </w:tcPr>
          <w:p w14:paraId="0179B194" w14:textId="1A36BF38" w:rsidR="00422383" w:rsidRPr="005B6922" w:rsidRDefault="00E32C41">
            <w:pPr>
              <w:pStyle w:val="TableBody"/>
              <w:jc w:val="right"/>
              <w:rPr>
                <w:sz w:val="18"/>
                <w:szCs w:val="18"/>
                <w:lang w:eastAsia="en-AU"/>
              </w:rPr>
            </w:pPr>
            <w:r w:rsidRPr="005B6922">
              <w:rPr>
                <w:sz w:val="18"/>
                <w:szCs w:val="18"/>
              </w:rPr>
              <w:t>2</w:t>
            </w:r>
            <w:r w:rsidR="00422383" w:rsidRPr="005B6922">
              <w:rPr>
                <w:sz w:val="18"/>
                <w:szCs w:val="18"/>
              </w:rPr>
              <w:t>.</w:t>
            </w:r>
            <w:r w:rsidRPr="005B6922">
              <w:rPr>
                <w:sz w:val="18"/>
                <w:szCs w:val="18"/>
              </w:rPr>
              <w:t>5</w:t>
            </w:r>
          </w:p>
        </w:tc>
        <w:tc>
          <w:tcPr>
            <w:tcW w:w="1128" w:type="dxa"/>
            <w:noWrap/>
            <w:hideMark/>
          </w:tcPr>
          <w:p w14:paraId="349E3715" w14:textId="047B5452" w:rsidR="00422383" w:rsidRPr="005B6922" w:rsidRDefault="00E32C41">
            <w:pPr>
              <w:pStyle w:val="TableBody"/>
              <w:jc w:val="right"/>
              <w:rPr>
                <w:sz w:val="18"/>
                <w:szCs w:val="18"/>
                <w:lang w:eastAsia="en-AU"/>
              </w:rPr>
            </w:pPr>
            <w:r w:rsidRPr="005B6922">
              <w:rPr>
                <w:sz w:val="18"/>
                <w:szCs w:val="18"/>
              </w:rPr>
              <w:t>2</w:t>
            </w:r>
            <w:r w:rsidR="00422383" w:rsidRPr="005B6922">
              <w:rPr>
                <w:sz w:val="18"/>
                <w:szCs w:val="18"/>
              </w:rPr>
              <w:t>.</w:t>
            </w:r>
            <w:r w:rsidRPr="005B6922">
              <w:rPr>
                <w:sz w:val="18"/>
                <w:szCs w:val="18"/>
              </w:rPr>
              <w:t>5</w:t>
            </w:r>
          </w:p>
        </w:tc>
        <w:tc>
          <w:tcPr>
            <w:tcW w:w="850" w:type="dxa"/>
            <w:noWrap/>
            <w:hideMark/>
          </w:tcPr>
          <w:p w14:paraId="34B402F0" w14:textId="56FBD75F" w:rsidR="00422383" w:rsidRPr="005B6922" w:rsidRDefault="00E32C41">
            <w:pPr>
              <w:pStyle w:val="TableBody"/>
              <w:jc w:val="right"/>
              <w:rPr>
                <w:sz w:val="18"/>
                <w:szCs w:val="18"/>
                <w:lang w:eastAsia="en-AU"/>
              </w:rPr>
            </w:pPr>
            <w:r w:rsidRPr="005B6922">
              <w:rPr>
                <w:sz w:val="18"/>
                <w:szCs w:val="18"/>
              </w:rPr>
              <w:t>2</w:t>
            </w:r>
            <w:r w:rsidR="00422383" w:rsidRPr="005B6922">
              <w:rPr>
                <w:sz w:val="18"/>
                <w:szCs w:val="18"/>
              </w:rPr>
              <w:t>.</w:t>
            </w:r>
            <w:r w:rsidRPr="005B6922">
              <w:rPr>
                <w:sz w:val="18"/>
                <w:szCs w:val="18"/>
              </w:rPr>
              <w:t>5</w:t>
            </w:r>
          </w:p>
        </w:tc>
        <w:tc>
          <w:tcPr>
            <w:tcW w:w="1134" w:type="dxa"/>
            <w:noWrap/>
            <w:hideMark/>
          </w:tcPr>
          <w:p w14:paraId="78E17C26" w14:textId="09DAFAB0" w:rsidR="00422383" w:rsidRPr="005B6922" w:rsidRDefault="00B22D0A">
            <w:pPr>
              <w:pStyle w:val="TableBody"/>
              <w:jc w:val="right"/>
              <w:rPr>
                <w:sz w:val="18"/>
                <w:szCs w:val="18"/>
                <w:lang w:eastAsia="en-AU"/>
              </w:rPr>
            </w:pPr>
            <w:r w:rsidRPr="005B6922">
              <w:rPr>
                <w:sz w:val="18"/>
                <w:szCs w:val="18"/>
              </w:rPr>
              <w:t>2</w:t>
            </w:r>
            <w:r w:rsidR="00422383" w:rsidRPr="005B6922">
              <w:rPr>
                <w:sz w:val="18"/>
                <w:szCs w:val="18"/>
              </w:rPr>
              <w:t>.</w:t>
            </w:r>
            <w:r w:rsidRPr="005B6922">
              <w:rPr>
                <w:sz w:val="18"/>
                <w:szCs w:val="18"/>
              </w:rPr>
              <w:t>5</w:t>
            </w:r>
          </w:p>
        </w:tc>
        <w:tc>
          <w:tcPr>
            <w:tcW w:w="1276" w:type="dxa"/>
          </w:tcPr>
          <w:p w14:paraId="7D64C6E2" w14:textId="58389B28" w:rsidR="00422383" w:rsidRPr="005B6922" w:rsidRDefault="00B22D0A">
            <w:pPr>
              <w:pStyle w:val="TableBody"/>
              <w:jc w:val="right"/>
              <w:rPr>
                <w:sz w:val="18"/>
                <w:szCs w:val="18"/>
              </w:rPr>
            </w:pPr>
            <w:r w:rsidRPr="005B6922">
              <w:rPr>
                <w:sz w:val="18"/>
                <w:szCs w:val="18"/>
              </w:rPr>
              <w:t>2</w:t>
            </w:r>
            <w:r w:rsidR="00422383" w:rsidRPr="005B6922">
              <w:rPr>
                <w:sz w:val="18"/>
                <w:szCs w:val="18"/>
              </w:rPr>
              <w:t>.</w:t>
            </w:r>
            <w:r w:rsidRPr="005B6922">
              <w:rPr>
                <w:sz w:val="18"/>
                <w:szCs w:val="18"/>
              </w:rPr>
              <w:t>5</w:t>
            </w:r>
          </w:p>
        </w:tc>
        <w:tc>
          <w:tcPr>
            <w:tcW w:w="1276" w:type="dxa"/>
          </w:tcPr>
          <w:p w14:paraId="1E2EC51D" w14:textId="0273880F" w:rsidR="00422383" w:rsidRPr="005B6922" w:rsidRDefault="00B22D0A">
            <w:pPr>
              <w:pStyle w:val="TableBody"/>
              <w:jc w:val="right"/>
              <w:rPr>
                <w:sz w:val="18"/>
                <w:szCs w:val="18"/>
              </w:rPr>
            </w:pPr>
            <w:r w:rsidRPr="005B6922">
              <w:rPr>
                <w:sz w:val="18"/>
                <w:szCs w:val="18"/>
              </w:rPr>
              <w:t>2</w:t>
            </w:r>
            <w:r w:rsidR="00422383" w:rsidRPr="005B6922">
              <w:rPr>
                <w:sz w:val="18"/>
                <w:szCs w:val="18"/>
              </w:rPr>
              <w:t>.</w:t>
            </w:r>
            <w:r w:rsidRPr="005B6922">
              <w:rPr>
                <w:sz w:val="18"/>
                <w:szCs w:val="18"/>
              </w:rPr>
              <w:t>5</w:t>
            </w:r>
          </w:p>
        </w:tc>
        <w:tc>
          <w:tcPr>
            <w:tcW w:w="1134" w:type="dxa"/>
          </w:tcPr>
          <w:p w14:paraId="034CAA81" w14:textId="6E067A28" w:rsidR="00422383" w:rsidRPr="005B6922" w:rsidRDefault="00B22D0A">
            <w:pPr>
              <w:pStyle w:val="TableBody"/>
              <w:jc w:val="right"/>
              <w:rPr>
                <w:sz w:val="18"/>
                <w:szCs w:val="18"/>
              </w:rPr>
            </w:pPr>
            <w:r w:rsidRPr="005B6922">
              <w:rPr>
                <w:sz w:val="18"/>
                <w:szCs w:val="18"/>
              </w:rPr>
              <w:t>2</w:t>
            </w:r>
            <w:r w:rsidR="00422383" w:rsidRPr="005B6922">
              <w:rPr>
                <w:sz w:val="18"/>
                <w:szCs w:val="18"/>
              </w:rPr>
              <w:t>.</w:t>
            </w:r>
            <w:r w:rsidRPr="005B6922">
              <w:rPr>
                <w:sz w:val="18"/>
                <w:szCs w:val="18"/>
              </w:rPr>
              <w:t>5</w:t>
            </w:r>
          </w:p>
        </w:tc>
      </w:tr>
      <w:tr w:rsidR="00422383" w:rsidRPr="0037227A" w14:paraId="62CE3E4E" w14:textId="77777777">
        <w:trPr>
          <w:cnfStyle w:val="000000010000" w:firstRow="0" w:lastRow="0" w:firstColumn="0" w:lastColumn="0" w:oddVBand="0" w:evenVBand="0" w:oddHBand="0" w:evenHBand="1" w:firstRowFirstColumn="0" w:firstRowLastColumn="0" w:lastRowFirstColumn="0" w:lastRowLastColumn="0"/>
          <w:trHeight w:val="300"/>
        </w:trPr>
        <w:tc>
          <w:tcPr>
            <w:tcW w:w="2008" w:type="dxa"/>
            <w:noWrap/>
            <w:hideMark/>
          </w:tcPr>
          <w:p w14:paraId="3AA67F8D" w14:textId="77777777" w:rsidR="00422383" w:rsidRPr="005B6922" w:rsidRDefault="00422383">
            <w:pPr>
              <w:pStyle w:val="TableBold"/>
              <w:rPr>
                <w:sz w:val="18"/>
                <w:szCs w:val="18"/>
                <w:lang w:eastAsia="en-AU"/>
              </w:rPr>
            </w:pPr>
            <w:r w:rsidRPr="005B6922">
              <w:rPr>
                <w:sz w:val="18"/>
                <w:szCs w:val="18"/>
                <w:lang w:eastAsia="en-AU"/>
              </w:rPr>
              <w:t>Total</w:t>
            </w:r>
          </w:p>
        </w:tc>
        <w:tc>
          <w:tcPr>
            <w:tcW w:w="692" w:type="dxa"/>
            <w:gridSpan w:val="2"/>
            <w:noWrap/>
            <w:hideMark/>
          </w:tcPr>
          <w:p w14:paraId="20782029" w14:textId="05DDD9F2" w:rsidR="00422383" w:rsidRPr="005B6922" w:rsidRDefault="005B6922">
            <w:pPr>
              <w:pStyle w:val="TableBold"/>
              <w:jc w:val="right"/>
              <w:rPr>
                <w:sz w:val="18"/>
                <w:szCs w:val="18"/>
                <w:lang w:eastAsia="en-AU"/>
              </w:rPr>
            </w:pPr>
            <w:r w:rsidRPr="005B6922">
              <w:rPr>
                <w:sz w:val="18"/>
                <w:szCs w:val="18"/>
              </w:rPr>
              <w:t>3.3</w:t>
            </w:r>
          </w:p>
        </w:tc>
        <w:tc>
          <w:tcPr>
            <w:tcW w:w="1128" w:type="dxa"/>
            <w:noWrap/>
            <w:hideMark/>
          </w:tcPr>
          <w:p w14:paraId="3B7699DD" w14:textId="130AD546" w:rsidR="00422383" w:rsidRPr="005B6922" w:rsidRDefault="005B6922">
            <w:pPr>
              <w:pStyle w:val="TableBold"/>
              <w:jc w:val="right"/>
              <w:rPr>
                <w:sz w:val="18"/>
                <w:szCs w:val="18"/>
                <w:lang w:eastAsia="en-AU"/>
              </w:rPr>
            </w:pPr>
            <w:r w:rsidRPr="005B6922">
              <w:rPr>
                <w:sz w:val="18"/>
                <w:szCs w:val="18"/>
              </w:rPr>
              <w:t>7.6</w:t>
            </w:r>
          </w:p>
        </w:tc>
        <w:tc>
          <w:tcPr>
            <w:tcW w:w="850" w:type="dxa"/>
            <w:noWrap/>
            <w:hideMark/>
          </w:tcPr>
          <w:p w14:paraId="4FF98C60" w14:textId="7C0F7B65" w:rsidR="00422383" w:rsidRPr="005B6922" w:rsidRDefault="005B6922">
            <w:pPr>
              <w:pStyle w:val="TableBold"/>
              <w:jc w:val="right"/>
              <w:rPr>
                <w:sz w:val="18"/>
                <w:szCs w:val="18"/>
                <w:lang w:eastAsia="en-AU"/>
              </w:rPr>
            </w:pPr>
            <w:r w:rsidRPr="005B6922">
              <w:rPr>
                <w:sz w:val="18"/>
                <w:szCs w:val="18"/>
              </w:rPr>
              <w:t>2.8</w:t>
            </w:r>
          </w:p>
        </w:tc>
        <w:tc>
          <w:tcPr>
            <w:tcW w:w="1134" w:type="dxa"/>
            <w:noWrap/>
            <w:hideMark/>
          </w:tcPr>
          <w:p w14:paraId="338B1797" w14:textId="2480A16F" w:rsidR="00422383" w:rsidRPr="005B6922" w:rsidRDefault="005B6922">
            <w:pPr>
              <w:pStyle w:val="TableBold"/>
              <w:jc w:val="right"/>
              <w:rPr>
                <w:sz w:val="18"/>
                <w:szCs w:val="18"/>
                <w:lang w:eastAsia="en-AU"/>
              </w:rPr>
            </w:pPr>
            <w:r w:rsidRPr="005B6922">
              <w:rPr>
                <w:sz w:val="18"/>
                <w:szCs w:val="18"/>
                <w:lang w:eastAsia="en-AU"/>
              </w:rPr>
              <w:t>7.0</w:t>
            </w:r>
          </w:p>
        </w:tc>
        <w:tc>
          <w:tcPr>
            <w:tcW w:w="1276" w:type="dxa"/>
          </w:tcPr>
          <w:p w14:paraId="7A14D817" w14:textId="09DCBEC8" w:rsidR="00422383" w:rsidRPr="005B6922" w:rsidRDefault="005B6922">
            <w:pPr>
              <w:pStyle w:val="TableBold"/>
              <w:jc w:val="right"/>
              <w:rPr>
                <w:sz w:val="18"/>
                <w:szCs w:val="18"/>
                <w:lang w:eastAsia="en-AU"/>
              </w:rPr>
            </w:pPr>
            <w:r w:rsidRPr="005B6922">
              <w:rPr>
                <w:sz w:val="18"/>
                <w:szCs w:val="18"/>
                <w:lang w:eastAsia="en-AU"/>
              </w:rPr>
              <w:t>4.1</w:t>
            </w:r>
          </w:p>
        </w:tc>
        <w:tc>
          <w:tcPr>
            <w:tcW w:w="1276" w:type="dxa"/>
          </w:tcPr>
          <w:p w14:paraId="0CB2DB33" w14:textId="2E923E13" w:rsidR="00422383" w:rsidRPr="005B6922" w:rsidRDefault="005B6922">
            <w:pPr>
              <w:pStyle w:val="TableBold"/>
              <w:jc w:val="right"/>
              <w:rPr>
                <w:sz w:val="18"/>
                <w:szCs w:val="18"/>
                <w:lang w:eastAsia="en-AU"/>
              </w:rPr>
            </w:pPr>
            <w:r w:rsidRPr="005B6922">
              <w:rPr>
                <w:sz w:val="18"/>
                <w:szCs w:val="18"/>
                <w:lang w:eastAsia="en-AU"/>
              </w:rPr>
              <w:t>2.1</w:t>
            </w:r>
          </w:p>
        </w:tc>
        <w:tc>
          <w:tcPr>
            <w:tcW w:w="1134" w:type="dxa"/>
          </w:tcPr>
          <w:p w14:paraId="448FFC48" w14:textId="37DB28E4" w:rsidR="00422383" w:rsidRPr="005B6922" w:rsidRDefault="005B6922">
            <w:pPr>
              <w:pStyle w:val="TableBold"/>
              <w:jc w:val="right"/>
              <w:rPr>
                <w:sz w:val="18"/>
                <w:szCs w:val="18"/>
                <w:lang w:eastAsia="en-AU"/>
              </w:rPr>
            </w:pPr>
            <w:r w:rsidRPr="005B6922">
              <w:rPr>
                <w:sz w:val="18"/>
                <w:szCs w:val="18"/>
                <w:lang w:eastAsia="en-AU"/>
              </w:rPr>
              <w:t>8.4</w:t>
            </w:r>
          </w:p>
        </w:tc>
      </w:tr>
    </w:tbl>
    <w:p w14:paraId="31A36277" w14:textId="35268A25" w:rsidR="002B3774" w:rsidRDefault="002B3774">
      <w:pPr>
        <w:spacing w:before="0" w:line="259" w:lineRule="auto"/>
      </w:pPr>
    </w:p>
    <w:p w14:paraId="2F8B804F" w14:textId="77777777" w:rsidR="00AA0D6F" w:rsidRDefault="00B25DF8" w:rsidP="00EF5CC1">
      <w:pPr>
        <w:pStyle w:val="Heading2numbered"/>
        <w:ind w:left="0" w:firstLine="0"/>
      </w:pPr>
      <w:bookmarkStart w:id="44" w:name="_Toc159844546"/>
      <w:r>
        <w:t>Minimum feed-in tariffs over time</w:t>
      </w:r>
      <w:bookmarkEnd w:id="44"/>
      <w:r>
        <w:t xml:space="preserve"> </w:t>
      </w:r>
    </w:p>
    <w:p w14:paraId="60C56348" w14:textId="05535D08" w:rsidR="00AA0D6F" w:rsidRDefault="00B25DF8" w:rsidP="007702CA">
      <w:r>
        <w:t>Table 1.</w:t>
      </w:r>
      <w:r w:rsidR="00AA0D6F">
        <w:t>5</w:t>
      </w:r>
      <w:r>
        <w:t xml:space="preserve"> shows how the flat minimum feed-in tariff and time-varying feed-in tariff option</w:t>
      </w:r>
      <w:r w:rsidR="004D7B02">
        <w:t xml:space="preserve">s </w:t>
      </w:r>
      <w:r>
        <w:t xml:space="preserve">have changed over time. </w:t>
      </w:r>
    </w:p>
    <w:p w14:paraId="58C17584" w14:textId="1912DED5" w:rsidR="00F10F86" w:rsidRPr="00B81B98" w:rsidRDefault="008E7CE9" w:rsidP="00B81B98">
      <w:pPr>
        <w:keepNext/>
        <w:spacing w:before="120" w:after="120"/>
        <w:rPr>
          <w:rFonts w:asciiTheme="majorHAnsi" w:hAnsiTheme="majorHAnsi"/>
          <w:lang w:val="en-US"/>
        </w:rPr>
      </w:pPr>
      <w:r w:rsidRPr="00B81B98">
        <w:rPr>
          <w:rFonts w:asciiTheme="majorHAnsi" w:eastAsiaTheme="majorEastAsia" w:hAnsiTheme="majorHAnsi" w:cstheme="majorBidi"/>
          <w:b/>
          <w:color w:val="4986A0" w:themeColor="text2"/>
          <w:szCs w:val="24"/>
          <w:lang w:val="en-US"/>
        </w:rPr>
        <w:t>Table 1.5: Comparison of minimum feed-in tariffs, 2018</w:t>
      </w:r>
      <w:r w:rsidR="00B7287E" w:rsidRPr="00B81B98">
        <w:rPr>
          <w:rFonts w:asciiTheme="majorHAnsi" w:eastAsiaTheme="majorEastAsia" w:hAnsiTheme="majorHAnsi" w:cstheme="majorBidi"/>
          <w:b/>
          <w:color w:val="4986A0" w:themeColor="text2"/>
          <w:szCs w:val="24"/>
          <w:lang w:val="en-US"/>
        </w:rPr>
        <w:t>–</w:t>
      </w:r>
      <w:r w:rsidRPr="00B81B98">
        <w:rPr>
          <w:rFonts w:asciiTheme="majorHAnsi" w:eastAsiaTheme="majorEastAsia" w:hAnsiTheme="majorHAnsi" w:cstheme="majorBidi"/>
          <w:b/>
          <w:color w:val="4986A0" w:themeColor="text2"/>
          <w:szCs w:val="24"/>
          <w:lang w:val="en-US"/>
        </w:rPr>
        <w:t xml:space="preserve">19 to </w:t>
      </w:r>
      <w:r w:rsidR="00B7287E" w:rsidRPr="00B81B98">
        <w:rPr>
          <w:rFonts w:asciiTheme="majorHAnsi" w:eastAsiaTheme="majorEastAsia" w:hAnsiTheme="majorHAnsi" w:cstheme="majorBidi"/>
          <w:b/>
          <w:color w:val="4986A0" w:themeColor="text2"/>
          <w:szCs w:val="24"/>
          <w:lang w:val="en-US"/>
        </w:rPr>
        <w:t>2024–25</w:t>
      </w:r>
    </w:p>
    <w:tbl>
      <w:tblPr>
        <w:tblStyle w:val="TableGrid1"/>
        <w:tblpPr w:leftFromText="180" w:rightFromText="180" w:vertAnchor="text" w:horzAnchor="margin" w:tblpY="16"/>
        <w:tblW w:w="5000" w:type="pct"/>
        <w:tblLook w:val="04A0" w:firstRow="1" w:lastRow="0" w:firstColumn="1" w:lastColumn="0" w:noHBand="0" w:noVBand="1"/>
      </w:tblPr>
      <w:tblGrid>
        <w:gridCol w:w="1902"/>
        <w:gridCol w:w="1294"/>
        <w:gridCol w:w="1072"/>
        <w:gridCol w:w="1072"/>
        <w:gridCol w:w="1072"/>
        <w:gridCol w:w="1072"/>
        <w:gridCol w:w="1076"/>
        <w:gridCol w:w="1078"/>
      </w:tblGrid>
      <w:tr w:rsidR="002D1353" w14:paraId="6B3D059E" w14:textId="6DD4E499" w:rsidTr="006818DE">
        <w:trPr>
          <w:cnfStyle w:val="100000000000" w:firstRow="1" w:lastRow="0" w:firstColumn="0" w:lastColumn="0" w:oddVBand="0" w:evenVBand="0" w:oddHBand="0" w:evenHBand="0" w:firstRowFirstColumn="0" w:firstRowLastColumn="0" w:lastRowFirstColumn="0" w:lastRowLastColumn="0"/>
          <w:trHeight w:val="10"/>
        </w:trPr>
        <w:tc>
          <w:tcPr>
            <w:tcW w:w="987" w:type="pct"/>
            <w:hideMark/>
          </w:tcPr>
          <w:p w14:paraId="4A857DD5"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rPr>
              <w:t xml:space="preserve">Period </w:t>
            </w:r>
          </w:p>
        </w:tc>
        <w:tc>
          <w:tcPr>
            <w:tcW w:w="672" w:type="pct"/>
            <w:hideMark/>
          </w:tcPr>
          <w:p w14:paraId="7E394272"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rPr>
              <w:t>2018–19</w:t>
            </w:r>
          </w:p>
        </w:tc>
        <w:tc>
          <w:tcPr>
            <w:tcW w:w="556" w:type="pct"/>
            <w:hideMark/>
          </w:tcPr>
          <w:p w14:paraId="75B70918"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rPr>
              <w:t>2019–20</w:t>
            </w:r>
          </w:p>
        </w:tc>
        <w:tc>
          <w:tcPr>
            <w:tcW w:w="556" w:type="pct"/>
          </w:tcPr>
          <w:p w14:paraId="09E4DD53" w14:textId="77777777" w:rsidR="002D1353" w:rsidRPr="00A910B1" w:rsidRDefault="002D1353">
            <w:pPr>
              <w:keepNext/>
              <w:keepLines/>
              <w:spacing w:line="240" w:lineRule="auto"/>
              <w:rPr>
                <w:rFonts w:ascii="Arial" w:eastAsia="Arial" w:hAnsi="Arial" w:cs="Arial"/>
                <w:sz w:val="18"/>
                <w:szCs w:val="18"/>
              </w:rPr>
            </w:pPr>
            <w:r w:rsidRPr="00A910B1">
              <w:rPr>
                <w:rFonts w:ascii="Arial" w:eastAsia="Arial" w:hAnsi="Arial" w:cs="Arial"/>
                <w:sz w:val="18"/>
                <w:szCs w:val="18"/>
              </w:rPr>
              <w:t>2020–21</w:t>
            </w:r>
          </w:p>
        </w:tc>
        <w:tc>
          <w:tcPr>
            <w:tcW w:w="556" w:type="pct"/>
          </w:tcPr>
          <w:p w14:paraId="2C0B7984" w14:textId="77777777" w:rsidR="002D1353" w:rsidRPr="00A910B1" w:rsidRDefault="002D1353">
            <w:pPr>
              <w:keepNext/>
              <w:keepLines/>
              <w:spacing w:line="240" w:lineRule="auto"/>
              <w:rPr>
                <w:rFonts w:ascii="Arial" w:eastAsia="Arial" w:hAnsi="Arial" w:cs="Arial"/>
                <w:sz w:val="18"/>
                <w:szCs w:val="18"/>
              </w:rPr>
            </w:pPr>
            <w:r w:rsidRPr="00A910B1">
              <w:rPr>
                <w:rFonts w:ascii="Arial" w:eastAsia="Arial" w:hAnsi="Arial" w:cs="Arial"/>
                <w:sz w:val="18"/>
                <w:szCs w:val="18"/>
              </w:rPr>
              <w:t>2021–22</w:t>
            </w:r>
          </w:p>
        </w:tc>
        <w:tc>
          <w:tcPr>
            <w:tcW w:w="556" w:type="pct"/>
          </w:tcPr>
          <w:p w14:paraId="4F4197EA" w14:textId="77777777" w:rsidR="002D1353" w:rsidRPr="00A910B1" w:rsidRDefault="002D1353">
            <w:pPr>
              <w:keepNext/>
              <w:keepLines/>
              <w:spacing w:line="240" w:lineRule="auto"/>
              <w:rPr>
                <w:rFonts w:ascii="Arial" w:eastAsia="Arial" w:hAnsi="Arial" w:cs="Arial"/>
                <w:sz w:val="18"/>
                <w:szCs w:val="18"/>
              </w:rPr>
            </w:pPr>
            <w:r w:rsidRPr="00A910B1">
              <w:rPr>
                <w:rFonts w:ascii="Arial" w:eastAsia="Arial" w:hAnsi="Arial" w:cs="Arial"/>
                <w:sz w:val="18"/>
                <w:szCs w:val="18"/>
              </w:rPr>
              <w:t>2022–23</w:t>
            </w:r>
          </w:p>
        </w:tc>
        <w:tc>
          <w:tcPr>
            <w:tcW w:w="558" w:type="pct"/>
          </w:tcPr>
          <w:p w14:paraId="226DD97B" w14:textId="77777777" w:rsidR="002D1353" w:rsidRPr="00A910B1" w:rsidRDefault="002D1353">
            <w:pPr>
              <w:keepNext/>
              <w:keepLines/>
              <w:spacing w:line="240" w:lineRule="auto"/>
              <w:rPr>
                <w:rFonts w:ascii="Arial" w:eastAsia="Arial" w:hAnsi="Arial" w:cs="Arial"/>
                <w:sz w:val="18"/>
                <w:szCs w:val="18"/>
              </w:rPr>
            </w:pPr>
            <w:r w:rsidRPr="00A910B1">
              <w:rPr>
                <w:rFonts w:ascii="Arial" w:eastAsia="Arial" w:hAnsi="Arial" w:cs="Arial"/>
                <w:sz w:val="18"/>
                <w:szCs w:val="18"/>
              </w:rPr>
              <w:t>2023–24</w:t>
            </w:r>
          </w:p>
        </w:tc>
        <w:tc>
          <w:tcPr>
            <w:tcW w:w="558" w:type="pct"/>
          </w:tcPr>
          <w:p w14:paraId="1B52BB45" w14:textId="5AC1D973" w:rsidR="002D1353" w:rsidRPr="00A910B1" w:rsidRDefault="00877A2B">
            <w:pPr>
              <w:keepNext/>
              <w:keepLines/>
              <w:spacing w:line="240" w:lineRule="auto"/>
              <w:rPr>
                <w:rFonts w:ascii="Arial" w:eastAsia="Arial" w:hAnsi="Arial" w:cs="Arial"/>
                <w:sz w:val="18"/>
                <w:szCs w:val="18"/>
              </w:rPr>
            </w:pPr>
            <w:r w:rsidRPr="00A910B1">
              <w:rPr>
                <w:rFonts w:ascii="Arial" w:eastAsia="Arial" w:hAnsi="Arial" w:cs="Arial"/>
                <w:sz w:val="18"/>
                <w:szCs w:val="18"/>
              </w:rPr>
              <w:t>2024</w:t>
            </w:r>
            <w:r w:rsidR="001370F2" w:rsidRPr="00A910B1">
              <w:rPr>
                <w:rFonts w:ascii="Arial" w:eastAsia="Arial" w:hAnsi="Arial" w:cs="Arial"/>
                <w:sz w:val="18"/>
                <w:szCs w:val="18"/>
              </w:rPr>
              <w:t>–</w:t>
            </w:r>
            <w:r w:rsidRPr="00A910B1">
              <w:rPr>
                <w:rFonts w:ascii="Arial" w:eastAsia="Arial" w:hAnsi="Arial" w:cs="Arial"/>
                <w:sz w:val="18"/>
                <w:szCs w:val="18"/>
              </w:rPr>
              <w:t>25</w:t>
            </w:r>
          </w:p>
        </w:tc>
      </w:tr>
      <w:tr w:rsidR="002D1353" w:rsidRPr="005A376A" w14:paraId="0D4BCC59" w14:textId="0BEBCAE4" w:rsidTr="006818DE">
        <w:trPr>
          <w:cnfStyle w:val="000000100000" w:firstRow="0" w:lastRow="0" w:firstColumn="0" w:lastColumn="0" w:oddVBand="0" w:evenVBand="0" w:oddHBand="1" w:evenHBand="0" w:firstRowFirstColumn="0" w:firstRowLastColumn="0" w:lastRowFirstColumn="0" w:lastRowLastColumn="0"/>
          <w:trHeight w:val="10"/>
        </w:trPr>
        <w:tc>
          <w:tcPr>
            <w:tcW w:w="987" w:type="pct"/>
            <w:hideMark/>
          </w:tcPr>
          <w:p w14:paraId="1F0D789C"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rPr>
              <w:t>Flat rate</w:t>
            </w:r>
          </w:p>
        </w:tc>
        <w:tc>
          <w:tcPr>
            <w:tcW w:w="672" w:type="pct"/>
            <w:hideMark/>
          </w:tcPr>
          <w:p w14:paraId="62D8B609"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9.9</w:t>
            </w:r>
          </w:p>
        </w:tc>
        <w:tc>
          <w:tcPr>
            <w:tcW w:w="556" w:type="pct"/>
            <w:hideMark/>
          </w:tcPr>
          <w:p w14:paraId="2ECC6E68"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12.0</w:t>
            </w:r>
          </w:p>
        </w:tc>
        <w:tc>
          <w:tcPr>
            <w:tcW w:w="556" w:type="pct"/>
          </w:tcPr>
          <w:p w14:paraId="73B45E46"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10.2</w:t>
            </w:r>
          </w:p>
        </w:tc>
        <w:tc>
          <w:tcPr>
            <w:tcW w:w="556" w:type="pct"/>
          </w:tcPr>
          <w:p w14:paraId="6991A31B"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6.7</w:t>
            </w:r>
          </w:p>
        </w:tc>
        <w:tc>
          <w:tcPr>
            <w:tcW w:w="556" w:type="pct"/>
          </w:tcPr>
          <w:p w14:paraId="132B306F"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5.2</w:t>
            </w:r>
          </w:p>
        </w:tc>
        <w:tc>
          <w:tcPr>
            <w:tcW w:w="558" w:type="pct"/>
          </w:tcPr>
          <w:p w14:paraId="7AEDBBD5"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4.9</w:t>
            </w:r>
          </w:p>
        </w:tc>
        <w:tc>
          <w:tcPr>
            <w:tcW w:w="558" w:type="pct"/>
          </w:tcPr>
          <w:p w14:paraId="6FD331C4" w14:textId="2A207A8F" w:rsidR="002D1353" w:rsidRPr="00A910B1" w:rsidRDefault="007A3586">
            <w:pPr>
              <w:keepNext/>
              <w:keepLines/>
              <w:spacing w:line="240" w:lineRule="auto"/>
              <w:rPr>
                <w:rFonts w:ascii="Arial" w:eastAsia="Arial" w:hAnsi="Arial" w:cs="Arial"/>
                <w:sz w:val="18"/>
                <w:szCs w:val="18"/>
                <w:lang w:val="en-US"/>
              </w:rPr>
            </w:pPr>
            <w:r>
              <w:rPr>
                <w:rFonts w:ascii="Arial" w:eastAsia="Arial" w:hAnsi="Arial" w:cs="Arial"/>
                <w:sz w:val="18"/>
                <w:szCs w:val="18"/>
                <w:lang w:val="en-US"/>
              </w:rPr>
              <w:t>3.3</w:t>
            </w:r>
          </w:p>
        </w:tc>
      </w:tr>
      <w:tr w:rsidR="00877A2B" w:rsidRPr="005A376A" w14:paraId="6CAE7581" w14:textId="37FFA5CA" w:rsidTr="00877A2B">
        <w:trPr>
          <w:cnfStyle w:val="000000010000" w:firstRow="0" w:lastRow="0" w:firstColumn="0" w:lastColumn="0" w:oddVBand="0" w:evenVBand="0" w:oddHBand="0" w:evenHBand="1" w:firstRowFirstColumn="0" w:firstRowLastColumn="0" w:lastRowFirstColumn="0" w:lastRowLastColumn="0"/>
          <w:trHeight w:val="10"/>
        </w:trPr>
        <w:tc>
          <w:tcPr>
            <w:tcW w:w="5000" w:type="pct"/>
            <w:gridSpan w:val="8"/>
            <w:hideMark/>
          </w:tcPr>
          <w:p w14:paraId="6587FACA" w14:textId="58A613BB" w:rsidR="00877A2B" w:rsidRPr="00A910B1" w:rsidRDefault="00877A2B">
            <w:pPr>
              <w:keepNext/>
              <w:keepLines/>
              <w:spacing w:line="240" w:lineRule="auto"/>
              <w:rPr>
                <w:rFonts w:ascii="Arial" w:eastAsia="Arial" w:hAnsi="Arial" w:cs="Arial"/>
                <w:b/>
                <w:sz w:val="18"/>
                <w:szCs w:val="18"/>
              </w:rPr>
            </w:pPr>
            <w:r w:rsidRPr="00A910B1">
              <w:rPr>
                <w:rFonts w:ascii="Arial" w:eastAsia="Arial" w:hAnsi="Arial" w:cs="Arial"/>
                <w:b/>
                <w:sz w:val="18"/>
                <w:szCs w:val="18"/>
              </w:rPr>
              <w:t xml:space="preserve">Time-varying rate </w:t>
            </w:r>
            <w:r w:rsidR="002F16D6">
              <w:rPr>
                <w:rFonts w:ascii="Arial" w:eastAsia="Arial" w:hAnsi="Arial" w:cs="Arial"/>
                <w:b/>
                <w:sz w:val="18"/>
                <w:szCs w:val="18"/>
              </w:rPr>
              <w:t>O</w:t>
            </w:r>
            <w:r w:rsidRPr="00A910B1">
              <w:rPr>
                <w:rFonts w:ascii="Arial" w:eastAsia="Arial" w:hAnsi="Arial" w:cs="Arial"/>
                <w:b/>
                <w:sz w:val="18"/>
                <w:szCs w:val="18"/>
              </w:rPr>
              <w:t xml:space="preserve">ption </w:t>
            </w:r>
            <w:r w:rsidR="002F16D6">
              <w:rPr>
                <w:rFonts w:ascii="Arial" w:eastAsia="Arial" w:hAnsi="Arial" w:cs="Arial"/>
                <w:b/>
                <w:sz w:val="18"/>
                <w:szCs w:val="18"/>
              </w:rPr>
              <w:t>1</w:t>
            </w:r>
          </w:p>
        </w:tc>
      </w:tr>
      <w:tr w:rsidR="006818DE" w:rsidRPr="00A910B1" w14:paraId="53CF12CA" w14:textId="77777777" w:rsidTr="006818DE">
        <w:trPr>
          <w:cnfStyle w:val="000000100000" w:firstRow="0" w:lastRow="0" w:firstColumn="0" w:lastColumn="0" w:oddVBand="0" w:evenVBand="0" w:oddHBand="1" w:evenHBand="0" w:firstRowFirstColumn="0" w:firstRowLastColumn="0" w:lastRowFirstColumn="0" w:lastRowLastColumn="0"/>
          <w:trHeight w:val="10"/>
        </w:trPr>
        <w:tc>
          <w:tcPr>
            <w:tcW w:w="987" w:type="pct"/>
          </w:tcPr>
          <w:p w14:paraId="46E451C5"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 xml:space="preserve">Overnight </w:t>
            </w:r>
          </w:p>
        </w:tc>
        <w:tc>
          <w:tcPr>
            <w:tcW w:w="672" w:type="pct"/>
          </w:tcPr>
          <w:p w14:paraId="4021DE8A"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7.1</w:t>
            </w:r>
          </w:p>
        </w:tc>
        <w:tc>
          <w:tcPr>
            <w:tcW w:w="556" w:type="pct"/>
          </w:tcPr>
          <w:p w14:paraId="6E632427"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9.9</w:t>
            </w:r>
          </w:p>
        </w:tc>
        <w:tc>
          <w:tcPr>
            <w:tcW w:w="556" w:type="pct"/>
          </w:tcPr>
          <w:p w14:paraId="6C6EEC11"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9.1</w:t>
            </w:r>
          </w:p>
        </w:tc>
        <w:tc>
          <w:tcPr>
            <w:tcW w:w="556" w:type="pct"/>
          </w:tcPr>
          <w:p w14:paraId="76634AC6"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6.7</w:t>
            </w:r>
          </w:p>
        </w:tc>
        <w:tc>
          <w:tcPr>
            <w:tcW w:w="556" w:type="pct"/>
          </w:tcPr>
          <w:p w14:paraId="5A387ED8"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7.1</w:t>
            </w:r>
          </w:p>
        </w:tc>
        <w:tc>
          <w:tcPr>
            <w:tcW w:w="558" w:type="pct"/>
          </w:tcPr>
          <w:p w14:paraId="44671A7B"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11.3</w:t>
            </w:r>
          </w:p>
        </w:tc>
        <w:tc>
          <w:tcPr>
            <w:tcW w:w="558" w:type="pct"/>
          </w:tcPr>
          <w:p w14:paraId="426FBDBF" w14:textId="355E3C50" w:rsidR="006818DE" w:rsidRPr="00A910B1" w:rsidRDefault="007A3586" w:rsidP="006818DE">
            <w:pPr>
              <w:keepNext/>
              <w:keepLines/>
              <w:spacing w:line="240" w:lineRule="auto"/>
              <w:rPr>
                <w:rFonts w:ascii="Arial" w:eastAsia="Arial" w:hAnsi="Arial" w:cs="Arial"/>
                <w:sz w:val="18"/>
                <w:szCs w:val="18"/>
                <w:lang w:val="en-US"/>
              </w:rPr>
            </w:pPr>
            <w:r>
              <w:rPr>
                <w:rFonts w:ascii="Arial" w:eastAsia="Arial" w:hAnsi="Arial" w:cs="Arial"/>
                <w:sz w:val="18"/>
                <w:szCs w:val="18"/>
                <w:lang w:val="en-US"/>
              </w:rPr>
              <w:t>7.6</w:t>
            </w:r>
          </w:p>
        </w:tc>
      </w:tr>
      <w:tr w:rsidR="006818DE" w:rsidRPr="00A910B1" w14:paraId="04E14681" w14:textId="77777777" w:rsidTr="006818DE">
        <w:trPr>
          <w:cnfStyle w:val="000000010000" w:firstRow="0" w:lastRow="0" w:firstColumn="0" w:lastColumn="0" w:oddVBand="0" w:evenVBand="0" w:oddHBand="0" w:evenHBand="1" w:firstRowFirstColumn="0" w:firstRowLastColumn="0" w:lastRowFirstColumn="0" w:lastRowLastColumn="0"/>
          <w:trHeight w:val="10"/>
        </w:trPr>
        <w:tc>
          <w:tcPr>
            <w:tcW w:w="987" w:type="pct"/>
          </w:tcPr>
          <w:p w14:paraId="59650B16"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 xml:space="preserve">Day </w:t>
            </w:r>
          </w:p>
        </w:tc>
        <w:tc>
          <w:tcPr>
            <w:tcW w:w="672" w:type="pct"/>
          </w:tcPr>
          <w:p w14:paraId="14673B9D"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10.3</w:t>
            </w:r>
          </w:p>
        </w:tc>
        <w:tc>
          <w:tcPr>
            <w:tcW w:w="556" w:type="pct"/>
          </w:tcPr>
          <w:p w14:paraId="5766A9BC"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11.6</w:t>
            </w:r>
          </w:p>
        </w:tc>
        <w:tc>
          <w:tcPr>
            <w:tcW w:w="556" w:type="pct"/>
          </w:tcPr>
          <w:p w14:paraId="188A77E0"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9.8</w:t>
            </w:r>
          </w:p>
        </w:tc>
        <w:tc>
          <w:tcPr>
            <w:tcW w:w="556" w:type="pct"/>
          </w:tcPr>
          <w:p w14:paraId="13259968"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6.1</w:t>
            </w:r>
          </w:p>
        </w:tc>
        <w:tc>
          <w:tcPr>
            <w:tcW w:w="556" w:type="pct"/>
          </w:tcPr>
          <w:p w14:paraId="247AD3C5"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5.0</w:t>
            </w:r>
          </w:p>
        </w:tc>
        <w:tc>
          <w:tcPr>
            <w:tcW w:w="558" w:type="pct"/>
          </w:tcPr>
          <w:p w14:paraId="171AEDC2"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4.4</w:t>
            </w:r>
          </w:p>
        </w:tc>
        <w:tc>
          <w:tcPr>
            <w:tcW w:w="558" w:type="pct"/>
          </w:tcPr>
          <w:p w14:paraId="7F1FDFFF" w14:textId="6D541D1F" w:rsidR="006818DE" w:rsidRPr="00A910B1" w:rsidRDefault="007A3586" w:rsidP="006818DE">
            <w:pPr>
              <w:keepNext/>
              <w:keepLines/>
              <w:spacing w:line="240" w:lineRule="auto"/>
              <w:rPr>
                <w:rFonts w:ascii="Arial" w:eastAsia="Arial" w:hAnsi="Arial" w:cs="Arial"/>
                <w:sz w:val="18"/>
                <w:szCs w:val="18"/>
                <w:lang w:val="en-US"/>
              </w:rPr>
            </w:pPr>
            <w:r>
              <w:rPr>
                <w:rFonts w:ascii="Arial" w:eastAsia="Arial" w:hAnsi="Arial" w:cs="Arial"/>
                <w:sz w:val="18"/>
                <w:szCs w:val="18"/>
                <w:lang w:val="en-US"/>
              </w:rPr>
              <w:t>2.8</w:t>
            </w:r>
          </w:p>
        </w:tc>
      </w:tr>
      <w:tr w:rsidR="002D1353" w:rsidRPr="005A376A" w14:paraId="6BEE2151" w14:textId="7A3B7AB8" w:rsidTr="006818DE">
        <w:trPr>
          <w:cnfStyle w:val="000000100000" w:firstRow="0" w:lastRow="0" w:firstColumn="0" w:lastColumn="0" w:oddVBand="0" w:evenVBand="0" w:oddHBand="1" w:evenHBand="0" w:firstRowFirstColumn="0" w:firstRowLastColumn="0" w:lastRowFirstColumn="0" w:lastRowLastColumn="0"/>
          <w:trHeight w:val="10"/>
        </w:trPr>
        <w:tc>
          <w:tcPr>
            <w:tcW w:w="987" w:type="pct"/>
            <w:hideMark/>
          </w:tcPr>
          <w:p w14:paraId="7BDECBDF"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 xml:space="preserve">Early evening </w:t>
            </w:r>
          </w:p>
        </w:tc>
        <w:tc>
          <w:tcPr>
            <w:tcW w:w="672" w:type="pct"/>
            <w:hideMark/>
          </w:tcPr>
          <w:p w14:paraId="2D402D83"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29.0</w:t>
            </w:r>
          </w:p>
        </w:tc>
        <w:tc>
          <w:tcPr>
            <w:tcW w:w="556" w:type="pct"/>
            <w:hideMark/>
          </w:tcPr>
          <w:p w14:paraId="121ECC0A"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14.6</w:t>
            </w:r>
          </w:p>
        </w:tc>
        <w:tc>
          <w:tcPr>
            <w:tcW w:w="556" w:type="pct"/>
          </w:tcPr>
          <w:p w14:paraId="4286601E"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12.5</w:t>
            </w:r>
          </w:p>
        </w:tc>
        <w:tc>
          <w:tcPr>
            <w:tcW w:w="556" w:type="pct"/>
          </w:tcPr>
          <w:p w14:paraId="3822397D"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10.9</w:t>
            </w:r>
          </w:p>
        </w:tc>
        <w:tc>
          <w:tcPr>
            <w:tcW w:w="556" w:type="pct"/>
          </w:tcPr>
          <w:p w14:paraId="14043B0B"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6.9</w:t>
            </w:r>
          </w:p>
        </w:tc>
        <w:tc>
          <w:tcPr>
            <w:tcW w:w="558" w:type="pct"/>
          </w:tcPr>
          <w:p w14:paraId="0159C52E"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9.3</w:t>
            </w:r>
          </w:p>
        </w:tc>
        <w:tc>
          <w:tcPr>
            <w:tcW w:w="558" w:type="pct"/>
          </w:tcPr>
          <w:p w14:paraId="56DFE0B3" w14:textId="1EA4A234" w:rsidR="002D1353" w:rsidRPr="00A910B1" w:rsidRDefault="007A3586">
            <w:pPr>
              <w:keepNext/>
              <w:keepLines/>
              <w:spacing w:line="240" w:lineRule="auto"/>
              <w:rPr>
                <w:rFonts w:ascii="Arial" w:eastAsia="Arial" w:hAnsi="Arial" w:cs="Arial"/>
                <w:sz w:val="18"/>
                <w:szCs w:val="18"/>
                <w:lang w:val="en-US"/>
              </w:rPr>
            </w:pPr>
            <w:r>
              <w:rPr>
                <w:rFonts w:ascii="Arial" w:eastAsia="Arial" w:hAnsi="Arial" w:cs="Arial"/>
                <w:sz w:val="18"/>
                <w:szCs w:val="18"/>
                <w:lang w:val="en-US"/>
              </w:rPr>
              <w:t>7.0</w:t>
            </w:r>
          </w:p>
        </w:tc>
      </w:tr>
      <w:tr w:rsidR="00877A2B" w:rsidRPr="00C3586F" w14:paraId="40164B3B" w14:textId="584838F8" w:rsidTr="00877A2B">
        <w:trPr>
          <w:cnfStyle w:val="000000010000" w:firstRow="0" w:lastRow="0" w:firstColumn="0" w:lastColumn="0" w:oddVBand="0" w:evenVBand="0" w:oddHBand="0" w:evenHBand="1" w:firstRowFirstColumn="0" w:firstRowLastColumn="0" w:lastRowFirstColumn="0" w:lastRowLastColumn="0"/>
          <w:trHeight w:val="10"/>
        </w:trPr>
        <w:tc>
          <w:tcPr>
            <w:tcW w:w="5000" w:type="pct"/>
            <w:gridSpan w:val="8"/>
          </w:tcPr>
          <w:p w14:paraId="65BE667F" w14:textId="4332AD57" w:rsidR="00877A2B" w:rsidRPr="00A910B1" w:rsidRDefault="00877A2B">
            <w:pPr>
              <w:keepNext/>
              <w:keepLines/>
              <w:spacing w:line="240" w:lineRule="auto"/>
              <w:rPr>
                <w:rFonts w:ascii="Arial" w:eastAsia="Arial" w:hAnsi="Arial" w:cs="Arial"/>
                <w:b/>
                <w:sz w:val="18"/>
                <w:szCs w:val="18"/>
                <w:lang w:val="en-US"/>
              </w:rPr>
            </w:pPr>
            <w:r w:rsidRPr="00A910B1">
              <w:rPr>
                <w:rFonts w:ascii="Arial" w:eastAsia="Arial" w:hAnsi="Arial" w:cs="Arial"/>
                <w:b/>
                <w:sz w:val="18"/>
                <w:szCs w:val="18"/>
                <w:lang w:val="en-US"/>
              </w:rPr>
              <w:t xml:space="preserve">Time-varying rate </w:t>
            </w:r>
            <w:r w:rsidR="00142BF8">
              <w:rPr>
                <w:rFonts w:ascii="Arial" w:eastAsia="Arial" w:hAnsi="Arial" w:cs="Arial"/>
                <w:b/>
                <w:sz w:val="18"/>
                <w:szCs w:val="18"/>
                <w:lang w:val="en-US"/>
              </w:rPr>
              <w:t>O</w:t>
            </w:r>
            <w:r w:rsidRPr="00A910B1">
              <w:rPr>
                <w:rFonts w:ascii="Arial" w:eastAsia="Arial" w:hAnsi="Arial" w:cs="Arial"/>
                <w:b/>
                <w:sz w:val="18"/>
                <w:szCs w:val="18"/>
                <w:lang w:val="en-US"/>
              </w:rPr>
              <w:t xml:space="preserve">ption </w:t>
            </w:r>
            <w:r w:rsidR="00142BF8">
              <w:rPr>
                <w:rFonts w:ascii="Arial" w:eastAsia="Arial" w:hAnsi="Arial" w:cs="Arial"/>
                <w:b/>
                <w:sz w:val="18"/>
                <w:szCs w:val="18"/>
                <w:lang w:val="en-US"/>
              </w:rPr>
              <w:t>2</w:t>
            </w:r>
          </w:p>
        </w:tc>
      </w:tr>
      <w:tr w:rsidR="006818DE" w:rsidRPr="00A910B1" w14:paraId="34C629A5" w14:textId="77777777" w:rsidTr="006818DE">
        <w:trPr>
          <w:cnfStyle w:val="000000100000" w:firstRow="0" w:lastRow="0" w:firstColumn="0" w:lastColumn="0" w:oddVBand="0" w:evenVBand="0" w:oddHBand="1" w:evenHBand="0" w:firstRowFirstColumn="0" w:firstRowLastColumn="0" w:lastRowFirstColumn="0" w:lastRowLastColumn="0"/>
          <w:trHeight w:val="10"/>
        </w:trPr>
        <w:tc>
          <w:tcPr>
            <w:tcW w:w="987" w:type="pct"/>
          </w:tcPr>
          <w:p w14:paraId="4A9F6510"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Shoulder</w:t>
            </w:r>
          </w:p>
        </w:tc>
        <w:tc>
          <w:tcPr>
            <w:tcW w:w="672" w:type="pct"/>
          </w:tcPr>
          <w:p w14:paraId="5FF4EE2D"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N/A</w:t>
            </w:r>
          </w:p>
        </w:tc>
        <w:tc>
          <w:tcPr>
            <w:tcW w:w="556" w:type="pct"/>
          </w:tcPr>
          <w:p w14:paraId="52622C9B"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N/A</w:t>
            </w:r>
          </w:p>
        </w:tc>
        <w:tc>
          <w:tcPr>
            <w:tcW w:w="556" w:type="pct"/>
          </w:tcPr>
          <w:p w14:paraId="1B56249B"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N/A</w:t>
            </w:r>
          </w:p>
        </w:tc>
        <w:tc>
          <w:tcPr>
            <w:tcW w:w="556" w:type="pct"/>
          </w:tcPr>
          <w:p w14:paraId="52C7102B"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N/A</w:t>
            </w:r>
          </w:p>
        </w:tc>
        <w:tc>
          <w:tcPr>
            <w:tcW w:w="556" w:type="pct"/>
          </w:tcPr>
          <w:p w14:paraId="39C434DD"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N/A</w:t>
            </w:r>
          </w:p>
        </w:tc>
        <w:tc>
          <w:tcPr>
            <w:tcW w:w="558" w:type="pct"/>
          </w:tcPr>
          <w:p w14:paraId="372CC3B3"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5.5</w:t>
            </w:r>
          </w:p>
        </w:tc>
        <w:tc>
          <w:tcPr>
            <w:tcW w:w="558" w:type="pct"/>
          </w:tcPr>
          <w:p w14:paraId="4B5C7375" w14:textId="4FF12609" w:rsidR="006818DE" w:rsidRPr="00A910B1" w:rsidRDefault="007A3586" w:rsidP="006818DE">
            <w:pPr>
              <w:keepNext/>
              <w:keepLines/>
              <w:spacing w:line="240" w:lineRule="auto"/>
              <w:rPr>
                <w:rFonts w:ascii="Arial" w:eastAsia="Arial" w:hAnsi="Arial" w:cs="Arial"/>
                <w:sz w:val="18"/>
                <w:szCs w:val="18"/>
                <w:lang w:val="en-US"/>
              </w:rPr>
            </w:pPr>
            <w:r>
              <w:rPr>
                <w:rFonts w:ascii="Arial" w:eastAsia="Arial" w:hAnsi="Arial" w:cs="Arial"/>
                <w:sz w:val="18"/>
                <w:szCs w:val="18"/>
                <w:lang w:val="en-US"/>
              </w:rPr>
              <w:t>4.1</w:t>
            </w:r>
          </w:p>
        </w:tc>
      </w:tr>
      <w:tr w:rsidR="002D1353" w:rsidRPr="005A376A" w14:paraId="1A3E6271" w14:textId="16758ECE" w:rsidTr="006818DE">
        <w:trPr>
          <w:cnfStyle w:val="000000010000" w:firstRow="0" w:lastRow="0" w:firstColumn="0" w:lastColumn="0" w:oddVBand="0" w:evenVBand="0" w:oddHBand="0" w:evenHBand="1" w:firstRowFirstColumn="0" w:firstRowLastColumn="0" w:lastRowFirstColumn="0" w:lastRowLastColumn="0"/>
          <w:trHeight w:val="10"/>
        </w:trPr>
        <w:tc>
          <w:tcPr>
            <w:tcW w:w="987" w:type="pct"/>
          </w:tcPr>
          <w:p w14:paraId="2E71B06E"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Off-peak</w:t>
            </w:r>
          </w:p>
        </w:tc>
        <w:tc>
          <w:tcPr>
            <w:tcW w:w="672" w:type="pct"/>
          </w:tcPr>
          <w:p w14:paraId="5A8A3B9C"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N/A</w:t>
            </w:r>
          </w:p>
        </w:tc>
        <w:tc>
          <w:tcPr>
            <w:tcW w:w="556" w:type="pct"/>
          </w:tcPr>
          <w:p w14:paraId="041DACBD"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N/A</w:t>
            </w:r>
          </w:p>
        </w:tc>
        <w:tc>
          <w:tcPr>
            <w:tcW w:w="556" w:type="pct"/>
          </w:tcPr>
          <w:p w14:paraId="017872B4"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N/A</w:t>
            </w:r>
          </w:p>
        </w:tc>
        <w:tc>
          <w:tcPr>
            <w:tcW w:w="556" w:type="pct"/>
          </w:tcPr>
          <w:p w14:paraId="04D52508"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N/A</w:t>
            </w:r>
          </w:p>
        </w:tc>
        <w:tc>
          <w:tcPr>
            <w:tcW w:w="556" w:type="pct"/>
          </w:tcPr>
          <w:p w14:paraId="7FFA5BE0"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N/A</w:t>
            </w:r>
          </w:p>
        </w:tc>
        <w:tc>
          <w:tcPr>
            <w:tcW w:w="558" w:type="pct"/>
          </w:tcPr>
          <w:p w14:paraId="42A3A003" w14:textId="77777777" w:rsidR="002D1353" w:rsidRPr="00A910B1" w:rsidRDefault="002D1353">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3.9</w:t>
            </w:r>
          </w:p>
        </w:tc>
        <w:tc>
          <w:tcPr>
            <w:tcW w:w="558" w:type="pct"/>
          </w:tcPr>
          <w:p w14:paraId="36F42876" w14:textId="36348E15" w:rsidR="002D1353" w:rsidRPr="00A910B1" w:rsidRDefault="007A3586">
            <w:pPr>
              <w:keepNext/>
              <w:keepLines/>
              <w:spacing w:line="240" w:lineRule="auto"/>
              <w:rPr>
                <w:rFonts w:ascii="Arial" w:eastAsia="Arial" w:hAnsi="Arial" w:cs="Arial"/>
                <w:sz w:val="18"/>
                <w:szCs w:val="18"/>
                <w:lang w:val="en-US"/>
              </w:rPr>
            </w:pPr>
            <w:r>
              <w:rPr>
                <w:rFonts w:ascii="Arial" w:eastAsia="Arial" w:hAnsi="Arial" w:cs="Arial"/>
                <w:sz w:val="18"/>
                <w:szCs w:val="18"/>
                <w:lang w:val="en-US"/>
              </w:rPr>
              <w:t>2.1</w:t>
            </w:r>
          </w:p>
        </w:tc>
      </w:tr>
      <w:tr w:rsidR="006818DE" w:rsidRPr="00A910B1" w14:paraId="5E49407A" w14:textId="77777777" w:rsidTr="006818DE">
        <w:trPr>
          <w:cnfStyle w:val="000000100000" w:firstRow="0" w:lastRow="0" w:firstColumn="0" w:lastColumn="0" w:oddVBand="0" w:evenVBand="0" w:oddHBand="1" w:evenHBand="0" w:firstRowFirstColumn="0" w:firstRowLastColumn="0" w:lastRowFirstColumn="0" w:lastRowLastColumn="0"/>
          <w:trHeight w:val="10"/>
        </w:trPr>
        <w:tc>
          <w:tcPr>
            <w:tcW w:w="987" w:type="pct"/>
          </w:tcPr>
          <w:p w14:paraId="163E830E"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Peak</w:t>
            </w:r>
          </w:p>
        </w:tc>
        <w:tc>
          <w:tcPr>
            <w:tcW w:w="672" w:type="pct"/>
          </w:tcPr>
          <w:p w14:paraId="77366475"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N/A</w:t>
            </w:r>
          </w:p>
        </w:tc>
        <w:tc>
          <w:tcPr>
            <w:tcW w:w="556" w:type="pct"/>
          </w:tcPr>
          <w:p w14:paraId="7CB8DB6E"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N/A</w:t>
            </w:r>
          </w:p>
        </w:tc>
        <w:tc>
          <w:tcPr>
            <w:tcW w:w="556" w:type="pct"/>
          </w:tcPr>
          <w:p w14:paraId="5AC6FFC6"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N/A</w:t>
            </w:r>
          </w:p>
        </w:tc>
        <w:tc>
          <w:tcPr>
            <w:tcW w:w="556" w:type="pct"/>
          </w:tcPr>
          <w:p w14:paraId="1F4F2FAA"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N/A</w:t>
            </w:r>
          </w:p>
        </w:tc>
        <w:tc>
          <w:tcPr>
            <w:tcW w:w="556" w:type="pct"/>
          </w:tcPr>
          <w:p w14:paraId="3BE45357"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N/A</w:t>
            </w:r>
          </w:p>
        </w:tc>
        <w:tc>
          <w:tcPr>
            <w:tcW w:w="558" w:type="pct"/>
          </w:tcPr>
          <w:p w14:paraId="415E0E7E" w14:textId="77777777" w:rsidR="006818DE" w:rsidRPr="00A910B1" w:rsidRDefault="006818DE" w:rsidP="006818DE">
            <w:pPr>
              <w:keepNext/>
              <w:keepLines/>
              <w:spacing w:line="240" w:lineRule="auto"/>
              <w:rPr>
                <w:rFonts w:ascii="Arial" w:eastAsia="Arial" w:hAnsi="Arial" w:cs="Arial"/>
                <w:sz w:val="18"/>
                <w:szCs w:val="18"/>
                <w:lang w:val="en-US"/>
              </w:rPr>
            </w:pPr>
            <w:r w:rsidRPr="00A910B1">
              <w:rPr>
                <w:rFonts w:ascii="Arial" w:eastAsia="Arial" w:hAnsi="Arial" w:cs="Arial"/>
                <w:sz w:val="18"/>
                <w:szCs w:val="18"/>
                <w:lang w:val="en-US"/>
              </w:rPr>
              <w:t>10.6</w:t>
            </w:r>
          </w:p>
        </w:tc>
        <w:tc>
          <w:tcPr>
            <w:tcW w:w="558" w:type="pct"/>
          </w:tcPr>
          <w:p w14:paraId="505EC21A" w14:textId="66B7CAB0" w:rsidR="006818DE" w:rsidRPr="00A910B1" w:rsidRDefault="007A3586" w:rsidP="006818DE">
            <w:pPr>
              <w:keepNext/>
              <w:keepLines/>
              <w:spacing w:line="240" w:lineRule="auto"/>
              <w:rPr>
                <w:rFonts w:ascii="Arial" w:eastAsia="Arial" w:hAnsi="Arial" w:cs="Arial"/>
                <w:sz w:val="18"/>
                <w:szCs w:val="18"/>
                <w:lang w:val="en-US"/>
              </w:rPr>
            </w:pPr>
            <w:r>
              <w:rPr>
                <w:rFonts w:ascii="Arial" w:eastAsia="Arial" w:hAnsi="Arial" w:cs="Arial"/>
                <w:sz w:val="18"/>
                <w:szCs w:val="18"/>
                <w:lang w:val="en-US"/>
              </w:rPr>
              <w:t>8.4</w:t>
            </w:r>
          </w:p>
        </w:tc>
      </w:tr>
    </w:tbl>
    <w:p w14:paraId="7A63AD21" w14:textId="77777777" w:rsidR="002D1353" w:rsidRPr="002D1353" w:rsidRDefault="002D1353" w:rsidP="00877A2B"/>
    <w:p w14:paraId="2B8AEEB7" w14:textId="77777777" w:rsidR="00B7287E" w:rsidRDefault="00B7287E" w:rsidP="00B7287E"/>
    <w:p w14:paraId="54013EFC" w14:textId="76309B2B" w:rsidR="00B7287E" w:rsidRPr="00B7287E" w:rsidRDefault="00B7287E" w:rsidP="00B7287E">
      <w:pPr>
        <w:sectPr w:rsidR="00B7287E" w:rsidRPr="00B7287E" w:rsidSect="00000778">
          <w:footerReference w:type="default" r:id="rId22"/>
          <w:type w:val="continuous"/>
          <w:pgSz w:w="11906" w:h="16838" w:code="9"/>
          <w:pgMar w:top="1134" w:right="1134" w:bottom="1134" w:left="1134" w:header="709" w:footer="692" w:gutter="0"/>
          <w:cols w:space="708"/>
          <w:docGrid w:linePitch="360"/>
        </w:sectPr>
      </w:pPr>
    </w:p>
    <w:p w14:paraId="5FD7C6A4" w14:textId="576131EC" w:rsidR="00CA7A30" w:rsidRDefault="00CA7A30">
      <w:pPr>
        <w:spacing w:before="0" w:line="259" w:lineRule="auto"/>
      </w:pPr>
      <w:r>
        <w:br w:type="page"/>
      </w:r>
    </w:p>
    <w:p w14:paraId="389E8EDC" w14:textId="77777777" w:rsidR="00725A53" w:rsidRPr="00265E43" w:rsidRDefault="00725A53" w:rsidP="00725A53">
      <w:pPr>
        <w:pStyle w:val="Heading1"/>
      </w:pPr>
      <w:bookmarkStart w:id="45" w:name="_Toc151465308"/>
      <w:bookmarkStart w:id="46" w:name="_Toc159844547"/>
      <w:r>
        <w:lastRenderedPageBreak/>
        <w:t xml:space="preserve">How </w:t>
      </w:r>
      <w:r w:rsidRPr="00265E43">
        <w:t>we set the minimum feed-in tariffs</w:t>
      </w:r>
      <w:bookmarkEnd w:id="45"/>
      <w:bookmarkEnd w:id="46"/>
      <w:r w:rsidRPr="00265E43">
        <w:t xml:space="preserve"> </w:t>
      </w:r>
    </w:p>
    <w:p w14:paraId="3E08D1E2" w14:textId="4C58EE60" w:rsidR="00C756BB" w:rsidRDefault="00C756BB" w:rsidP="00725A53">
      <w:r>
        <w:t xml:space="preserve">When solar customers export electricity, </w:t>
      </w:r>
      <w:r w:rsidR="00D518B9">
        <w:t xml:space="preserve">their </w:t>
      </w:r>
      <w:r>
        <w:t xml:space="preserve">retailers </w:t>
      </w:r>
      <w:r w:rsidR="000B447A">
        <w:t>receive electrici</w:t>
      </w:r>
      <w:r w:rsidR="00A018A5">
        <w:t xml:space="preserve">ty that they would otherwise have to buy </w:t>
      </w:r>
      <w:r>
        <w:t>from the National Electricity Market. The minimum feed-in tariffs</w:t>
      </w:r>
      <w:r w:rsidR="00AB4D55">
        <w:t xml:space="preserve"> </w:t>
      </w:r>
      <w:r w:rsidR="00714657">
        <w:t>reflect</w:t>
      </w:r>
      <w:r>
        <w:t xml:space="preserve"> what retailers would pay if they bought </w:t>
      </w:r>
      <w:r w:rsidR="0026494F">
        <w:t xml:space="preserve">that same </w:t>
      </w:r>
      <w:r>
        <w:t xml:space="preserve">electricity from the market plus a payment for the social benefits of renewable energy. </w:t>
      </w:r>
    </w:p>
    <w:p w14:paraId="144AC6C7" w14:textId="77777777" w:rsidR="00C756BB" w:rsidRDefault="00C756BB" w:rsidP="00725A53">
      <w:r>
        <w:t xml:space="preserve">If the minimum feed-in tariffs were higher than this, retailers (and therefore their customers) would be better off buying electricity from the National Electricity Market. </w:t>
      </w:r>
    </w:p>
    <w:p w14:paraId="513F9C83" w14:textId="4C31A949" w:rsidR="00C756BB" w:rsidRDefault="002070BA" w:rsidP="00725A53">
      <w:r w:rsidRPr="002070BA">
        <w:t xml:space="preserve">Supply and demand in </w:t>
      </w:r>
      <w:r w:rsidR="00946F64">
        <w:t xml:space="preserve">the </w:t>
      </w:r>
      <w:r w:rsidRPr="002070BA">
        <w:t>National Electricity Market determine wholesale prices</w:t>
      </w:r>
      <w:r w:rsidR="00C756BB">
        <w:t>. We estimate the wholesale price for the minimum feed-in tariffs by placing greater weight on prices when more solar exports occur (the solar weighted wholesale price). We then add</w:t>
      </w:r>
      <w:r w:rsidR="00C756BB" w:rsidDel="00C50E9B">
        <w:t xml:space="preserve"> </w:t>
      </w:r>
      <w:r w:rsidR="00C756BB">
        <w:t xml:space="preserve">avoided market fees, network costs, and the additional environmental and health benefits of green energy. </w:t>
      </w:r>
    </w:p>
    <w:p w14:paraId="098447AB" w14:textId="5D388231" w:rsidR="00842699" w:rsidRDefault="00C756BB" w:rsidP="00725A53">
      <w:r>
        <w:t>We have used this approach to determine the minimum feed-in tariffs applicable from 1 July 202</w:t>
      </w:r>
      <w:r w:rsidR="00A95450">
        <w:t>4</w:t>
      </w:r>
      <w:r>
        <w:t xml:space="preserve">. This is the same approach we have used in previous feed-in tariff reviews. </w:t>
      </w:r>
    </w:p>
    <w:p w14:paraId="2D56CDAC" w14:textId="16CB26F4" w:rsidR="008602DB" w:rsidRDefault="00D460F8" w:rsidP="00725A53">
      <w:r w:rsidRPr="00D460F8">
        <w:t xml:space="preserve">Various sources, such as coal, hydro, </w:t>
      </w:r>
      <w:proofErr w:type="gramStart"/>
      <w:r w:rsidR="00702D1C" w:rsidRPr="00D460F8">
        <w:t>gas</w:t>
      </w:r>
      <w:proofErr w:type="gramEnd"/>
      <w:r w:rsidRPr="00D460F8">
        <w:t xml:space="preserve"> and renewables generate the energy supplied to Victorians</w:t>
      </w:r>
      <w:r w:rsidR="009578F2">
        <w:t>. Large generators</w:t>
      </w:r>
      <w:r>
        <w:t xml:space="preserve"> </w:t>
      </w:r>
      <w:r w:rsidR="009578F2">
        <w:t>provide most of the energy in the National Electricity Market.</w:t>
      </w:r>
      <w:r w:rsidR="00A22378">
        <w:rPr>
          <w:rStyle w:val="FootnoteReference"/>
        </w:rPr>
        <w:footnoteReference w:id="15"/>
      </w:r>
      <w:r w:rsidR="009578F2">
        <w:t xml:space="preserve"> Rooftop solar panels provide a smaller but growing share.</w:t>
      </w:r>
      <w:r w:rsidR="007F6624">
        <w:rPr>
          <w:rStyle w:val="FootnoteReference"/>
        </w:rPr>
        <w:footnoteReference w:id="16"/>
      </w:r>
      <w:r w:rsidR="00113516">
        <w:t xml:space="preserve"> </w:t>
      </w:r>
      <w:r w:rsidR="009578F2">
        <w:t>Figure 2.1 shows the links between solar customers and the different participants in the electricity market</w:t>
      </w:r>
      <w:r w:rsidR="00E26015">
        <w:t>.</w:t>
      </w:r>
    </w:p>
    <w:p w14:paraId="3C318208" w14:textId="77777777" w:rsidR="0083407A" w:rsidRDefault="0083407A" w:rsidP="0083407A">
      <w:pPr>
        <w:pStyle w:val="Pull-out"/>
      </w:pPr>
      <w:r>
        <w:t>See Appendix A – Technical Methodology for further details on the calculations.</w:t>
      </w:r>
    </w:p>
    <w:p w14:paraId="016B05B7" w14:textId="77777777" w:rsidR="00877D27" w:rsidRDefault="00877D27" w:rsidP="00877D27">
      <w:r>
        <w:t>Solar customers play a dual role in the electricity market. They are generators when they export electricity to the grid and customers when they purchase electricity from their retailer. Buying electricity from the National Electricity Market and selling it to customers imposes certain costs on retailers. For example:</w:t>
      </w:r>
    </w:p>
    <w:p w14:paraId="01C6DE27" w14:textId="77777777" w:rsidR="00877D27" w:rsidRDefault="00877D27" w:rsidP="00877D27">
      <w:pPr>
        <w:pStyle w:val="ListBullet"/>
      </w:pPr>
      <w:r>
        <w:t>wholesale electricity costs</w:t>
      </w:r>
    </w:p>
    <w:p w14:paraId="6DDF9348" w14:textId="77777777" w:rsidR="0026494F" w:rsidRDefault="0026494F" w:rsidP="0026494F">
      <w:pPr>
        <w:pStyle w:val="ListBullet"/>
      </w:pPr>
      <w:r>
        <w:t xml:space="preserve">hedging wholesale cost risks </w:t>
      </w:r>
    </w:p>
    <w:p w14:paraId="45453923" w14:textId="77777777" w:rsidR="00877D27" w:rsidRDefault="00877D27" w:rsidP="00877D27">
      <w:pPr>
        <w:pStyle w:val="ListBullet"/>
      </w:pPr>
      <w:r>
        <w:t xml:space="preserve">other energy market fees </w:t>
      </w:r>
    </w:p>
    <w:p w14:paraId="2724DAAD" w14:textId="77777777" w:rsidR="00877D27" w:rsidRDefault="00877D27" w:rsidP="00877D27">
      <w:pPr>
        <w:pStyle w:val="ListBullet"/>
      </w:pPr>
      <w:r>
        <w:t xml:space="preserve">transporting costs (the poles and wires connecting customers to electricity generators) </w:t>
      </w:r>
    </w:p>
    <w:p w14:paraId="4BE5E5F4" w14:textId="681B17C1" w:rsidR="00877D27" w:rsidRDefault="00877D27" w:rsidP="00877D27">
      <w:pPr>
        <w:pStyle w:val="ListBullet"/>
      </w:pPr>
      <w:r>
        <w:t xml:space="preserve">energy lost during transport </w:t>
      </w:r>
      <w:r w:rsidR="00C41B7B">
        <w:t>(network losses)</w:t>
      </w:r>
    </w:p>
    <w:p w14:paraId="4DB3A9F1" w14:textId="77777777" w:rsidR="00877D27" w:rsidRDefault="00877D27" w:rsidP="00877D27">
      <w:pPr>
        <w:pStyle w:val="ListBullet"/>
      </w:pPr>
      <w:r>
        <w:lastRenderedPageBreak/>
        <w:t xml:space="preserve">environmental programs </w:t>
      </w:r>
    </w:p>
    <w:p w14:paraId="008B5666" w14:textId="77777777" w:rsidR="00877D27" w:rsidRDefault="00877D27" w:rsidP="00877D27">
      <w:pPr>
        <w:pStyle w:val="ListBullet"/>
      </w:pPr>
      <w:r>
        <w:t xml:space="preserve">corporate overhead costs. </w:t>
      </w:r>
    </w:p>
    <w:p w14:paraId="7C7E4458" w14:textId="77777777" w:rsidR="00877D27" w:rsidRDefault="00877D27" w:rsidP="00877D27">
      <w:r>
        <w:t xml:space="preserve">Retailers avoid some of these costs when they buy electricity from solar customers. These include: </w:t>
      </w:r>
    </w:p>
    <w:p w14:paraId="1310D424" w14:textId="77777777" w:rsidR="00877D27" w:rsidRDefault="00877D27" w:rsidP="00877D27">
      <w:pPr>
        <w:pStyle w:val="ListBullet"/>
      </w:pPr>
      <w:r>
        <w:t xml:space="preserve">network losses </w:t>
      </w:r>
    </w:p>
    <w:p w14:paraId="07A724F3" w14:textId="77777777" w:rsidR="00877D27" w:rsidRDefault="00877D27" w:rsidP="00877D27">
      <w:pPr>
        <w:pStyle w:val="ListBullet"/>
      </w:pPr>
      <w:r>
        <w:t xml:space="preserve">market fees </w:t>
      </w:r>
    </w:p>
    <w:p w14:paraId="324136C6" w14:textId="77777777" w:rsidR="00877D27" w:rsidRDefault="00877D27" w:rsidP="00877D27">
      <w:pPr>
        <w:pStyle w:val="ListBullet"/>
      </w:pPr>
      <w:r>
        <w:t>the price of wholesale electricity.</w:t>
      </w:r>
    </w:p>
    <w:p w14:paraId="0ADF2220" w14:textId="77777777" w:rsidR="00877D27" w:rsidRPr="00F75093" w:rsidRDefault="00877D27" w:rsidP="00877D27">
      <w:r>
        <w:t xml:space="preserve">The costs retailers avoid reflect the market value of solar energy. We use these to set the minimum feed-in tariff (along with the environmental and social value of solar). </w:t>
      </w:r>
    </w:p>
    <w:p w14:paraId="2B9BAFB1" w14:textId="5BE33C4D" w:rsidR="00DE1228" w:rsidRDefault="00725A53" w:rsidP="00A04F35">
      <w:pPr>
        <w:pStyle w:val="Figure-Table-BoxHeading"/>
        <w:keepNext/>
      </w:pPr>
      <w:r w:rsidRPr="00226DC1">
        <w:t xml:space="preserve">Figure 2.1: </w:t>
      </w:r>
      <w:r w:rsidR="000B4FBF" w:rsidRPr="00226DC1">
        <w:t xml:space="preserve">Solar customers’ role in the Victorian </w:t>
      </w:r>
      <w:r w:rsidR="0029593D" w:rsidRPr="00226DC1">
        <w:t xml:space="preserve">electricity </w:t>
      </w:r>
      <w:r w:rsidR="00DF45D2" w:rsidRPr="00226DC1">
        <w:t>market</w:t>
      </w:r>
    </w:p>
    <w:p w14:paraId="498CE684" w14:textId="72ABCF35" w:rsidR="000470F2" w:rsidRDefault="000470F2" w:rsidP="00B17C61">
      <w:pPr>
        <w:pStyle w:val="Figure-Table-BoxHeading"/>
        <w:keepNext/>
      </w:pPr>
      <w:r>
        <w:rPr>
          <w:noProof/>
        </w:rPr>
        <w:drawing>
          <wp:inline distT="0" distB="0" distL="0" distR="0" wp14:anchorId="015D2FF4" wp14:editId="781DB802">
            <wp:extent cx="6005546" cy="4004840"/>
            <wp:effectExtent l="0" t="0" r="0" b="0"/>
            <wp:docPr id="2116399201" name="Picture 211639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44549" cy="4030849"/>
                    </a:xfrm>
                    <a:prstGeom prst="rect">
                      <a:avLst/>
                    </a:prstGeom>
                    <a:noFill/>
                  </pic:spPr>
                </pic:pic>
              </a:graphicData>
            </a:graphic>
          </wp:inline>
        </w:drawing>
      </w:r>
    </w:p>
    <w:p w14:paraId="35B4FED5" w14:textId="77777777" w:rsidR="00725A53" w:rsidRDefault="00725A53" w:rsidP="00DB5CEB">
      <w:pPr>
        <w:pStyle w:val="Heading2numbered"/>
        <w:ind w:left="0" w:firstLine="0"/>
        <w:rPr>
          <w:rFonts w:eastAsia="Tahoma" w:cs="Tahoma"/>
          <w:color w:val="4986A0" w:themeColor="accent3"/>
          <w:sz w:val="24"/>
        </w:rPr>
      </w:pPr>
      <w:bookmarkStart w:id="47" w:name="_Toc151465309"/>
      <w:bookmarkStart w:id="48" w:name="_Toc159844548"/>
      <w:r w:rsidRPr="58BF864B">
        <w:t xml:space="preserve">We must consider certain costs in setting minimum feed-in </w:t>
      </w:r>
      <w:proofErr w:type="gramStart"/>
      <w:r w:rsidRPr="58BF864B">
        <w:t>tariffs</w:t>
      </w:r>
      <w:bookmarkEnd w:id="47"/>
      <w:bookmarkEnd w:id="48"/>
      <w:proofErr w:type="gramEnd"/>
    </w:p>
    <w:p w14:paraId="7BA10FB6" w14:textId="65C48DD8" w:rsidR="00725A53" w:rsidRPr="00954B71" w:rsidRDefault="00725A53" w:rsidP="00725A53">
      <w:r w:rsidRPr="00954B71">
        <w:t xml:space="preserve">The minimum feed-in tariff is an estimate of what a retailer would pay </w:t>
      </w:r>
      <w:r>
        <w:t xml:space="preserve">if they bought electricity from the </w:t>
      </w:r>
      <w:r w:rsidR="00C934C2">
        <w:t>N</w:t>
      </w:r>
      <w:r>
        <w:t xml:space="preserve">ational </w:t>
      </w:r>
      <w:r w:rsidR="00C934C2">
        <w:t>E</w:t>
      </w:r>
      <w:r>
        <w:t xml:space="preserve">lectricity </w:t>
      </w:r>
      <w:r w:rsidR="00C934C2">
        <w:t>M</w:t>
      </w:r>
      <w:r>
        <w:t>arket (</w:t>
      </w:r>
      <w:bookmarkStart w:id="49" w:name="_Hlk150784460"/>
      <w:r>
        <w:t>plus</w:t>
      </w:r>
      <w:r w:rsidDel="00D0014E">
        <w:t xml:space="preserve"> </w:t>
      </w:r>
      <w:r>
        <w:t>payment for the benefits of renewable energy</w:t>
      </w:r>
      <w:bookmarkEnd w:id="49"/>
      <w:r>
        <w:t>) instead of receiving solar exports</w:t>
      </w:r>
      <w:r w:rsidRPr="00954B71">
        <w:t>.</w:t>
      </w:r>
    </w:p>
    <w:p w14:paraId="64134EEB" w14:textId="2F44C5C8" w:rsidR="00F32064" w:rsidRDefault="00A32C69" w:rsidP="00725A53">
      <w:r>
        <w:t xml:space="preserve">The Electricity Industry Act </w:t>
      </w:r>
      <w:r w:rsidR="00D84749">
        <w:t xml:space="preserve">provides </w:t>
      </w:r>
      <w:r w:rsidR="00E33BBC">
        <w:t>the factors we must have re</w:t>
      </w:r>
      <w:r w:rsidR="007F0E9B">
        <w:t xml:space="preserve">gard to when setting the minimum feed-in tariffs. </w:t>
      </w:r>
      <w:r w:rsidR="00C04733">
        <w:t>These are</w:t>
      </w:r>
      <w:r w:rsidR="00F32064">
        <w:t xml:space="preserve">: </w:t>
      </w:r>
    </w:p>
    <w:p w14:paraId="332C845D" w14:textId="77777777" w:rsidR="00D43D04" w:rsidRDefault="00D43D04" w:rsidP="00D43D04">
      <w:pPr>
        <w:pStyle w:val="ListBullet"/>
      </w:pPr>
      <w:r>
        <w:lastRenderedPageBreak/>
        <w:t xml:space="preserve">prices in the wholesale market </w:t>
      </w:r>
    </w:p>
    <w:p w14:paraId="4DDEA127" w14:textId="77777777" w:rsidR="00D43D04" w:rsidRDefault="00D43D04" w:rsidP="00D43D04">
      <w:pPr>
        <w:pStyle w:val="ListBullet"/>
      </w:pPr>
      <w:r>
        <w:t xml:space="preserve">avoided transmission and distribution </w:t>
      </w:r>
      <w:proofErr w:type="gramStart"/>
      <w:r>
        <w:t>losses</w:t>
      </w:r>
      <w:proofErr w:type="gramEnd"/>
      <w:r>
        <w:t xml:space="preserve"> </w:t>
      </w:r>
    </w:p>
    <w:p w14:paraId="70D925F0" w14:textId="77777777" w:rsidR="00D43D04" w:rsidRDefault="00D43D04" w:rsidP="00D43D04">
      <w:pPr>
        <w:pStyle w:val="ListBullet"/>
      </w:pPr>
      <w:r>
        <w:t>the avoided social cost of carbon and human health costs attributable to a reduction in air pollution.</w:t>
      </w:r>
      <w:r>
        <w:rPr>
          <w:rStyle w:val="FootnoteReference"/>
        </w:rPr>
        <w:footnoteReference w:id="17"/>
      </w:r>
      <w:r>
        <w:t xml:space="preserve"> </w:t>
      </w:r>
    </w:p>
    <w:p w14:paraId="752DA8EB" w14:textId="1B908E66" w:rsidR="00725A53" w:rsidRDefault="002D05C7" w:rsidP="00725A53">
      <w:r>
        <w:t>How we determine th</w:t>
      </w:r>
      <w:r w:rsidR="00725A53">
        <w:t xml:space="preserve">ese costs </w:t>
      </w:r>
      <w:r w:rsidR="00E32C10">
        <w:t>is</w:t>
      </w:r>
      <w:r w:rsidR="00725A53">
        <w:t xml:space="preserve"> explained in more detail in the following chapter</w:t>
      </w:r>
      <w:r w:rsidR="00A4036E">
        <w:t>s</w:t>
      </w:r>
      <w:r w:rsidR="00725A53">
        <w:t xml:space="preserve">. </w:t>
      </w:r>
    </w:p>
    <w:p w14:paraId="75AD1356" w14:textId="6979D20A" w:rsidR="00D43D04" w:rsidRDefault="007C61DC" w:rsidP="00725A53">
      <w:r>
        <w:t xml:space="preserve">We must also </w:t>
      </w:r>
      <w:r w:rsidR="00105E3E">
        <w:t xml:space="preserve">be guided by </w:t>
      </w:r>
      <w:r>
        <w:t xml:space="preserve">our </w:t>
      </w:r>
      <w:r w:rsidR="003F2B44">
        <w:t>objective</w:t>
      </w:r>
      <w:r w:rsidR="00105E3E">
        <w:t>s</w:t>
      </w:r>
      <w:r w:rsidR="003F2B44">
        <w:t xml:space="preserve"> </w:t>
      </w:r>
      <w:r>
        <w:t>under the Essential Services Commission Act</w:t>
      </w:r>
      <w:r w:rsidR="003F2B44">
        <w:t xml:space="preserve"> 2001, which is to </w:t>
      </w:r>
      <w:r w:rsidR="00A163B6">
        <w:t xml:space="preserve">promote the long-term </w:t>
      </w:r>
      <w:r w:rsidR="00251FD4">
        <w:t>interests</w:t>
      </w:r>
      <w:r w:rsidR="00A163B6">
        <w:t xml:space="preserve"> of consumers</w:t>
      </w:r>
      <w:r>
        <w:t>.</w:t>
      </w:r>
      <w:r w:rsidR="00A163B6">
        <w:rPr>
          <w:rStyle w:val="FootnoteReference"/>
        </w:rPr>
        <w:footnoteReference w:id="18"/>
      </w:r>
      <w:r>
        <w:t xml:space="preserve"> </w:t>
      </w:r>
    </w:p>
    <w:p w14:paraId="4C952401" w14:textId="77777777" w:rsidR="004A296E" w:rsidRPr="009044CD" w:rsidRDefault="004A296E" w:rsidP="004A296E">
      <w:pPr>
        <w:pStyle w:val="Heading2"/>
      </w:pPr>
      <w:bookmarkStart w:id="50" w:name="_Toc122097751"/>
      <w:bookmarkStart w:id="51" w:name="_Toc151465310"/>
      <w:bookmarkStart w:id="52" w:name="_Toc159844549"/>
      <w:r w:rsidRPr="009044CD">
        <w:t xml:space="preserve">The steps for setting the minimum feed-in </w:t>
      </w:r>
      <w:proofErr w:type="gramStart"/>
      <w:r w:rsidRPr="009044CD">
        <w:t>tariff</w:t>
      </w:r>
      <w:bookmarkEnd w:id="50"/>
      <w:r w:rsidRPr="009044CD">
        <w:t>s</w:t>
      </w:r>
      <w:bookmarkEnd w:id="51"/>
      <w:bookmarkEnd w:id="52"/>
      <w:proofErr w:type="gramEnd"/>
    </w:p>
    <w:p w14:paraId="10930AEA" w14:textId="77777777" w:rsidR="004A296E" w:rsidRPr="00AD413A" w:rsidRDefault="004A296E" w:rsidP="004A296E">
      <w:r>
        <w:t xml:space="preserve">As </w:t>
      </w:r>
      <w:r w:rsidRPr="00AD413A">
        <w:t>with previous years, we used the following process to determine the minimum feed-in tariffs and account for the factors outlined in Figure 2.</w:t>
      </w:r>
      <w:r>
        <w:t>2</w:t>
      </w:r>
      <w:r w:rsidRPr="00AD413A">
        <w:t>:</w:t>
      </w:r>
    </w:p>
    <w:p w14:paraId="74167099" w14:textId="77777777" w:rsidR="004A296E" w:rsidRPr="00AD413A" w:rsidRDefault="004A296E" w:rsidP="004A296E">
      <w:pPr>
        <w:pStyle w:val="ListBullet"/>
      </w:pPr>
      <w:r w:rsidRPr="00AD413A">
        <w:t xml:space="preserve">Develop a forecast of </w:t>
      </w:r>
      <w:r>
        <w:t xml:space="preserve">solar weighted </w:t>
      </w:r>
      <w:r w:rsidRPr="00AD413A">
        <w:t xml:space="preserve">wholesale electricity prices to reflect market expectations for </w:t>
      </w:r>
      <w:r w:rsidRPr="00AD413A" w:rsidDel="006A3F37">
        <w:t>202</w:t>
      </w:r>
      <w:r>
        <w:t>4</w:t>
      </w:r>
      <w:r w:rsidRPr="00AD413A" w:rsidDel="006A3F37">
        <w:rPr>
          <w:rFonts w:cstheme="minorHAnsi"/>
        </w:rPr>
        <w:t>─</w:t>
      </w:r>
      <w:r w:rsidRPr="00AD413A" w:rsidDel="006A3F37">
        <w:t>2</w:t>
      </w:r>
      <w:r>
        <w:t>5</w:t>
      </w:r>
      <w:r w:rsidRPr="00AD413A">
        <w:t>:</w:t>
      </w:r>
    </w:p>
    <w:p w14:paraId="1BEA8343" w14:textId="0B8F0998" w:rsidR="004A296E" w:rsidRPr="00AD413A" w:rsidRDefault="00570596" w:rsidP="004A296E">
      <w:pPr>
        <w:pStyle w:val="ListBullet2"/>
      </w:pPr>
      <w:r>
        <w:t>f</w:t>
      </w:r>
      <w:r w:rsidRPr="00AD413A">
        <w:t>or</w:t>
      </w:r>
      <w:r w:rsidR="004A296E" w:rsidRPr="00AD413A">
        <w:t xml:space="preserve"> the </w:t>
      </w:r>
      <w:r w:rsidR="004A296E">
        <w:t>flat minimum</w:t>
      </w:r>
      <w:r w:rsidR="004A296E" w:rsidRPr="00AD413A">
        <w:t xml:space="preserve"> feed-in tariff, </w:t>
      </w:r>
      <w:r w:rsidR="004A296E">
        <w:t>we forecast solar weighted</w:t>
      </w:r>
      <w:r w:rsidR="004A296E" w:rsidRPr="00AD413A">
        <w:t xml:space="preserve"> wholesale electricity </w:t>
      </w:r>
      <w:r w:rsidR="004A296E">
        <w:t>price for the whole of 2024</w:t>
      </w:r>
      <w:r w:rsidR="004A296E" w:rsidRPr="00AD413A" w:rsidDel="006A3F37">
        <w:rPr>
          <w:rFonts w:cstheme="minorHAnsi"/>
        </w:rPr>
        <w:t>─</w:t>
      </w:r>
      <w:r w:rsidR="004A296E" w:rsidRPr="00AD413A" w:rsidDel="006A3F37">
        <w:t>2</w:t>
      </w:r>
      <w:r w:rsidR="004A296E">
        <w:t>5</w:t>
      </w:r>
      <w:r w:rsidR="004A296E" w:rsidRPr="00AD413A">
        <w:t>.</w:t>
      </w:r>
    </w:p>
    <w:p w14:paraId="0EBA678D" w14:textId="59D895E8" w:rsidR="004A296E" w:rsidRPr="00AD413A" w:rsidDel="006A3F37" w:rsidRDefault="00570596" w:rsidP="004A296E">
      <w:pPr>
        <w:pStyle w:val="ListBullet2"/>
      </w:pPr>
      <w:r>
        <w:t>f</w:t>
      </w:r>
      <w:r w:rsidRPr="00AD413A">
        <w:t>or</w:t>
      </w:r>
      <w:r w:rsidR="004A296E" w:rsidRPr="00AD413A">
        <w:t xml:space="preserve"> the </w:t>
      </w:r>
      <w:r w:rsidR="004A296E">
        <w:t>time-varying minimum</w:t>
      </w:r>
      <w:r w:rsidR="004A296E" w:rsidRPr="00AD413A">
        <w:t xml:space="preserve"> feed-in tariffs </w:t>
      </w:r>
      <w:r w:rsidR="004A296E">
        <w:t xml:space="preserve">we forecast </w:t>
      </w:r>
      <w:r w:rsidR="006D22C5">
        <w:t xml:space="preserve">solar </w:t>
      </w:r>
      <w:r w:rsidR="0051031B">
        <w:t xml:space="preserve">weighted </w:t>
      </w:r>
      <w:r w:rsidR="004A296E" w:rsidRPr="00AD413A">
        <w:t xml:space="preserve">wholesale electricity </w:t>
      </w:r>
      <w:r w:rsidR="004A296E">
        <w:t xml:space="preserve">prices for each time block by </w:t>
      </w:r>
      <w:r w:rsidR="004A296E" w:rsidRPr="00AD413A">
        <w:t>weight</w:t>
      </w:r>
      <w:r w:rsidR="004A296E">
        <w:t>ing forecast spot prices</w:t>
      </w:r>
      <w:r w:rsidR="004A296E" w:rsidRPr="00AD413A">
        <w:t xml:space="preserve"> </w:t>
      </w:r>
      <w:r w:rsidR="004A296E">
        <w:t>in that block by its</w:t>
      </w:r>
      <w:r w:rsidR="004A296E" w:rsidDel="001464AE">
        <w:t xml:space="preserve"> </w:t>
      </w:r>
      <w:r w:rsidR="004A296E">
        <w:t xml:space="preserve">share of total solar exports. </w:t>
      </w:r>
    </w:p>
    <w:p w14:paraId="20234745" w14:textId="77777777" w:rsidR="004A296E" w:rsidRPr="00AD413A" w:rsidRDefault="004A296E" w:rsidP="004A296E">
      <w:pPr>
        <w:pStyle w:val="ListBullet"/>
      </w:pPr>
      <w:r w:rsidRPr="00AD413A">
        <w:t>Add in the benefit of market fees, ancillary service charges and other market operator charges retailers avoid when they get electricity from solar customers instead of the wholesale market.</w:t>
      </w:r>
    </w:p>
    <w:p w14:paraId="0471DAA4" w14:textId="77777777" w:rsidR="004A296E" w:rsidRPr="00AD413A" w:rsidRDefault="004A296E" w:rsidP="004A296E">
      <w:pPr>
        <w:pStyle w:val="ListBullet"/>
      </w:pPr>
      <w:r w:rsidRPr="00AD413A">
        <w:t>Increase the resulting values to account for energy saved by not transporting the energy long distances from large scale generators (transmission and distribution losses).</w:t>
      </w:r>
    </w:p>
    <w:p w14:paraId="4CEA1E31" w14:textId="621FD7C3" w:rsidR="004A296E" w:rsidRDefault="004A296E" w:rsidP="0051031B">
      <w:pPr>
        <w:pStyle w:val="ListBullet"/>
      </w:pPr>
      <w:r w:rsidRPr="00AD413A">
        <w:t xml:space="preserve">Add the avoided social cost of carbon and human health costs </w:t>
      </w:r>
      <w:r>
        <w:t>from</w:t>
      </w:r>
      <w:r w:rsidRPr="00AD413A">
        <w:t xml:space="preserve"> air pollution</w:t>
      </w:r>
      <w:r>
        <w:t>.</w:t>
      </w:r>
    </w:p>
    <w:p w14:paraId="2D3171A7" w14:textId="6FFB8186" w:rsidR="00ED1F4B" w:rsidRDefault="00ED1F4B" w:rsidP="00B81B98">
      <w:pPr>
        <w:pStyle w:val="Figure-Table-BoxHeading"/>
        <w:keepNext/>
      </w:pPr>
      <w:r>
        <w:lastRenderedPageBreak/>
        <w:t>Figure 2.</w:t>
      </w:r>
      <w:r w:rsidR="00FB1361">
        <w:t>2</w:t>
      </w:r>
      <w:r w:rsidR="004B0C51">
        <w:t xml:space="preserve">:  </w:t>
      </w:r>
      <w:r>
        <w:t xml:space="preserve">Costs we must have regard to in setting the feed in </w:t>
      </w:r>
      <w:proofErr w:type="gramStart"/>
      <w:r>
        <w:t>tariffs</w:t>
      </w:r>
      <w:proofErr w:type="gramEnd"/>
    </w:p>
    <w:p w14:paraId="6F5BC44E" w14:textId="6036493E" w:rsidR="00ED1F4B" w:rsidRPr="00ED1F4B" w:rsidRDefault="00FB1361" w:rsidP="00A56408">
      <w:pPr>
        <w:jc w:val="center"/>
      </w:pPr>
      <w:r>
        <w:rPr>
          <w:noProof/>
        </w:rPr>
        <w:drawing>
          <wp:inline distT="0" distB="0" distL="0" distR="0" wp14:anchorId="1DA4C5C3" wp14:editId="55439571">
            <wp:extent cx="5736590" cy="4584700"/>
            <wp:effectExtent l="0" t="0" r="0" b="0"/>
            <wp:docPr id="467810919" name="Picture 46781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6590" cy="4584700"/>
                    </a:xfrm>
                    <a:prstGeom prst="rect">
                      <a:avLst/>
                    </a:prstGeom>
                    <a:noFill/>
                  </pic:spPr>
                </pic:pic>
              </a:graphicData>
            </a:graphic>
          </wp:inline>
        </w:drawing>
      </w:r>
    </w:p>
    <w:p w14:paraId="1EBB9E43" w14:textId="77777777" w:rsidR="001152B9" w:rsidRDefault="001152B9" w:rsidP="00A56408">
      <w:pPr>
        <w:contextualSpacing/>
        <w:rPr>
          <w:rFonts w:ascii="Tahoma" w:eastAsiaTheme="majorEastAsia" w:hAnsi="Tahoma" w:cstheme="majorBidi"/>
          <w:b/>
          <w:bCs/>
          <w:sz w:val="26"/>
          <w:szCs w:val="26"/>
        </w:rPr>
      </w:pPr>
    </w:p>
    <w:p w14:paraId="2A765DB1" w14:textId="77777777" w:rsidR="00A56408" w:rsidRPr="002552B7" w:rsidRDefault="00A56408" w:rsidP="00A56408">
      <w:pPr>
        <w:contextualSpacing/>
        <w:rPr>
          <w:rFonts w:ascii="Tahoma" w:eastAsiaTheme="majorEastAsia" w:hAnsi="Tahoma" w:cstheme="majorBidi"/>
          <w:b/>
          <w:bCs/>
          <w:sz w:val="26"/>
          <w:szCs w:val="26"/>
        </w:rPr>
        <w:sectPr w:rsidR="00A56408" w:rsidRPr="002552B7" w:rsidSect="00000778">
          <w:footerReference w:type="default" r:id="rId25"/>
          <w:type w:val="continuous"/>
          <w:pgSz w:w="11906" w:h="16838" w:code="9"/>
          <w:pgMar w:top="1134" w:right="1134" w:bottom="1134" w:left="1134" w:header="709" w:footer="692" w:gutter="0"/>
          <w:cols w:space="708"/>
          <w:docGrid w:linePitch="360"/>
        </w:sectPr>
      </w:pPr>
    </w:p>
    <w:p w14:paraId="19F527DE" w14:textId="1E2AD3BB" w:rsidR="00725A53" w:rsidRDefault="00725A53" w:rsidP="00725A53">
      <w:pPr>
        <w:pStyle w:val="Heading1"/>
      </w:pPr>
      <w:bookmarkStart w:id="53" w:name="_Toc151465311"/>
      <w:bookmarkStart w:id="54" w:name="_Toc159844550"/>
      <w:r>
        <w:lastRenderedPageBreak/>
        <w:t>The wholesale value of solar energy</w:t>
      </w:r>
      <w:bookmarkEnd w:id="53"/>
      <w:bookmarkEnd w:id="54"/>
    </w:p>
    <w:p w14:paraId="1A1C701D" w14:textId="7166D2F7" w:rsidR="002E26E3" w:rsidRDefault="002E26E3" w:rsidP="002E26E3">
      <w:r>
        <w:t xml:space="preserve">When retailers get energy from solar customers, they avoid buying electricity </w:t>
      </w:r>
      <w:r w:rsidR="009D471A">
        <w:t>in</w:t>
      </w:r>
      <w:r>
        <w:t xml:space="preserve"> the wholesale market. </w:t>
      </w:r>
      <w:r w:rsidR="004C796D">
        <w:t>Therefore</w:t>
      </w:r>
      <w:r>
        <w:t>, calculating the minimum feed-in tariff for the upcoming financial year requires us to estimate the solar weighted wholesale price of electricity.</w:t>
      </w:r>
    </w:p>
    <w:p w14:paraId="49E065FF" w14:textId="688C166A" w:rsidR="00725A53" w:rsidRDefault="002E26E3" w:rsidP="002E26E3">
      <w:pPr>
        <w:rPr>
          <w:rStyle w:val="normaltextrun"/>
          <w:rFonts w:ascii="Arial" w:hAnsi="Arial" w:cs="Arial"/>
        </w:rPr>
      </w:pPr>
      <w:r>
        <w:t>We have used a futures market approach to forecast wholesale spot prices. Victorian baseload swap futures traded on the Australian Securities Exchange represent the market</w:t>
      </w:r>
      <w:r w:rsidR="00720663">
        <w:t>’</w:t>
      </w:r>
      <w:r>
        <w:t>s expectation of what average spot prices will be in 2024–25</w:t>
      </w:r>
      <w:r w:rsidR="00725A53">
        <w:rPr>
          <w:rStyle w:val="normaltextrun"/>
          <w:rFonts w:ascii="Arial" w:hAnsi="Arial" w:cs="Arial"/>
        </w:rPr>
        <w:t>.</w:t>
      </w:r>
      <w:r w:rsidR="00725A53">
        <w:rPr>
          <w:rStyle w:val="FootnoteReference"/>
          <w:rFonts w:ascii="Arial" w:hAnsi="Arial" w:cs="Arial"/>
        </w:rPr>
        <w:footnoteReference w:id="19"/>
      </w:r>
    </w:p>
    <w:p w14:paraId="40B5D5DB" w14:textId="77777777" w:rsidR="00725A53" w:rsidRDefault="00725A53" w:rsidP="00725A53">
      <w:r>
        <w:rPr>
          <w:rStyle w:val="normaltextrun"/>
          <w:rFonts w:ascii="Arial" w:hAnsi="Arial" w:cs="Arial"/>
        </w:rPr>
        <w:t xml:space="preserve">The </w:t>
      </w:r>
      <w:r>
        <w:t xml:space="preserve">prices in the futures market reflect retailers’ and generators’ expectations for wholesale electricity prices. </w:t>
      </w:r>
    </w:p>
    <w:p w14:paraId="49848A23" w14:textId="63EA1CAD" w:rsidR="00725A53" w:rsidRDefault="00725A53" w:rsidP="00942811">
      <w:pPr>
        <w:rPr>
          <w:rStyle w:val="normaltextrun"/>
          <w:rFonts w:ascii="Arial" w:hAnsi="Arial" w:cs="Arial"/>
        </w:rPr>
      </w:pPr>
      <w:r>
        <w:rPr>
          <w:rStyle w:val="normaltextrun"/>
          <w:rFonts w:ascii="Arial" w:hAnsi="Arial" w:cs="Arial"/>
        </w:rPr>
        <w:t xml:space="preserve">A </w:t>
      </w:r>
      <w:r w:rsidRPr="00C67CEA">
        <w:rPr>
          <w:rStyle w:val="normaltextrun"/>
          <w:rFonts w:ascii="Arial" w:hAnsi="Arial" w:cs="Arial"/>
        </w:rPr>
        <w:t>futures market approach to forecast</w:t>
      </w:r>
      <w:r>
        <w:rPr>
          <w:rStyle w:val="normaltextrun"/>
          <w:rFonts w:ascii="Arial" w:hAnsi="Arial" w:cs="Arial"/>
        </w:rPr>
        <w:t>ing</w:t>
      </w:r>
      <w:r w:rsidRPr="00C67CEA">
        <w:rPr>
          <w:rStyle w:val="normaltextrun"/>
          <w:rFonts w:ascii="Arial" w:hAnsi="Arial" w:cs="Arial"/>
        </w:rPr>
        <w:t xml:space="preserve"> wholesale </w:t>
      </w:r>
      <w:r>
        <w:rPr>
          <w:rStyle w:val="normaltextrun"/>
          <w:rFonts w:ascii="Arial" w:hAnsi="Arial" w:cs="Arial"/>
        </w:rPr>
        <w:t xml:space="preserve">spot </w:t>
      </w:r>
      <w:r w:rsidRPr="00C67CEA">
        <w:rPr>
          <w:rStyle w:val="normaltextrun"/>
          <w:rFonts w:ascii="Arial" w:hAnsi="Arial" w:cs="Arial"/>
        </w:rPr>
        <w:t>prices</w:t>
      </w:r>
      <w:r>
        <w:rPr>
          <w:rStyle w:val="normaltextrun"/>
          <w:rFonts w:ascii="Arial" w:hAnsi="Arial" w:cs="Arial"/>
        </w:rPr>
        <w:t xml:space="preserve"> </w:t>
      </w:r>
      <w:r w:rsidRPr="00C67CEA">
        <w:rPr>
          <w:rStyle w:val="normaltextrun"/>
          <w:rFonts w:ascii="Arial" w:hAnsi="Arial" w:cs="Arial"/>
        </w:rPr>
        <w:t xml:space="preserve">is the same approach we </w:t>
      </w:r>
      <w:r>
        <w:rPr>
          <w:rStyle w:val="normaltextrun"/>
          <w:rFonts w:ascii="Arial" w:hAnsi="Arial" w:cs="Arial"/>
        </w:rPr>
        <w:t xml:space="preserve">have </w:t>
      </w:r>
      <w:r w:rsidRPr="00C67CEA">
        <w:rPr>
          <w:rStyle w:val="normaltextrun"/>
          <w:rFonts w:ascii="Arial" w:hAnsi="Arial" w:cs="Arial"/>
        </w:rPr>
        <w:t>used</w:t>
      </w:r>
      <w:r>
        <w:rPr>
          <w:rStyle w:val="normaltextrun"/>
          <w:rFonts w:ascii="Arial" w:hAnsi="Arial" w:cs="Arial"/>
        </w:rPr>
        <w:t xml:space="preserve"> in past decisions</w:t>
      </w:r>
      <w:r w:rsidR="00FC2750">
        <w:rPr>
          <w:rStyle w:val="normaltextrun"/>
          <w:rFonts w:ascii="Arial" w:hAnsi="Arial" w:cs="Arial"/>
        </w:rPr>
        <w:t xml:space="preserve">. </w:t>
      </w:r>
    </w:p>
    <w:p w14:paraId="7CB42DAA" w14:textId="77777777" w:rsidR="00725A53" w:rsidRPr="00BD2F46" w:rsidRDefault="00725A53" w:rsidP="00725A53">
      <w:pPr>
        <w:pStyle w:val="Heading2"/>
      </w:pPr>
      <w:bookmarkStart w:id="55" w:name="_Toc151465312"/>
      <w:bookmarkStart w:id="56" w:name="_Toc159844551"/>
      <w:bookmarkStart w:id="57" w:name="_Toc90456070"/>
      <w:bookmarkStart w:id="58" w:name="_Toc90458387"/>
      <w:bookmarkStart w:id="59" w:name="_Toc90462531"/>
      <w:bookmarkStart w:id="60" w:name="_Toc90475671"/>
      <w:bookmarkStart w:id="61" w:name="_Toc96325397"/>
      <w:bookmarkStart w:id="62" w:name="_Toc128143717"/>
      <w:r>
        <w:t>The solar weighted wholesale costs for the flat minimum feed-in tariff</w:t>
      </w:r>
      <w:bookmarkEnd w:id="55"/>
      <w:bookmarkEnd w:id="56"/>
      <w:r>
        <w:t xml:space="preserve"> </w:t>
      </w:r>
    </w:p>
    <w:p w14:paraId="2748C181" w14:textId="1F7BC326" w:rsidR="00725A53" w:rsidRPr="00185928" w:rsidRDefault="00725A53" w:rsidP="00185928">
      <w:pPr>
        <w:rPr>
          <w:rStyle w:val="eop"/>
          <w:rFonts w:ascii="Times New Roman" w:hAnsi="Times New Roman" w:cs="Times New Roman"/>
        </w:rPr>
      </w:pPr>
      <w:r>
        <w:rPr>
          <w:rStyle w:val="normaltextrun"/>
          <w:rFonts w:ascii="Arial" w:hAnsi="Arial" w:cs="Arial"/>
        </w:rPr>
        <w:t>Solar panels account for 99.9 per cent of small-scale renewable generation in Victoria.</w:t>
      </w:r>
      <w:r>
        <w:rPr>
          <w:rStyle w:val="FootnoteReference"/>
          <w:rFonts w:ascii="Arial" w:hAnsi="Arial" w:cs="Arial"/>
        </w:rPr>
        <w:footnoteReference w:id="20"/>
      </w:r>
      <w:r>
        <w:rPr>
          <w:rStyle w:val="normaltextrun"/>
          <w:rFonts w:ascii="Arial" w:hAnsi="Arial" w:cs="Arial"/>
        </w:rPr>
        <w:t xml:space="preserve"> </w:t>
      </w:r>
      <w:r w:rsidR="00185928">
        <w:t xml:space="preserve">Unmodified futures prices reflect the average wholesale price for </w:t>
      </w:r>
      <w:r w:rsidR="002B595B">
        <w:t xml:space="preserve">across </w:t>
      </w:r>
      <w:r w:rsidR="00720663">
        <w:t xml:space="preserve">all </w:t>
      </w:r>
      <w:r w:rsidR="002B595B">
        <w:t>24 hours</w:t>
      </w:r>
      <w:r w:rsidR="00720663">
        <w:t xml:space="preserve"> of the day</w:t>
      </w:r>
      <w:r w:rsidR="00185928">
        <w:t xml:space="preserve">. Therefore, they are not appropriate for setting the feed-in tariffs as most solar exports happen during </w:t>
      </w:r>
      <w:r w:rsidR="00CB7DFB">
        <w:t>daylight hours</w:t>
      </w:r>
      <w:r w:rsidR="001656FF">
        <w:t>.</w:t>
      </w:r>
    </w:p>
    <w:p w14:paraId="2D343753" w14:textId="5D2E0DCF" w:rsidR="00725A53" w:rsidRDefault="00725A53" w:rsidP="00185928">
      <w:pPr>
        <w:rPr>
          <w:rStyle w:val="eop"/>
          <w:rFonts w:ascii="Arial" w:hAnsi="Arial" w:cs="Arial"/>
        </w:rPr>
      </w:pPr>
      <w:r>
        <w:rPr>
          <w:rStyle w:val="eop"/>
          <w:rFonts w:ascii="Arial" w:hAnsi="Arial" w:cs="Arial"/>
        </w:rPr>
        <w:t xml:space="preserve">To calculate the minimum feed-in tariffs, we need to estimate the average wholesale spot price </w:t>
      </w:r>
      <w:r w:rsidR="006925EF">
        <w:rPr>
          <w:rStyle w:val="eop"/>
          <w:rFonts w:ascii="Arial" w:hAnsi="Arial" w:cs="Arial"/>
        </w:rPr>
        <w:t xml:space="preserve">during those times </w:t>
      </w:r>
      <w:r>
        <w:rPr>
          <w:rStyle w:val="eop"/>
          <w:rFonts w:ascii="Arial" w:hAnsi="Arial" w:cs="Arial"/>
        </w:rPr>
        <w:t xml:space="preserve">when electricity from solar panels is being exported: the solar weighted wholesale price. </w:t>
      </w:r>
    </w:p>
    <w:p w14:paraId="26EED210" w14:textId="77777777" w:rsidR="00570596" w:rsidRDefault="00725A53" w:rsidP="00725A53">
      <w:pPr>
        <w:rPr>
          <w:rStyle w:val="eop"/>
          <w:rFonts w:ascii="Arial" w:hAnsi="Arial" w:cs="Arial"/>
        </w:rPr>
      </w:pPr>
      <w:r>
        <w:rPr>
          <w:rStyle w:val="eop"/>
          <w:rFonts w:ascii="Arial" w:hAnsi="Arial" w:cs="Arial"/>
        </w:rPr>
        <w:t xml:space="preserve">We estimate the solar weighted wholesale price by ‘weighting’ prices at each </w:t>
      </w:r>
      <w:r w:rsidR="00A301D5">
        <w:rPr>
          <w:rStyle w:val="eop"/>
          <w:rFonts w:ascii="Arial" w:hAnsi="Arial" w:cs="Arial"/>
        </w:rPr>
        <w:t>relevant</w:t>
      </w:r>
      <w:r>
        <w:rPr>
          <w:rStyle w:val="eop"/>
          <w:rFonts w:ascii="Arial" w:hAnsi="Arial" w:cs="Arial"/>
        </w:rPr>
        <w:t xml:space="preserve"> </w:t>
      </w:r>
      <w:r w:rsidR="00D8724B">
        <w:rPr>
          <w:rStyle w:val="eop"/>
          <w:rFonts w:ascii="Arial" w:hAnsi="Arial" w:cs="Arial"/>
        </w:rPr>
        <w:t xml:space="preserve">National Electricity Market </w:t>
      </w:r>
      <w:r w:rsidR="00640A64">
        <w:rPr>
          <w:rStyle w:val="eop"/>
          <w:rFonts w:ascii="Arial" w:hAnsi="Arial" w:cs="Arial"/>
        </w:rPr>
        <w:t>trading</w:t>
      </w:r>
      <w:r w:rsidR="009975D9">
        <w:rPr>
          <w:rStyle w:val="eop"/>
          <w:rFonts w:ascii="Arial" w:hAnsi="Arial" w:cs="Arial"/>
        </w:rPr>
        <w:t xml:space="preserve"> </w:t>
      </w:r>
      <w:r>
        <w:rPr>
          <w:rStyle w:val="eop"/>
          <w:rFonts w:ascii="Arial" w:hAnsi="Arial" w:cs="Arial"/>
        </w:rPr>
        <w:t>interval by the share of solar exports that happen at that interval.</w:t>
      </w:r>
    </w:p>
    <w:p w14:paraId="473B2D3D" w14:textId="2310DB56" w:rsidR="00725A53" w:rsidRDefault="00725A53" w:rsidP="00725A53">
      <w:pPr>
        <w:rPr>
          <w:rStyle w:val="eop"/>
          <w:rFonts w:ascii="Arial" w:hAnsi="Arial" w:cs="Arial"/>
        </w:rPr>
      </w:pPr>
      <w:r>
        <w:rPr>
          <w:rStyle w:val="eop"/>
          <w:rFonts w:ascii="Arial" w:hAnsi="Arial" w:cs="Arial"/>
        </w:rPr>
        <w:t xml:space="preserve">For example, for the flat feed-in tariff, we multiply the wholesale spot price for each </w:t>
      </w:r>
      <w:r w:rsidR="00DE183F">
        <w:rPr>
          <w:rStyle w:val="eop"/>
          <w:rFonts w:ascii="Arial" w:hAnsi="Arial" w:cs="Arial"/>
        </w:rPr>
        <w:t xml:space="preserve">applicable </w:t>
      </w:r>
      <w:r>
        <w:rPr>
          <w:rStyle w:val="eop"/>
          <w:rFonts w:ascii="Arial" w:hAnsi="Arial" w:cs="Arial"/>
        </w:rPr>
        <w:t xml:space="preserve">half hour </w:t>
      </w:r>
      <w:r w:rsidR="00E5063D">
        <w:rPr>
          <w:rStyle w:val="eop"/>
          <w:rFonts w:ascii="Arial" w:hAnsi="Arial" w:cs="Arial"/>
        </w:rPr>
        <w:t>trading</w:t>
      </w:r>
      <w:r>
        <w:rPr>
          <w:rStyle w:val="eop"/>
          <w:rFonts w:ascii="Arial" w:hAnsi="Arial" w:cs="Arial"/>
        </w:rPr>
        <w:t xml:space="preserve"> interval by the solar exports that took place at that </w:t>
      </w:r>
      <w:r w:rsidR="00AB7D6A">
        <w:rPr>
          <w:rStyle w:val="eop"/>
          <w:rFonts w:ascii="Arial" w:hAnsi="Arial" w:cs="Arial"/>
        </w:rPr>
        <w:t>interval</w:t>
      </w:r>
      <w:r w:rsidR="00761CA7">
        <w:rPr>
          <w:rStyle w:val="eop"/>
          <w:rFonts w:ascii="Arial" w:hAnsi="Arial" w:cs="Arial"/>
        </w:rPr>
        <w:t>.</w:t>
      </w:r>
      <w:r w:rsidR="00AB7D6A">
        <w:rPr>
          <w:rStyle w:val="eop"/>
          <w:rFonts w:ascii="Arial" w:hAnsi="Arial" w:cs="Arial"/>
        </w:rPr>
        <w:t xml:space="preserve"> </w:t>
      </w:r>
      <w:r w:rsidR="00761CA7">
        <w:rPr>
          <w:rStyle w:val="eop"/>
          <w:rFonts w:ascii="Arial" w:hAnsi="Arial" w:cs="Arial"/>
        </w:rPr>
        <w:t xml:space="preserve">We </w:t>
      </w:r>
      <w:r>
        <w:rPr>
          <w:rStyle w:val="eop"/>
          <w:rFonts w:ascii="Arial" w:hAnsi="Arial" w:cs="Arial"/>
        </w:rPr>
        <w:t xml:space="preserve">then divide </w:t>
      </w:r>
      <w:r w:rsidR="003C716C">
        <w:rPr>
          <w:rStyle w:val="eop"/>
          <w:rFonts w:ascii="Arial" w:hAnsi="Arial" w:cs="Arial"/>
        </w:rPr>
        <w:t xml:space="preserve">the amount for each interval </w:t>
      </w:r>
      <w:r>
        <w:rPr>
          <w:rStyle w:val="eop"/>
          <w:rFonts w:ascii="Arial" w:hAnsi="Arial" w:cs="Arial"/>
        </w:rPr>
        <w:t xml:space="preserve">by the total amount of solar exports for the year. We then add all the results together to find the solar weighted average price for the year. We refer to this process as 'solar weighting’. </w:t>
      </w:r>
    </w:p>
    <w:p w14:paraId="44435EF1" w14:textId="2D87DEA5" w:rsidR="00725A53" w:rsidRPr="005F7503" w:rsidRDefault="00725A53" w:rsidP="005F7503">
      <w:pPr>
        <w:rPr>
          <w:rFonts w:cs="Times New Roman"/>
        </w:rPr>
      </w:pPr>
      <w:r w:rsidRPr="00F1192B">
        <w:lastRenderedPageBreak/>
        <w:t xml:space="preserve">Solar weighting </w:t>
      </w:r>
      <w:r>
        <w:t>means that prices for</w:t>
      </w:r>
      <w:r w:rsidRPr="00F1192B">
        <w:t xml:space="preserve"> electricity </w:t>
      </w:r>
      <w:r>
        <w:t>when</w:t>
      </w:r>
      <w:r w:rsidRPr="00F1192B">
        <w:t xml:space="preserve"> solar panels are not exporting</w:t>
      </w:r>
      <w:r>
        <w:t xml:space="preserve"> </w:t>
      </w:r>
      <w:r w:rsidRPr="00F1192B">
        <w:t xml:space="preserve">– such as </w:t>
      </w:r>
      <w:r>
        <w:t>in the evening</w:t>
      </w:r>
      <w:r w:rsidRPr="00F1192B">
        <w:t xml:space="preserve"> – </w:t>
      </w:r>
      <w:r>
        <w:t>have almost no impact</w:t>
      </w:r>
      <w:r w:rsidRPr="00F1192B">
        <w:t xml:space="preserve"> </w:t>
      </w:r>
      <w:r>
        <w:t>on</w:t>
      </w:r>
      <w:r w:rsidRPr="00F1192B">
        <w:t xml:space="preserve"> the calculation of the feed-in tariff.</w:t>
      </w:r>
      <w:r>
        <w:rPr>
          <w:rStyle w:val="FootnoteReference"/>
          <w:rFonts w:cstheme="minorHAnsi"/>
        </w:rPr>
        <w:footnoteReference w:id="21"/>
      </w:r>
      <w:r>
        <w:t xml:space="preserve"> </w:t>
      </w:r>
      <w:r w:rsidR="005F7503">
        <w:t>This means small</w:t>
      </w:r>
      <w:r w:rsidR="004F0A03">
        <w:t>-</w:t>
      </w:r>
      <w:r w:rsidR="005F7503">
        <w:t>scale solar generators do not get paid the wholesale spot price when they are not exporting</w:t>
      </w:r>
      <w:r>
        <w:t>.</w:t>
      </w:r>
      <w:r w:rsidRPr="00A147E0">
        <w:t xml:space="preserve"> </w:t>
      </w:r>
      <w:r>
        <w:t>This helps the minimum feed-in tariffs reflect the value consumers get from solar energy exports.</w:t>
      </w:r>
    </w:p>
    <w:p w14:paraId="679E1EF6" w14:textId="77777777" w:rsidR="00725A53" w:rsidRDefault="00725A53" w:rsidP="002522FF">
      <w:pPr>
        <w:pStyle w:val="Heading2numbered"/>
        <w:ind w:left="0" w:firstLine="0"/>
        <w:rPr>
          <w:b w:val="0"/>
        </w:rPr>
      </w:pPr>
      <w:bookmarkStart w:id="63" w:name="_Toc151465313"/>
      <w:bookmarkStart w:id="64" w:name="_Toc159844552"/>
      <w:r w:rsidRPr="00265E43">
        <w:t xml:space="preserve">We forecast </w:t>
      </w:r>
      <w:r>
        <w:t xml:space="preserve">solar weighted </w:t>
      </w:r>
      <w:r w:rsidRPr="00265E43">
        <w:t xml:space="preserve">wholesale prices for different </w:t>
      </w:r>
      <w:r>
        <w:t>parts</w:t>
      </w:r>
      <w:r w:rsidRPr="00265E43">
        <w:t xml:space="preserve"> of the </w:t>
      </w:r>
      <w:proofErr w:type="gramStart"/>
      <w:r w:rsidRPr="00265E43">
        <w:t>day</w:t>
      </w:r>
      <w:bookmarkEnd w:id="63"/>
      <w:bookmarkEnd w:id="64"/>
      <w:proofErr w:type="gramEnd"/>
      <w:r w:rsidRPr="00265E43">
        <w:t xml:space="preserve"> </w:t>
      </w:r>
    </w:p>
    <w:bookmarkEnd w:id="57"/>
    <w:bookmarkEnd w:id="58"/>
    <w:bookmarkEnd w:id="59"/>
    <w:bookmarkEnd w:id="60"/>
    <w:bookmarkEnd w:id="61"/>
    <w:bookmarkEnd w:id="62"/>
    <w:p w14:paraId="69D43347" w14:textId="77DB9BF2" w:rsidR="003B0FBF" w:rsidRPr="008D78E9" w:rsidRDefault="00725A53" w:rsidP="00725A53">
      <w:r>
        <w:t>Solar weighted w</w:t>
      </w:r>
      <w:r w:rsidRPr="008D78E9">
        <w:t xml:space="preserve">holesale prices </w:t>
      </w:r>
      <w:r>
        <w:t>vary throughout the day</w:t>
      </w:r>
      <w:r w:rsidRPr="008D78E9">
        <w:t>.</w:t>
      </w:r>
      <w:r>
        <w:t xml:space="preserve"> But distinct patterns are evident.</w:t>
      </w:r>
      <w:r w:rsidRPr="008D78E9">
        <w:t xml:space="preserve"> They are generally lower during daylight hours, when there are more solar exports, and higher </w:t>
      </w:r>
      <w:r>
        <w:t xml:space="preserve">in the early morning and </w:t>
      </w:r>
      <w:r w:rsidRPr="008D78E9">
        <w:t>night times.</w:t>
      </w:r>
    </w:p>
    <w:p w14:paraId="1D8A53BC" w14:textId="152C2880" w:rsidR="00BB11FB" w:rsidRDefault="00BB11FB" w:rsidP="00BB11FB">
      <w:pPr>
        <w:pStyle w:val="Figure-Table-BoxHeading"/>
        <w:keepNext/>
      </w:pPr>
      <w:r w:rsidRPr="00870A81">
        <w:t xml:space="preserve">Figure </w:t>
      </w:r>
      <w:r>
        <w:t>3.1</w:t>
      </w:r>
      <w:r w:rsidRPr="00870A81">
        <w:t>: Average actual solar weighted prices and solar exports across the day</w:t>
      </w:r>
      <w:r w:rsidR="00EB51BA">
        <w:t xml:space="preserve"> 2022-23</w:t>
      </w:r>
    </w:p>
    <w:p w14:paraId="102F4F9D" w14:textId="6AEA4A58" w:rsidR="0016131F" w:rsidRPr="00DF465C" w:rsidRDefault="00EB51BA" w:rsidP="0046688A">
      <w:pPr>
        <w:pStyle w:val="Source"/>
        <w:rPr>
          <w:lang w:val="en-US"/>
        </w:rPr>
      </w:pPr>
      <w:r>
        <w:rPr>
          <w:noProof/>
        </w:rPr>
        <w:drawing>
          <wp:inline distT="0" distB="0" distL="0" distR="0" wp14:anchorId="4F704702" wp14:editId="677D642C">
            <wp:extent cx="5669280" cy="3706384"/>
            <wp:effectExtent l="0" t="0" r="7620" b="8890"/>
            <wp:docPr id="5" name="Picture 5">
              <a:extLst xmlns:a="http://schemas.openxmlformats.org/drawingml/2006/main">
                <a:ext uri="{FF2B5EF4-FFF2-40B4-BE49-F238E27FC236}">
                  <a16:creationId xmlns:a16="http://schemas.microsoft.com/office/drawing/2014/main" id="{B8DB6BA1-F31B-EE74-4CD1-4001CF7E5C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DB6BA1-F31B-EE74-4CD1-4001CF7E5C28}"/>
                        </a:ext>
                      </a:extLst>
                    </pic:cNvPr>
                    <pic:cNvPicPr>
                      <a:picLocks noChangeAspect="1"/>
                    </pic:cNvPicPr>
                  </pic:nvPicPr>
                  <pic:blipFill>
                    <a:blip r:embed="rId26"/>
                    <a:stretch>
                      <a:fillRect/>
                    </a:stretch>
                  </pic:blipFill>
                  <pic:spPr>
                    <a:xfrm>
                      <a:off x="0" y="0"/>
                      <a:ext cx="5681476" cy="3714357"/>
                    </a:xfrm>
                    <a:prstGeom prst="rect">
                      <a:avLst/>
                    </a:prstGeom>
                  </pic:spPr>
                </pic:pic>
              </a:graphicData>
            </a:graphic>
          </wp:inline>
        </w:drawing>
      </w:r>
      <w:r w:rsidR="0016131F" w:rsidRPr="0046688A">
        <w:rPr>
          <w:lang w:val="en-US"/>
        </w:rPr>
        <w:t>Source: AEMO; Victorian distribution businesses</w:t>
      </w:r>
      <w:r w:rsidR="00E87319">
        <w:rPr>
          <w:lang w:val="en-US"/>
        </w:rPr>
        <w:t>; ESC analysis</w:t>
      </w:r>
    </w:p>
    <w:p w14:paraId="5A0F2418" w14:textId="21FA9E10" w:rsidR="00725A53" w:rsidRDefault="00725A53" w:rsidP="00725A53">
      <w:r w:rsidRPr="008367B0">
        <w:t xml:space="preserve">To reflect these changes in the </w:t>
      </w:r>
      <w:r>
        <w:t xml:space="preserve">solar weighted </w:t>
      </w:r>
      <w:r w:rsidRPr="008367B0">
        <w:t xml:space="preserve">wholesale price, we have </w:t>
      </w:r>
      <w:r>
        <w:t>time-varying minimum</w:t>
      </w:r>
      <w:r w:rsidRPr="008367B0">
        <w:t xml:space="preserve"> </w:t>
      </w:r>
      <w:r>
        <w:t xml:space="preserve">feed-in </w:t>
      </w:r>
      <w:r w:rsidRPr="008367B0">
        <w:t xml:space="preserve">tariffs in addition to the </w:t>
      </w:r>
      <w:r>
        <w:t>flat minimum</w:t>
      </w:r>
      <w:r w:rsidRPr="008367B0">
        <w:t xml:space="preserve"> feed-in tariff. We allow retailers to choose whether to offer customers time-varying feed-in tariffs</w:t>
      </w:r>
      <w:r>
        <w:t>,</w:t>
      </w:r>
      <w:r w:rsidRPr="008367B0">
        <w:t xml:space="preserve"> a flat </w:t>
      </w:r>
      <w:proofErr w:type="gramStart"/>
      <w:r w:rsidRPr="008367B0">
        <w:t>tariff</w:t>
      </w:r>
      <w:proofErr w:type="gramEnd"/>
      <w:r w:rsidR="005F3C99">
        <w:t xml:space="preserve"> </w:t>
      </w:r>
      <w:r w:rsidRPr="008367B0">
        <w:t xml:space="preserve">or </w:t>
      </w:r>
      <w:r>
        <w:t>a combination</w:t>
      </w:r>
      <w:r w:rsidRPr="008367B0">
        <w:t>.</w:t>
      </w:r>
    </w:p>
    <w:p w14:paraId="11E882D1" w14:textId="77777777" w:rsidR="00725A53" w:rsidRDefault="00725A53" w:rsidP="00725A53">
      <w:r w:rsidRPr="008D78E9">
        <w:lastRenderedPageBreak/>
        <w:t xml:space="preserve">We use the same forecast </w:t>
      </w:r>
      <w:r>
        <w:t xml:space="preserve">solar weighted </w:t>
      </w:r>
      <w:r w:rsidRPr="008D78E9">
        <w:t>wholesale prices to calculate the flat feed-in tariff and time-varying feed-in tariffs.</w:t>
      </w:r>
    </w:p>
    <w:p w14:paraId="435A7F4B" w14:textId="4B39C5D1" w:rsidR="0071543E" w:rsidRDefault="00233F22" w:rsidP="00233F22">
      <w:r>
        <w:t>The flat tariff uses the overall solar weighted average for all times. While</w:t>
      </w:r>
      <w:r w:rsidR="00116995">
        <w:t xml:space="preserve"> </w:t>
      </w:r>
      <w:r>
        <w:t>the</w:t>
      </w:r>
      <w:r w:rsidR="00507FDC">
        <w:t xml:space="preserve"> rates for the</w:t>
      </w:r>
      <w:r>
        <w:t xml:space="preserve"> time varying feed-in tariffs </w:t>
      </w:r>
      <w:r w:rsidR="00C1401F">
        <w:t xml:space="preserve">only </w:t>
      </w:r>
      <w:r>
        <w:t>use the solar weighted average wholesale electricity prices for the relevant time periods.</w:t>
      </w:r>
    </w:p>
    <w:p w14:paraId="3E209F48" w14:textId="617B081D" w:rsidR="00942811" w:rsidRDefault="00942811" w:rsidP="007E62D5">
      <w:pPr>
        <w:pStyle w:val="Heading2"/>
      </w:pPr>
      <w:bookmarkStart w:id="65" w:name="_Toc159844553"/>
      <w:r>
        <w:t xml:space="preserve">We use a </w:t>
      </w:r>
      <w:r w:rsidR="00765D24">
        <w:t xml:space="preserve">different </w:t>
      </w:r>
      <w:r>
        <w:t xml:space="preserve">futures market approach </w:t>
      </w:r>
      <w:r w:rsidR="00765D24">
        <w:t>than</w:t>
      </w:r>
      <w:r>
        <w:t xml:space="preserve"> the </w:t>
      </w:r>
      <w:r w:rsidR="007E62D5">
        <w:t>Victorian Default Offer</w:t>
      </w:r>
      <w:bookmarkEnd w:id="65"/>
    </w:p>
    <w:p w14:paraId="048B613B" w14:textId="40FCCA94" w:rsidR="00942811" w:rsidRDefault="007E62D5" w:rsidP="00942811">
      <w:pPr>
        <w:rPr>
          <w:rStyle w:val="normaltextrun"/>
          <w:rFonts w:ascii="Arial" w:hAnsi="Arial" w:cs="Arial"/>
        </w:rPr>
      </w:pPr>
      <w:r>
        <w:rPr>
          <w:rStyle w:val="normaltextrun"/>
          <w:rFonts w:ascii="Arial" w:hAnsi="Arial" w:cs="Arial"/>
        </w:rPr>
        <w:t>W</w:t>
      </w:r>
      <w:r w:rsidR="00942811">
        <w:rPr>
          <w:rStyle w:val="normaltextrun"/>
          <w:rFonts w:ascii="Arial" w:hAnsi="Arial" w:cs="Arial"/>
        </w:rPr>
        <w:t xml:space="preserve">e </w:t>
      </w:r>
      <w:r w:rsidR="00825549">
        <w:rPr>
          <w:rStyle w:val="normaltextrun"/>
          <w:rFonts w:ascii="Arial" w:hAnsi="Arial" w:cs="Arial"/>
        </w:rPr>
        <w:t xml:space="preserve">also </w:t>
      </w:r>
      <w:r w:rsidR="00942811">
        <w:rPr>
          <w:rStyle w:val="normaltextrun"/>
          <w:rFonts w:ascii="Arial" w:hAnsi="Arial" w:cs="Arial"/>
        </w:rPr>
        <w:t xml:space="preserve">use </w:t>
      </w:r>
      <w:r w:rsidR="00825549">
        <w:rPr>
          <w:rStyle w:val="normaltextrun"/>
          <w:rFonts w:ascii="Arial" w:hAnsi="Arial" w:cs="Arial"/>
        </w:rPr>
        <w:t>ASX Energy futures to forecast</w:t>
      </w:r>
      <w:r w:rsidR="00942811">
        <w:rPr>
          <w:rStyle w:val="normaltextrun"/>
          <w:rFonts w:ascii="Arial" w:hAnsi="Arial" w:cs="Arial"/>
        </w:rPr>
        <w:t xml:space="preserve"> spot prices in our Victorian Default Offer decisions.</w:t>
      </w:r>
      <w:r w:rsidR="00942811">
        <w:rPr>
          <w:rStyle w:val="FootnoteReference"/>
        </w:rPr>
        <w:footnoteReference w:id="22"/>
      </w:r>
      <w:r w:rsidR="00942811">
        <w:rPr>
          <w:rStyle w:val="normaltextrun"/>
          <w:rFonts w:ascii="Arial" w:hAnsi="Arial" w:cs="Arial"/>
        </w:rPr>
        <w:t xml:space="preserve"> However, there are some differences between our wholesale benchmarks for the Victorian Default Offer and the minimum feed-in tariffs. </w:t>
      </w:r>
    </w:p>
    <w:p w14:paraId="721DC044" w14:textId="77777777" w:rsidR="00942811" w:rsidRDefault="00942811" w:rsidP="00942811">
      <w:pPr>
        <w:rPr>
          <w:rStyle w:val="normaltextrun"/>
          <w:rFonts w:ascii="Arial" w:hAnsi="Arial" w:cs="Arial"/>
        </w:rPr>
      </w:pPr>
      <w:r>
        <w:rPr>
          <w:rStyle w:val="normaltextrun"/>
          <w:rFonts w:ascii="Arial" w:hAnsi="Arial" w:cs="Arial"/>
        </w:rPr>
        <w:t>The wholesale benchmark in the Victorian Default Offer includes hedging costs. Solar customers do not incur hedging costs and solar exports do not prevent retailers from incurring hedging costs. For this reason, we do not include hedging costs in the minimum feed-in tariffs.</w:t>
      </w:r>
    </w:p>
    <w:p w14:paraId="7A65D481" w14:textId="0AAD440A" w:rsidR="00942811" w:rsidRDefault="00942811" w:rsidP="00942811">
      <w:pPr>
        <w:rPr>
          <w:rStyle w:val="normaltextrun"/>
          <w:rFonts w:ascii="Arial" w:hAnsi="Arial" w:cs="Arial"/>
        </w:rPr>
      </w:pPr>
      <w:r>
        <w:rPr>
          <w:rStyle w:val="normaltextrun"/>
          <w:rFonts w:ascii="Arial" w:hAnsi="Arial" w:cs="Arial"/>
        </w:rPr>
        <w:t xml:space="preserve">In addition to this, we do not solar weight wholesale prices for the Victorian Default Offer. This is because electricity retailers must buy electricity at all times of the </w:t>
      </w:r>
      <w:r w:rsidR="00864223">
        <w:rPr>
          <w:rStyle w:val="normaltextrun"/>
          <w:rFonts w:ascii="Arial" w:hAnsi="Arial" w:cs="Arial"/>
        </w:rPr>
        <w:t>day and night,</w:t>
      </w:r>
      <w:r>
        <w:rPr>
          <w:rStyle w:val="normaltextrun"/>
          <w:rFonts w:ascii="Arial" w:hAnsi="Arial" w:cs="Arial"/>
        </w:rPr>
        <w:t xml:space="preserve"> even when the sun is not shining. </w:t>
      </w:r>
    </w:p>
    <w:p w14:paraId="08641636" w14:textId="0C3B9B5F" w:rsidR="00942811" w:rsidRDefault="00942811" w:rsidP="00233F22">
      <w:pPr>
        <w:sectPr w:rsidR="00942811" w:rsidSect="00000778">
          <w:footerReference w:type="default" r:id="rId27"/>
          <w:type w:val="continuous"/>
          <w:pgSz w:w="11906" w:h="16838" w:code="9"/>
          <w:pgMar w:top="1134" w:right="1134" w:bottom="1134" w:left="1134" w:header="709" w:footer="692" w:gutter="0"/>
          <w:cols w:space="708"/>
          <w:docGrid w:linePitch="360"/>
        </w:sectPr>
      </w:pPr>
    </w:p>
    <w:p w14:paraId="64ED355E" w14:textId="77777777" w:rsidR="00AA7984" w:rsidRPr="00AA7984" w:rsidRDefault="00AA7984" w:rsidP="00BB30CC">
      <w:pPr>
        <w:pStyle w:val="Heading1"/>
      </w:pPr>
      <w:bookmarkStart w:id="66" w:name="_Toc151465314"/>
      <w:bookmarkStart w:id="67" w:name="_Toc159844554"/>
      <w:bookmarkStart w:id="68" w:name="_Toc122097754"/>
      <w:r w:rsidRPr="00AA7984">
        <w:lastRenderedPageBreak/>
        <w:t xml:space="preserve">We account for AEMO fees, charges and line </w:t>
      </w:r>
      <w:proofErr w:type="gramStart"/>
      <w:r w:rsidRPr="00AA7984">
        <w:t>losses</w:t>
      </w:r>
      <w:bookmarkEnd w:id="66"/>
      <w:bookmarkEnd w:id="67"/>
      <w:proofErr w:type="gramEnd"/>
      <w:r w:rsidRPr="00AA7984" w:rsidDel="00760087">
        <w:t xml:space="preserve"> </w:t>
      </w:r>
      <w:bookmarkEnd w:id="68"/>
    </w:p>
    <w:p w14:paraId="7B25382D" w14:textId="77777777" w:rsidR="00AA7984" w:rsidRPr="00AA7984" w:rsidRDefault="00AA7984" w:rsidP="00AA7984">
      <w:pPr>
        <w:keepNext/>
        <w:keepLines/>
        <w:spacing w:before="240"/>
        <w:ind w:left="851" w:hanging="851"/>
        <w:outlineLvl w:val="1"/>
        <w:rPr>
          <w:rFonts w:ascii="Tahoma" w:eastAsiaTheme="majorEastAsia" w:hAnsi="Tahoma" w:cstheme="majorBidi"/>
          <w:b/>
          <w:sz w:val="26"/>
          <w:szCs w:val="26"/>
        </w:rPr>
      </w:pPr>
      <w:bookmarkStart w:id="69" w:name="_Toc122097755"/>
      <w:bookmarkStart w:id="70" w:name="_Toc151465315"/>
      <w:r w:rsidRPr="00AA7984">
        <w:rPr>
          <w:rFonts w:ascii="Tahoma" w:eastAsiaTheme="majorEastAsia" w:hAnsi="Tahoma" w:cstheme="majorBidi"/>
          <w:b/>
          <w:sz w:val="26"/>
          <w:szCs w:val="26"/>
        </w:rPr>
        <w:t>Market fees and ancillary service charges</w:t>
      </w:r>
      <w:bookmarkEnd w:id="69"/>
      <w:bookmarkEnd w:id="70"/>
    </w:p>
    <w:p w14:paraId="5DE91F2A" w14:textId="77777777" w:rsidR="00AA7984" w:rsidRPr="00AA7984" w:rsidRDefault="00AA7984" w:rsidP="00AA7984">
      <w:r w:rsidRPr="00AA7984">
        <w:t>When retailers buy energy from the wholesale spot market, they must pay market fees and ancillary service charges to the Australian Energy Market Operator (market operator).</w:t>
      </w:r>
      <w:r w:rsidRPr="00AA7984">
        <w:rPr>
          <w:vertAlign w:val="superscript"/>
        </w:rPr>
        <w:footnoteReference w:id="23"/>
      </w:r>
    </w:p>
    <w:p w14:paraId="535D822C" w14:textId="77777777" w:rsidR="00AA7984" w:rsidRPr="00AA7984" w:rsidRDefault="00AA7984" w:rsidP="00AA7984">
      <w:r w:rsidRPr="00AA7984">
        <w:t>Retailers avoid these fees when they buy electricity from solar customers. These cost savings increase the value of energy produced by solar customers. Including these savings in the value of the feed-in tariff is consistent with the approach we have used in past reviews.</w:t>
      </w:r>
    </w:p>
    <w:p w14:paraId="4557ABC0" w14:textId="77777777" w:rsidR="00AA7984" w:rsidRPr="00AA7984" w:rsidRDefault="00AA7984" w:rsidP="00AA7984">
      <w:r w:rsidRPr="00AA7984">
        <w:t>The market operator sets its fees for each year through its annual budgeting process. As with previous decisions, we have used fees published in the most recent Budget and Fees paper (in this case for 2023–24) to derive our best estimate for costs avoided.</w:t>
      </w:r>
    </w:p>
    <w:p w14:paraId="4F64AF74" w14:textId="033AE36F" w:rsidR="00AA7984" w:rsidRPr="00AA7984" w:rsidRDefault="00AA7984" w:rsidP="00AA7984">
      <w:r w:rsidRPr="00AA7984">
        <w:t>The market operator also recovers the cost of</w:t>
      </w:r>
      <w:r w:rsidR="009B0868">
        <w:t xml:space="preserve"> it</w:t>
      </w:r>
      <w:r w:rsidRPr="00AA7984">
        <w:t xml:space="preserve"> providing ancillary services from market participants (retailers) and publishes the recovery rate of ancillary service charges on a weekly basis. As in past years we forecast the cost of ancillary services using the average charges over the last year. </w:t>
      </w:r>
      <w:r w:rsidRPr="00E14E74">
        <w:t>For this decision we used</w:t>
      </w:r>
      <w:r w:rsidR="00781C11" w:rsidRPr="00E14E74">
        <w:t xml:space="preserve"> 52 weeks </w:t>
      </w:r>
      <w:r w:rsidR="005F0611" w:rsidRPr="00E14E74">
        <w:t xml:space="preserve">of </w:t>
      </w:r>
      <w:r w:rsidR="00781C11" w:rsidRPr="00E14E74">
        <w:t>data</w:t>
      </w:r>
      <w:r w:rsidR="001B3615" w:rsidRPr="00E14E74">
        <w:t xml:space="preserve"> </w:t>
      </w:r>
      <w:r w:rsidR="001D7490" w:rsidRPr="00E14E74">
        <w:t>from 1 January 2023 to 31 December 2023</w:t>
      </w:r>
      <w:r w:rsidR="001B3615" w:rsidRPr="00E14E74">
        <w:t>.</w:t>
      </w:r>
    </w:p>
    <w:p w14:paraId="2848A398" w14:textId="77777777" w:rsidR="00AA7984" w:rsidRPr="00AA7984" w:rsidRDefault="00AA7984" w:rsidP="00AA7984">
      <w:pPr>
        <w:keepNext/>
        <w:keepLines/>
        <w:spacing w:before="240"/>
        <w:ind w:left="851" w:hanging="851"/>
        <w:outlineLvl w:val="1"/>
        <w:rPr>
          <w:rFonts w:ascii="Tahoma" w:eastAsiaTheme="majorEastAsia" w:hAnsi="Tahoma" w:cstheme="majorBidi"/>
          <w:b/>
          <w:sz w:val="26"/>
          <w:szCs w:val="26"/>
        </w:rPr>
      </w:pPr>
      <w:bookmarkStart w:id="71" w:name="_Toc122097756"/>
      <w:bookmarkStart w:id="72" w:name="_Toc151465316"/>
      <w:r w:rsidRPr="00AA7984">
        <w:rPr>
          <w:rFonts w:ascii="Tahoma" w:eastAsiaTheme="majorEastAsia" w:hAnsi="Tahoma" w:cstheme="majorBidi"/>
          <w:b/>
          <w:sz w:val="26"/>
          <w:szCs w:val="26"/>
        </w:rPr>
        <w:t>Network or line losses</w:t>
      </w:r>
      <w:bookmarkEnd w:id="71"/>
      <w:bookmarkEnd w:id="72"/>
    </w:p>
    <w:p w14:paraId="05B8B871" w14:textId="2F7EC30F" w:rsidR="00AA7984" w:rsidRPr="00AA7984" w:rsidRDefault="00C956E4" w:rsidP="00C956E4">
      <w:r>
        <w:t xml:space="preserve">Large-scale generators are </w:t>
      </w:r>
      <w:r w:rsidR="00D93D10">
        <w:t xml:space="preserve">located </w:t>
      </w:r>
      <w:r>
        <w:t xml:space="preserve">far away from most energy consumers. The energy from the generators must travel long distances through the grid (transmission and distribution networks). </w:t>
      </w:r>
      <w:r w:rsidR="00AA7984" w:rsidRPr="00AA7984">
        <w:t xml:space="preserve">Some energy is lost when it moves through the grid, and we refer to this as ‘network losses’ or ‘line </w:t>
      </w:r>
      <w:proofErr w:type="gramStart"/>
      <w:r w:rsidR="00AA7984" w:rsidRPr="00AA7984">
        <w:t>losses’</w:t>
      </w:r>
      <w:proofErr w:type="gramEnd"/>
      <w:r w:rsidR="00AA7984" w:rsidRPr="00AA7984">
        <w:t>. The magnitude of network losses depends on the location of the generator and factors like the quality of the line.</w:t>
      </w:r>
    </w:p>
    <w:p w14:paraId="1A887FB3" w14:textId="77777777" w:rsidR="00AA7984" w:rsidRPr="00AA7984" w:rsidRDefault="00AA7984" w:rsidP="00AA7984">
      <w:r w:rsidRPr="00AA7984">
        <w:t xml:space="preserve">In contrast, energy generated by solar systems is typically close to the point of consumption, so less energy is lost travelling along the grid. </w:t>
      </w:r>
    </w:p>
    <w:p w14:paraId="0197B5CC" w14:textId="77777777" w:rsidR="00AA7984" w:rsidRPr="00AA7984" w:rsidRDefault="00AA7984" w:rsidP="00AA7984">
      <w:r w:rsidRPr="00AA7984">
        <w:t>We account for the network losses that retailers avoid when they buy energy from solar customers by using a loss factor which we apply to the (avoided) cost of wholesale energy. This increases the value of wholesale electricity included in the minimum feed-in tariffs.</w:t>
      </w:r>
    </w:p>
    <w:p w14:paraId="3425F654" w14:textId="56DD1763" w:rsidR="00AA7984" w:rsidRDefault="00AA7984" w:rsidP="00AA7984">
      <w:r w:rsidRPr="003E25C9">
        <w:lastRenderedPageBreak/>
        <w:t>We have used the market operator’s estimates of distribution loss factors and marginal loss factors for 2023–24</w:t>
      </w:r>
      <w:r w:rsidRPr="00AA7984">
        <w:t xml:space="preserve"> </w:t>
      </w:r>
      <w:r w:rsidR="000540F9">
        <w:t xml:space="preserve">– the latest available— </w:t>
      </w:r>
      <w:r w:rsidRPr="00AA7984">
        <w:t>to develop loss factor</w:t>
      </w:r>
      <w:r w:rsidR="00D000C3">
        <w:t>s</w:t>
      </w:r>
      <w:r w:rsidRPr="00AA7984">
        <w:t xml:space="preserve"> for Victoria. </w:t>
      </w:r>
    </w:p>
    <w:p w14:paraId="3F1F49B6" w14:textId="66DE124A" w:rsidR="00AA6675" w:rsidRPr="00AA7984" w:rsidRDefault="00AA6675" w:rsidP="00AA6675">
      <w:pPr>
        <w:pStyle w:val="Pull-out"/>
      </w:pPr>
      <w:r>
        <w:t>See</w:t>
      </w:r>
      <w:r w:rsidRPr="00AA7984">
        <w:t xml:space="preserve"> </w:t>
      </w:r>
      <w:hyperlink w:anchor="_Appendix_A_–" w:history="1">
        <w:r w:rsidRPr="004E644C">
          <w:rPr>
            <w:rStyle w:val="Hyperlink"/>
          </w:rPr>
          <w:t>Appendix A – Technical methodology</w:t>
        </w:r>
      </w:hyperlink>
      <w:r>
        <w:t xml:space="preserve"> for f</w:t>
      </w:r>
      <w:r w:rsidRPr="00AA7984">
        <w:t>urther details on the calculation of market fees</w:t>
      </w:r>
      <w:r>
        <w:t>,</w:t>
      </w:r>
      <w:r w:rsidRPr="00AA7984">
        <w:t xml:space="preserve"> ancillary </w:t>
      </w:r>
      <w:proofErr w:type="gramStart"/>
      <w:r w:rsidRPr="00AA7984">
        <w:t>services</w:t>
      </w:r>
      <w:proofErr w:type="gramEnd"/>
      <w:r>
        <w:t xml:space="preserve"> and network losses</w:t>
      </w:r>
      <w:r w:rsidRPr="00AA7984">
        <w:t>.</w:t>
      </w:r>
    </w:p>
    <w:p w14:paraId="46F4ECB9" w14:textId="77777777" w:rsidR="00AA6675" w:rsidRPr="00AA7984" w:rsidRDefault="00AA6675" w:rsidP="00AA7984"/>
    <w:p w14:paraId="0F320075" w14:textId="77777777" w:rsidR="002C2222" w:rsidRDefault="002C2222" w:rsidP="00725A53">
      <w:pPr>
        <w:sectPr w:rsidR="002C2222" w:rsidSect="00000778">
          <w:footerReference w:type="default" r:id="rId28"/>
          <w:pgSz w:w="11906" w:h="16838" w:code="9"/>
          <w:pgMar w:top="1134" w:right="1134" w:bottom="1134" w:left="1134" w:header="709" w:footer="692" w:gutter="0"/>
          <w:cols w:space="708"/>
          <w:docGrid w:linePitch="360"/>
        </w:sectPr>
      </w:pPr>
    </w:p>
    <w:p w14:paraId="451ADA92" w14:textId="77777777" w:rsidR="0029722A" w:rsidRDefault="0029722A" w:rsidP="0029722A">
      <w:pPr>
        <w:pStyle w:val="Heading1"/>
      </w:pPr>
      <w:bookmarkStart w:id="73" w:name="_Toc122097757"/>
      <w:bookmarkStart w:id="74" w:name="_Toc151465317"/>
      <w:bookmarkStart w:id="75" w:name="_Toc159844555"/>
      <w:r>
        <w:lastRenderedPageBreak/>
        <w:t xml:space="preserve">We consider carbon and human health </w:t>
      </w:r>
      <w:proofErr w:type="gramStart"/>
      <w:r>
        <w:t>costs</w:t>
      </w:r>
      <w:bookmarkEnd w:id="73"/>
      <w:bookmarkEnd w:id="74"/>
      <w:bookmarkEnd w:id="75"/>
      <w:proofErr w:type="gramEnd"/>
    </w:p>
    <w:p w14:paraId="323FED8E" w14:textId="4DD6F427" w:rsidR="0029722A" w:rsidRDefault="0029722A" w:rsidP="0029722A">
      <w:pPr>
        <w:rPr>
          <w:rFonts w:ascii="Times New Roman" w:eastAsia="Times New Roman" w:hAnsi="Times New Roman" w:cs="Times New Roman"/>
          <w:lang w:eastAsia="en-AU"/>
        </w:rPr>
      </w:pPr>
      <w:bookmarkStart w:id="76" w:name="_Toc90456075"/>
      <w:bookmarkStart w:id="77" w:name="_Toc90458392"/>
      <w:bookmarkStart w:id="78" w:name="_Toc90462536"/>
      <w:bookmarkStart w:id="79" w:name="_Toc90475676"/>
      <w:bookmarkStart w:id="80" w:name="_Toc96325402"/>
      <w:r w:rsidRPr="00A75F28">
        <w:t>Emissions released during gas or coal-fired generation impose a</w:t>
      </w:r>
      <w:r w:rsidR="00D576B2">
        <w:t>n economic</w:t>
      </w:r>
      <w:r w:rsidRPr="00A75F28">
        <w:t xml:space="preserve"> cost </w:t>
      </w:r>
      <w:r w:rsidR="00263C50">
        <w:t xml:space="preserve">on society </w:t>
      </w:r>
      <w:r w:rsidRPr="00A75F28">
        <w:t xml:space="preserve">by contributing to the greenhouse effect. This cost is often referred to as the cost of carbon. Along with carbon, fossil fuel generation is associated with air pollution (such as particulate matter) </w:t>
      </w:r>
      <w:r>
        <w:t>which can have a negative impact on</w:t>
      </w:r>
      <w:r w:rsidRPr="00A75F28">
        <w:t xml:space="preserve"> </w:t>
      </w:r>
      <w:r>
        <w:t>human health</w:t>
      </w:r>
      <w:r w:rsidRPr="00A75F28">
        <w:t>.</w:t>
      </w:r>
      <w:r>
        <w:t xml:space="preserve"> It follows that when </w:t>
      </w:r>
      <w:r w:rsidRPr="00A75F28">
        <w:t xml:space="preserve">solar </w:t>
      </w:r>
      <w:r>
        <w:t>energy</w:t>
      </w:r>
      <w:r w:rsidRPr="00A75F28">
        <w:t xml:space="preserve"> </w:t>
      </w:r>
      <w:r>
        <w:t xml:space="preserve">is made available to the grid, some of this air pollution </w:t>
      </w:r>
      <w:r w:rsidRPr="009900C2">
        <w:t>is avoided</w:t>
      </w:r>
      <w:r w:rsidRPr="009900C2">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w:t>
      </w:r>
    </w:p>
    <w:p w14:paraId="5989243F" w14:textId="5C444B55" w:rsidR="0029722A" w:rsidRDefault="00EB632E" w:rsidP="004F558D">
      <w:pPr>
        <w:pStyle w:val="NormalWeb"/>
      </w:pPr>
      <w:r w:rsidRPr="004F558D">
        <w:rPr>
          <w:rFonts w:asciiTheme="minorHAnsi" w:hAnsiTheme="minorHAnsi" w:cstheme="minorHAnsi"/>
          <w:sz w:val="22"/>
          <w:szCs w:val="22"/>
        </w:rPr>
        <w:t xml:space="preserve">We </w:t>
      </w:r>
      <w:r w:rsidR="00BF2EFF">
        <w:rPr>
          <w:rFonts w:asciiTheme="minorHAnsi" w:hAnsiTheme="minorHAnsi" w:cstheme="minorHAnsi"/>
          <w:sz w:val="22"/>
          <w:szCs w:val="22"/>
        </w:rPr>
        <w:t xml:space="preserve">are required to </w:t>
      </w:r>
      <w:r w:rsidR="00FC4455">
        <w:rPr>
          <w:rFonts w:asciiTheme="minorHAnsi" w:hAnsiTheme="minorHAnsi" w:cstheme="minorHAnsi"/>
          <w:sz w:val="22"/>
          <w:szCs w:val="22"/>
        </w:rPr>
        <w:t>consider</w:t>
      </w:r>
      <w:r w:rsidRPr="004F558D">
        <w:rPr>
          <w:rFonts w:asciiTheme="minorHAnsi" w:hAnsiTheme="minorHAnsi" w:cstheme="minorHAnsi"/>
          <w:sz w:val="22"/>
          <w:szCs w:val="22"/>
        </w:rPr>
        <w:t xml:space="preserve"> the</w:t>
      </w:r>
      <w:r w:rsidR="00476B2B">
        <w:rPr>
          <w:rFonts w:asciiTheme="minorHAnsi" w:hAnsiTheme="minorHAnsi" w:cstheme="minorHAnsi"/>
          <w:sz w:val="22"/>
          <w:szCs w:val="22"/>
        </w:rPr>
        <w:t xml:space="preserve"> cost of</w:t>
      </w:r>
      <w:r w:rsidRPr="004F558D">
        <w:rPr>
          <w:rFonts w:asciiTheme="minorHAnsi" w:hAnsiTheme="minorHAnsi" w:cstheme="minorHAnsi"/>
          <w:sz w:val="22"/>
          <w:szCs w:val="22"/>
        </w:rPr>
        <w:t xml:space="preserve"> carbon and human health costs when determining the minimum feed-in tariff</w:t>
      </w:r>
      <w:r w:rsidR="0029722A" w:rsidRPr="00EB632E">
        <w:t>.</w:t>
      </w:r>
      <w:r w:rsidR="0029722A" w:rsidRPr="00B81B98">
        <w:rPr>
          <w:rStyle w:val="FootnoteReference"/>
          <w:rFonts w:asciiTheme="minorHAnsi" w:hAnsiTheme="minorHAnsi" w:cstheme="minorHAnsi"/>
          <w:sz w:val="22"/>
          <w:szCs w:val="22"/>
        </w:rPr>
        <w:footnoteReference w:id="24"/>
      </w:r>
      <w:r w:rsidR="0029722A" w:rsidRPr="00B81B98">
        <w:rPr>
          <w:rFonts w:asciiTheme="minorHAnsi" w:hAnsiTheme="minorHAnsi" w:cstheme="minorHAnsi"/>
          <w:sz w:val="22"/>
          <w:szCs w:val="22"/>
        </w:rPr>
        <w:t xml:space="preserve"> </w:t>
      </w:r>
    </w:p>
    <w:p w14:paraId="299E75D2" w14:textId="77777777" w:rsidR="0029722A" w:rsidRDefault="0029722A" w:rsidP="0029722A">
      <w:r>
        <w:t>W</w:t>
      </w:r>
      <w:r w:rsidRPr="00C70248">
        <w:t xml:space="preserve">e have kept the same assumptions for the social cost of carbon and human health costs that we </w:t>
      </w:r>
      <w:r>
        <w:t xml:space="preserve">have </w:t>
      </w:r>
      <w:r w:rsidRPr="00C70248">
        <w:t>used in previous decisions.</w:t>
      </w:r>
      <w:r>
        <w:t xml:space="preserve"> </w:t>
      </w:r>
    </w:p>
    <w:p w14:paraId="3F1ACBC9" w14:textId="1862F810" w:rsidR="0029722A" w:rsidRPr="00996AC4" w:rsidRDefault="00EA1400" w:rsidP="0029722A">
      <w:r>
        <w:t xml:space="preserve">This area is the </w:t>
      </w:r>
      <w:r w:rsidR="007F09D1">
        <w:t xml:space="preserve">subject of ongoing review by the </w:t>
      </w:r>
      <w:r w:rsidR="0029722A" w:rsidRPr="00354796">
        <w:t xml:space="preserve">Department of </w:t>
      </w:r>
      <w:r w:rsidR="0029722A">
        <w:t xml:space="preserve">Energy, </w:t>
      </w:r>
      <w:r w:rsidR="0029722A" w:rsidRPr="00354796">
        <w:t xml:space="preserve">Environment and </w:t>
      </w:r>
      <w:r w:rsidR="0029722A">
        <w:t>C</w:t>
      </w:r>
      <w:r w:rsidR="0029722A" w:rsidRPr="00354796">
        <w:t>l</w:t>
      </w:r>
      <w:r w:rsidR="0029722A">
        <w:t>imate Action</w:t>
      </w:r>
      <w:r w:rsidR="0029722A" w:rsidRPr="00354796">
        <w:t xml:space="preserve"> </w:t>
      </w:r>
      <w:r w:rsidR="007F09D1">
        <w:t xml:space="preserve">and we will </w:t>
      </w:r>
      <w:r w:rsidR="008856C7">
        <w:t xml:space="preserve">continue to monitor developments in this </w:t>
      </w:r>
      <w:r w:rsidR="00570596">
        <w:t>space</w:t>
      </w:r>
      <w:r w:rsidR="0029722A">
        <w:t xml:space="preserve">. </w:t>
      </w:r>
    </w:p>
    <w:p w14:paraId="0208B757" w14:textId="77777777" w:rsidR="0029722A" w:rsidRPr="00697F78" w:rsidRDefault="0029722A" w:rsidP="000174AE">
      <w:pPr>
        <w:pStyle w:val="Heading2numbered"/>
      </w:pPr>
      <w:bookmarkStart w:id="81" w:name="_Toc122097758"/>
      <w:bookmarkStart w:id="82" w:name="_Toc151465318"/>
      <w:bookmarkStart w:id="83" w:name="_Toc159844556"/>
      <w:r>
        <w:t>C</w:t>
      </w:r>
      <w:r w:rsidRPr="00697F78">
        <w:t>ost of carbon</w:t>
      </w:r>
      <w:bookmarkEnd w:id="81"/>
      <w:bookmarkEnd w:id="82"/>
      <w:bookmarkEnd w:id="83"/>
    </w:p>
    <w:p w14:paraId="331F1C2A" w14:textId="616E1F12" w:rsidR="0029722A" w:rsidRPr="00C70248" w:rsidRDefault="0029722A" w:rsidP="00E33F34">
      <w:r w:rsidRPr="00C70248">
        <w:t>The National Electricity Market uses energy generated from a variety of fuel sources and technologies</w:t>
      </w:r>
      <w:r w:rsidR="003A37FB">
        <w:t xml:space="preserve"> of varying carbon intensiveness</w:t>
      </w:r>
      <w:r w:rsidRPr="00C70248">
        <w:t xml:space="preserve">. </w:t>
      </w:r>
    </w:p>
    <w:p w14:paraId="4B8849AE" w14:textId="77777777" w:rsidR="0029722A" w:rsidRPr="00C70248" w:rsidRDefault="0029722A" w:rsidP="0029722A">
      <w:r>
        <w:t>The Victorian Government published an Order in Council in February 2017 specifying a methodology and the factors that we must have regard to when setting the social cost of carbon.</w:t>
      </w:r>
      <w:r>
        <w:rPr>
          <w:rStyle w:val="FootnoteReference"/>
        </w:rPr>
        <w:footnoteReference w:id="25"/>
      </w:r>
      <w:r>
        <w:t xml:space="preserve"> We have adopted this methodology for our decision. </w:t>
      </w:r>
    </w:p>
    <w:p w14:paraId="467F6A8F" w14:textId="77777777" w:rsidR="0029722A" w:rsidRPr="00C70248" w:rsidRDefault="0029722A" w:rsidP="0029722A">
      <w:r>
        <w:t xml:space="preserve">The Order in Council methodology gives the avoided social cost of carbon a value of </w:t>
      </w:r>
      <w:r w:rsidRPr="0098546B">
        <w:t>2.5 cents per kWh. This is the same value as for previous years.</w:t>
      </w:r>
    </w:p>
    <w:p w14:paraId="2127BB54" w14:textId="4DEB4568" w:rsidR="0029722A" w:rsidRDefault="0029722A" w:rsidP="0029722A">
      <w:r w:rsidRPr="00C70248">
        <w:t>We have added this to the flat feed-in tariff</w:t>
      </w:r>
      <w:r>
        <w:t xml:space="preserve"> and</w:t>
      </w:r>
      <w:r w:rsidRPr="00C70248">
        <w:t xml:space="preserve"> time-varying feed-in tariffs.</w:t>
      </w:r>
    </w:p>
    <w:p w14:paraId="42294E84" w14:textId="77777777" w:rsidR="00465B51" w:rsidRDefault="00465B51" w:rsidP="0029722A"/>
    <w:p w14:paraId="0C4A5505" w14:textId="77777777" w:rsidR="0029722A" w:rsidRPr="00F75093" w:rsidRDefault="0029722A" w:rsidP="006B3E06">
      <w:pPr>
        <w:pStyle w:val="Heading2numbered"/>
      </w:pPr>
      <w:bookmarkStart w:id="84" w:name="_Toc122097759"/>
      <w:bookmarkStart w:id="85" w:name="_Toc151465319"/>
      <w:bookmarkStart w:id="86" w:name="_Toc159844557"/>
      <w:r w:rsidRPr="00F75093">
        <w:lastRenderedPageBreak/>
        <w:t>Human health costs</w:t>
      </w:r>
      <w:bookmarkEnd w:id="76"/>
      <w:bookmarkEnd w:id="77"/>
      <w:bookmarkEnd w:id="78"/>
      <w:bookmarkEnd w:id="79"/>
      <w:bookmarkEnd w:id="80"/>
      <w:bookmarkEnd w:id="84"/>
      <w:bookmarkEnd w:id="85"/>
      <w:bookmarkEnd w:id="86"/>
    </w:p>
    <w:p w14:paraId="1AAC4994" w14:textId="77777777" w:rsidR="0029722A" w:rsidRPr="00F75093" w:rsidRDefault="0029722A" w:rsidP="0029722A">
      <w:r w:rsidRPr="00F75093">
        <w:t>The human health costs are the estimated health costs of air pollution (such as particulate matter) associated with fossil fuel powered electricity generation.</w:t>
      </w:r>
      <w:r w:rsidRPr="00F75093">
        <w:rPr>
          <w:rStyle w:val="FootnoteReference"/>
        </w:rPr>
        <w:footnoteReference w:id="26"/>
      </w:r>
      <w:r w:rsidRPr="00F75093">
        <w:t xml:space="preserve"> </w:t>
      </w:r>
    </w:p>
    <w:p w14:paraId="5E8F8569" w14:textId="339AD348" w:rsidR="0029722A" w:rsidRDefault="0029722A" w:rsidP="0029722A">
      <w:r w:rsidRPr="00F75093">
        <w:t xml:space="preserve">There is no Order in Council that specifies a factor or method for determining the avoided human health costs attributable to a reduction in </w:t>
      </w:r>
      <w:r w:rsidR="006B60D6" w:rsidRPr="00F75093">
        <w:t>air po</w:t>
      </w:r>
      <w:bookmarkStart w:id="87" w:name="_Hlk157775278"/>
      <w:r w:rsidR="006B60D6" w:rsidRPr="00F75093">
        <w:t>llution</w:t>
      </w:r>
      <w:r w:rsidR="006B60D6">
        <w:t>; there</w:t>
      </w:r>
      <w:bookmarkEnd w:id="87"/>
      <w:r w:rsidR="006B60D6">
        <w:t xml:space="preserve"> </w:t>
      </w:r>
      <w:r>
        <w:t>are different methods to estimate these costs</w:t>
      </w:r>
      <w:r w:rsidRPr="00F75093">
        <w:t>.</w:t>
      </w:r>
    </w:p>
    <w:p w14:paraId="42FDF465" w14:textId="77777777" w:rsidR="0029722A" w:rsidRDefault="0029722A" w:rsidP="0029722A">
      <w:r>
        <w:t>In past years we have not given a separate valuation of the avoided human health costs. This reflects the fact that there is potential overlap between the social cost of carbon and human health costs. There is also potential overlap between the avoided human health costs and other subsidies for solar customers.</w:t>
      </w:r>
    </w:p>
    <w:p w14:paraId="17F58019" w14:textId="77777777" w:rsidR="001E0C7E" w:rsidRDefault="00F671C0" w:rsidP="0029722A">
      <w:r>
        <w:t>Based on</w:t>
      </w:r>
      <w:r w:rsidR="0029722A">
        <w:t xml:space="preserve"> the information currently before us, our decision is to use the same approach as in previous years.</w:t>
      </w:r>
    </w:p>
    <w:p w14:paraId="353BBA86" w14:textId="77777777" w:rsidR="009E2E65" w:rsidRPr="00AA7984" w:rsidRDefault="009E2E65" w:rsidP="009E2E65">
      <w:pPr>
        <w:pStyle w:val="Pull-out"/>
      </w:pPr>
      <w:r>
        <w:t>See</w:t>
      </w:r>
      <w:r w:rsidRPr="00AA7984">
        <w:t xml:space="preserve"> </w:t>
      </w:r>
      <w:hyperlink w:anchor="_Appendix_A_–" w:history="1">
        <w:r w:rsidRPr="00F53513">
          <w:rPr>
            <w:rStyle w:val="Hyperlink"/>
          </w:rPr>
          <w:t>Appendix A – Technical methodology</w:t>
        </w:r>
      </w:hyperlink>
      <w:r>
        <w:t xml:space="preserve"> for more </w:t>
      </w:r>
      <w:proofErr w:type="gramStart"/>
      <w:r>
        <w:t>details</w:t>
      </w:r>
      <w:proofErr w:type="gramEnd"/>
    </w:p>
    <w:p w14:paraId="17D83471" w14:textId="49323F0E" w:rsidR="009E2E65" w:rsidRDefault="009E2E65" w:rsidP="0029722A">
      <w:pPr>
        <w:sectPr w:rsidR="009E2E65" w:rsidSect="00000778">
          <w:footerReference w:type="default" r:id="rId29"/>
          <w:pgSz w:w="11906" w:h="16838" w:code="9"/>
          <w:pgMar w:top="1134" w:right="1134" w:bottom="1134" w:left="1134" w:header="709" w:footer="692" w:gutter="0"/>
          <w:cols w:space="708"/>
          <w:docGrid w:linePitch="360"/>
        </w:sectPr>
      </w:pPr>
    </w:p>
    <w:p w14:paraId="213CA469" w14:textId="1B9E7D46" w:rsidR="00E4281E" w:rsidRDefault="001E0C7E" w:rsidP="002D28D8">
      <w:pPr>
        <w:pStyle w:val="Heading1"/>
      </w:pPr>
      <w:bookmarkStart w:id="88" w:name="_Toc159844558"/>
      <w:bookmarkStart w:id="89" w:name="_Toc143691775"/>
      <w:bookmarkStart w:id="90" w:name="_Toc147961382"/>
      <w:bookmarkStart w:id="91" w:name="_Toc151465332"/>
      <w:r>
        <w:lastRenderedPageBreak/>
        <w:t>Themes from submissions and our re</w:t>
      </w:r>
      <w:r w:rsidR="00AA18C3">
        <w:t>s</w:t>
      </w:r>
      <w:r>
        <w:t>ponse</w:t>
      </w:r>
      <w:r w:rsidR="001030AC">
        <w:t>s</w:t>
      </w:r>
      <w:bookmarkEnd w:id="88"/>
    </w:p>
    <w:p w14:paraId="1AA46420" w14:textId="70059857" w:rsidR="00B929F5" w:rsidRDefault="00F75DAC" w:rsidP="001030AC">
      <w:r>
        <w:t>This</w:t>
      </w:r>
      <w:r w:rsidR="00B929F5">
        <w:t xml:space="preserve"> chapter</w:t>
      </w:r>
      <w:r>
        <w:t xml:space="preserve"> </w:t>
      </w:r>
      <w:r w:rsidR="00B929F5">
        <w:t>address</w:t>
      </w:r>
      <w:r>
        <w:t>es</w:t>
      </w:r>
      <w:r w:rsidR="00B929F5">
        <w:t xml:space="preserve"> the key themes raised by stakeholders in response to our draft decision. We received </w:t>
      </w:r>
      <w:r w:rsidR="00806D2E">
        <w:t>19</w:t>
      </w:r>
      <w:r w:rsidR="00B929F5">
        <w:t xml:space="preserve"> submissions. These include written submissions made through Engage Victoria and our </w:t>
      </w:r>
      <w:r w:rsidR="00AB2385">
        <w:t xml:space="preserve">feed-in tariff </w:t>
      </w:r>
      <w:r w:rsidR="00B929F5">
        <w:t xml:space="preserve">mailbox. </w:t>
      </w:r>
    </w:p>
    <w:p w14:paraId="6A834C1E" w14:textId="344E4C73" w:rsidR="00D70278" w:rsidRDefault="00B929F5" w:rsidP="001030AC">
      <w:r w:rsidRPr="007D1C68">
        <w:t xml:space="preserve">We received submissions from </w:t>
      </w:r>
      <w:r w:rsidR="00750303" w:rsidRPr="007D1C68">
        <w:t>1</w:t>
      </w:r>
      <w:r w:rsidR="00C71E63" w:rsidRPr="007D1C68">
        <w:t>5</w:t>
      </w:r>
      <w:r w:rsidRPr="007D1C68">
        <w:t xml:space="preserve"> solar customers,</w:t>
      </w:r>
      <w:r w:rsidR="00EF6A7E" w:rsidRPr="007D1C68">
        <w:t xml:space="preserve"> </w:t>
      </w:r>
      <w:r w:rsidR="005A2859" w:rsidRPr="007D1C68">
        <w:t>two</w:t>
      </w:r>
      <w:r w:rsidRPr="007D1C68">
        <w:t xml:space="preserve"> </w:t>
      </w:r>
      <w:r w:rsidR="00EF6A7E" w:rsidRPr="007D1C68">
        <w:t xml:space="preserve">community </w:t>
      </w:r>
      <w:r w:rsidR="00113146" w:rsidRPr="007D1C68">
        <w:t>solar</w:t>
      </w:r>
      <w:r w:rsidR="00EF6A7E" w:rsidRPr="007D1C68">
        <w:t xml:space="preserve"> </w:t>
      </w:r>
      <w:r w:rsidRPr="007D1C68">
        <w:t xml:space="preserve">groups, </w:t>
      </w:r>
      <w:r w:rsidR="00113146" w:rsidRPr="007D1C68">
        <w:t xml:space="preserve">an energy </w:t>
      </w:r>
      <w:proofErr w:type="gramStart"/>
      <w:r w:rsidR="00113146" w:rsidRPr="007D1C68">
        <w:t>retailer</w:t>
      </w:r>
      <w:proofErr w:type="gramEnd"/>
      <w:r w:rsidR="00113146" w:rsidRPr="007D1C68">
        <w:t xml:space="preserve"> a</w:t>
      </w:r>
      <w:r w:rsidRPr="007D1C68">
        <w:t xml:space="preserve">nd </w:t>
      </w:r>
      <w:r w:rsidR="00EF6A7E" w:rsidRPr="007D1C68">
        <w:t xml:space="preserve">an </w:t>
      </w:r>
      <w:r w:rsidR="00113146" w:rsidRPr="007D1C68">
        <w:t>electricity distributor.</w:t>
      </w:r>
    </w:p>
    <w:p w14:paraId="39A83ED8" w14:textId="1837B15A" w:rsidR="0098107B" w:rsidRDefault="00B929F5" w:rsidP="001030AC">
      <w:r>
        <w:t xml:space="preserve">In general, solar customers opposed the </w:t>
      </w:r>
      <w:r w:rsidR="00D70278">
        <w:t>draft decision</w:t>
      </w:r>
      <w:r w:rsidR="00DC1C39">
        <w:t xml:space="preserve"> to</w:t>
      </w:r>
      <w:r w:rsidR="00D70278">
        <w:t xml:space="preserve"> </w:t>
      </w:r>
      <w:r>
        <w:t>reduc</w:t>
      </w:r>
      <w:r w:rsidR="00DC1C39">
        <w:t>e</w:t>
      </w:r>
      <w:r>
        <w:t xml:space="preserve"> the minimum feed-in tariffs.</w:t>
      </w:r>
      <w:r w:rsidR="004225DB">
        <w:t xml:space="preserve"> </w:t>
      </w:r>
    </w:p>
    <w:p w14:paraId="23A1081C" w14:textId="77777777" w:rsidR="004E3C8E" w:rsidRDefault="004225DB" w:rsidP="001030AC">
      <w:r>
        <w:t xml:space="preserve">Most </w:t>
      </w:r>
      <w:r w:rsidR="00B929F5">
        <w:t>customers said the minimum feed-in tariffs should be higher.</w:t>
      </w:r>
      <w:r w:rsidR="002405E0">
        <w:t xml:space="preserve"> In general, s</w:t>
      </w:r>
      <w:r w:rsidR="000345B6">
        <w:t xml:space="preserve">olar customers felt the minimum feed-in tariffs do not fairly compensate them and that the difference between the feed-in and retail </w:t>
      </w:r>
      <w:r w:rsidR="002405E0">
        <w:t xml:space="preserve">tariffs </w:t>
      </w:r>
      <w:r w:rsidR="000345B6">
        <w:t xml:space="preserve">is unfairly large. </w:t>
      </w:r>
    </w:p>
    <w:p w14:paraId="4E2F4B4A" w14:textId="5F04D791" w:rsidR="000345B6" w:rsidRDefault="00591CE8" w:rsidP="001030AC">
      <w:r>
        <w:t>T</w:t>
      </w:r>
      <w:r w:rsidR="00E806F6">
        <w:t xml:space="preserve">hese submissions did not </w:t>
      </w:r>
      <w:r w:rsidR="00B1388D">
        <w:t xml:space="preserve">provide any </w:t>
      </w:r>
      <w:r w:rsidR="002C07E1">
        <w:t xml:space="preserve">new </w:t>
      </w:r>
      <w:r w:rsidR="00B1388D">
        <w:t xml:space="preserve">evidence </w:t>
      </w:r>
      <w:r w:rsidR="00350B70">
        <w:t>or alternative methodolog</w:t>
      </w:r>
      <w:r w:rsidR="007D55F4">
        <w:t>ies</w:t>
      </w:r>
      <w:r w:rsidR="00350B70">
        <w:t xml:space="preserve"> to support these views</w:t>
      </w:r>
      <w:r w:rsidR="003C5851">
        <w:t xml:space="preserve"> </w:t>
      </w:r>
      <w:r w:rsidR="00F04F19">
        <w:t>(</w:t>
      </w:r>
      <w:r w:rsidR="003C5851">
        <w:t xml:space="preserve">or </w:t>
      </w:r>
      <w:r w:rsidR="00F75E77">
        <w:t xml:space="preserve">they </w:t>
      </w:r>
      <w:r w:rsidR="003C5851">
        <w:t xml:space="preserve">proposed </w:t>
      </w:r>
      <w:r w:rsidR="004E3C8E">
        <w:t>approaches that</w:t>
      </w:r>
      <w:r w:rsidR="004D6741">
        <w:t xml:space="preserve"> would not meet our legislative </w:t>
      </w:r>
      <w:r w:rsidR="00FF5347">
        <w:t>requirements</w:t>
      </w:r>
      <w:r w:rsidR="00F04F19">
        <w:t>)</w:t>
      </w:r>
      <w:r w:rsidR="000345B6">
        <w:t xml:space="preserve">. </w:t>
      </w:r>
      <w:r w:rsidR="000345B6" w:rsidDel="00350B70">
        <w:t>Others expressed concern about existing owners</w:t>
      </w:r>
      <w:r w:rsidR="001C1B8B">
        <w:t xml:space="preserve"> recouping their investment</w:t>
      </w:r>
      <w:r w:rsidR="000345B6" w:rsidDel="00350B70">
        <w:t xml:space="preserve">. </w:t>
      </w:r>
    </w:p>
    <w:p w14:paraId="3DBFC21E" w14:textId="5707F7B6" w:rsidR="000345B6" w:rsidRDefault="000345B6" w:rsidP="001030AC">
      <w:r>
        <w:t>The energy retailer</w:t>
      </w:r>
      <w:r w:rsidR="00DF27EF">
        <w:t>’s</w:t>
      </w:r>
      <w:r w:rsidR="005F4696">
        <w:t xml:space="preserve"> </w:t>
      </w:r>
      <w:r>
        <w:t>submission</w:t>
      </w:r>
      <w:r w:rsidR="00990DBE">
        <w:t xml:space="preserve"> </w:t>
      </w:r>
      <w:r>
        <w:t>agreed with our methodology</w:t>
      </w:r>
      <w:r w:rsidR="0052772E">
        <w:t xml:space="preserve"> and</w:t>
      </w:r>
      <w:r w:rsidR="005F4696">
        <w:t xml:space="preserve"> proposed </w:t>
      </w:r>
      <w:r w:rsidR="002B6753">
        <w:t xml:space="preserve">we add a flexible feed-in tariff option where retailers could set their own time blocks </w:t>
      </w:r>
      <w:r w:rsidR="0005137A">
        <w:t>and rates,</w:t>
      </w:r>
      <w:r w:rsidR="0052772E">
        <w:t xml:space="preserve"> provided these were on average equal to </w:t>
      </w:r>
      <w:r w:rsidR="00D84E86">
        <w:t>or higher than the minimum feed-in tariff</w:t>
      </w:r>
      <w:r>
        <w:t xml:space="preserve">. </w:t>
      </w:r>
    </w:p>
    <w:p w14:paraId="5E05060B" w14:textId="099F6FBD" w:rsidR="00220A31" w:rsidRDefault="00B457F3" w:rsidP="001030AC">
      <w:r>
        <w:t>An</w:t>
      </w:r>
      <w:r w:rsidR="00220A31">
        <w:t xml:space="preserve"> </w:t>
      </w:r>
      <w:r w:rsidR="00CE2255">
        <w:t>e</w:t>
      </w:r>
      <w:r w:rsidR="00220A31">
        <w:t xml:space="preserve">lectricity </w:t>
      </w:r>
      <w:r w:rsidR="00CE2255">
        <w:t>d</w:t>
      </w:r>
      <w:r w:rsidR="00220A31">
        <w:t xml:space="preserve">istributor highlighted </w:t>
      </w:r>
      <w:r w:rsidR="00B21BB9">
        <w:t>how difficult it was for consumers</w:t>
      </w:r>
      <w:r w:rsidR="00C81F5C">
        <w:t xml:space="preserve"> </w:t>
      </w:r>
      <w:r w:rsidR="00D53533">
        <w:t xml:space="preserve">to </w:t>
      </w:r>
      <w:r w:rsidR="008359BC">
        <w:t xml:space="preserve">understand how to </w:t>
      </w:r>
      <w:r w:rsidR="00C81F5C">
        <w:t>make the most of their solar systems</w:t>
      </w:r>
      <w:r w:rsidR="001B7A44" w:rsidDel="00D10595">
        <w:t xml:space="preserve"> </w:t>
      </w:r>
      <w:r w:rsidR="001B7A44">
        <w:t xml:space="preserve">and proposed </w:t>
      </w:r>
      <w:r w:rsidR="00F236FB">
        <w:t xml:space="preserve">that </w:t>
      </w:r>
      <w:r w:rsidR="001B7A44">
        <w:t xml:space="preserve">further public education initiatives </w:t>
      </w:r>
      <w:r w:rsidR="00B83DC1">
        <w:t>are needed.</w:t>
      </w:r>
    </w:p>
    <w:p w14:paraId="71A649D9" w14:textId="2313C1EC" w:rsidR="001030AC" w:rsidRDefault="003F7C42" w:rsidP="007874B2">
      <w:pPr>
        <w:pStyle w:val="Heading2"/>
      </w:pPr>
      <w:bookmarkStart w:id="92" w:name="_Toc159844559"/>
      <w:r>
        <w:t>F</w:t>
      </w:r>
      <w:r w:rsidR="00D5474A">
        <w:t xml:space="preserve">eed-in tariffs </w:t>
      </w:r>
      <w:r w:rsidR="0049626E">
        <w:t xml:space="preserve">are based on </w:t>
      </w:r>
      <w:r w:rsidR="00174CAE">
        <w:t xml:space="preserve">facts and </w:t>
      </w:r>
      <w:r w:rsidR="0049626E">
        <w:t>the best available</w:t>
      </w:r>
      <w:r>
        <w:t xml:space="preserve"> </w:t>
      </w:r>
      <w:proofErr w:type="gramStart"/>
      <w:r>
        <w:t>information</w:t>
      </w:r>
      <w:bookmarkEnd w:id="92"/>
      <w:proofErr w:type="gramEnd"/>
    </w:p>
    <w:p w14:paraId="0EDC7032" w14:textId="7AAA830B" w:rsidR="00F40420" w:rsidRPr="00D5474A" w:rsidRDefault="006B2E4D" w:rsidP="00D5474A">
      <w:r>
        <w:t>Most solar customers felt that our proposed feed-in tariffs were too low</w:t>
      </w:r>
      <w:r w:rsidR="0061782E">
        <w:t>. O</w:t>
      </w:r>
      <w:r>
        <w:t>ne solar customer</w:t>
      </w:r>
      <w:r w:rsidR="0061782E">
        <w:t>’s view</w:t>
      </w:r>
      <w:r>
        <w:t xml:space="preserve"> typified those of many:</w:t>
      </w:r>
    </w:p>
    <w:p w14:paraId="5E9CD429" w14:textId="4393FB9B" w:rsidR="00420268" w:rsidRDefault="00C324E6" w:rsidP="00420268">
      <w:pPr>
        <w:pStyle w:val="Quote"/>
      </w:pPr>
      <w:r w:rsidRPr="00C324E6">
        <w:t>The feed in tariff should not be decreased at this stage at all. It should be increased.</w:t>
      </w:r>
      <w:r>
        <w:rPr>
          <w:rStyle w:val="FootnoteReference"/>
        </w:rPr>
        <w:footnoteReference w:id="27"/>
      </w:r>
    </w:p>
    <w:p w14:paraId="58A69D36" w14:textId="74E3371D" w:rsidR="003B3434" w:rsidRDefault="00E073B8" w:rsidP="00311FDC">
      <w:r>
        <w:t xml:space="preserve">The </w:t>
      </w:r>
      <w:r w:rsidR="00F44CBF">
        <w:t>feed-in tariff methodology</w:t>
      </w:r>
      <w:r>
        <w:t xml:space="preserve"> is based on the best available model and data. </w:t>
      </w:r>
      <w:r w:rsidR="00D67770">
        <w:t xml:space="preserve">As outlined in Appendix A, we </w:t>
      </w:r>
      <w:r w:rsidR="00CD212B">
        <w:t xml:space="preserve">use export data, </w:t>
      </w:r>
      <w:r w:rsidR="001618C0">
        <w:t xml:space="preserve">historic wholesale prices, and the </w:t>
      </w:r>
      <w:r w:rsidR="00604399">
        <w:t xml:space="preserve">prices in the futures market. </w:t>
      </w:r>
    </w:p>
    <w:p w14:paraId="3B422145" w14:textId="5B014A5F" w:rsidR="005255A2" w:rsidRDefault="00B715DD" w:rsidP="00311FDC">
      <w:r>
        <w:t xml:space="preserve">In general </w:t>
      </w:r>
      <w:r w:rsidR="002F1371">
        <w:t xml:space="preserve">consumer </w:t>
      </w:r>
      <w:r w:rsidR="00311FDC">
        <w:t xml:space="preserve">submissions did not provide any </w:t>
      </w:r>
      <w:r w:rsidR="00250534">
        <w:t xml:space="preserve">detailed </w:t>
      </w:r>
      <w:r w:rsidR="002F1371">
        <w:t xml:space="preserve">alternative models or evidence </w:t>
      </w:r>
      <w:r w:rsidR="001E0FB1">
        <w:t>to suggest our analysis was incorrect</w:t>
      </w:r>
      <w:r w:rsidR="00311FDC">
        <w:t xml:space="preserve">. </w:t>
      </w:r>
      <w:r w:rsidR="00250534">
        <w:t>The alternative</w:t>
      </w:r>
      <w:r w:rsidR="00B94D24">
        <w:t xml:space="preserve"> models that were suggested</w:t>
      </w:r>
      <w:r w:rsidR="00C30E2C">
        <w:t xml:space="preserve">, such as making </w:t>
      </w:r>
      <w:r w:rsidR="00C30E2C">
        <w:lastRenderedPageBreak/>
        <w:t xml:space="preserve">the minimum feed-in tariff a set percentage of the </w:t>
      </w:r>
      <w:r w:rsidR="0024791A">
        <w:t>retail price</w:t>
      </w:r>
      <w:r w:rsidR="00ED6EFD">
        <w:t>,</w:t>
      </w:r>
      <w:r w:rsidR="0024791A">
        <w:t xml:space="preserve"> did not </w:t>
      </w:r>
      <w:r w:rsidR="00ED6EFD">
        <w:t>reflect</w:t>
      </w:r>
      <w:r w:rsidR="0024791A" w:rsidDel="00FA7017">
        <w:t xml:space="preserve"> </w:t>
      </w:r>
      <w:r w:rsidR="0024791A">
        <w:t xml:space="preserve">the </w:t>
      </w:r>
      <w:r w:rsidR="00ED72AE">
        <w:t xml:space="preserve">factors we must consider. </w:t>
      </w:r>
      <w:r w:rsidR="00BD2E0D">
        <w:t xml:space="preserve">We could not adopt this </w:t>
      </w:r>
      <w:r w:rsidR="00705FF3">
        <w:t xml:space="preserve">methodology </w:t>
      </w:r>
      <w:r w:rsidR="00BE4B13">
        <w:t xml:space="preserve">because as explained </w:t>
      </w:r>
      <w:r w:rsidR="001D1F4A">
        <w:t xml:space="preserve">in the </w:t>
      </w:r>
      <w:r w:rsidR="00FE2AC5">
        <w:t>s</w:t>
      </w:r>
      <w:r w:rsidR="00893130">
        <w:t>ummary</w:t>
      </w:r>
      <w:r w:rsidR="00FE2AC5">
        <w:t xml:space="preserve"> chapter</w:t>
      </w:r>
      <w:r w:rsidR="00893130">
        <w:t xml:space="preserve">, </w:t>
      </w:r>
      <w:r w:rsidR="00AB0692">
        <w:t xml:space="preserve">we must have regard to the wholesale </w:t>
      </w:r>
      <w:r w:rsidR="00906768">
        <w:t xml:space="preserve">electricity </w:t>
      </w:r>
      <w:r w:rsidR="00AB0692">
        <w:t>price</w:t>
      </w:r>
      <w:r w:rsidR="00ED0837">
        <w:t xml:space="preserve">. </w:t>
      </w:r>
    </w:p>
    <w:p w14:paraId="3F1D668E" w14:textId="521F1CEB" w:rsidR="00AB0692" w:rsidRDefault="00981972" w:rsidP="00311FDC">
      <w:r>
        <w:t>Some submissions</w:t>
      </w:r>
      <w:r w:rsidR="00AB0692">
        <w:t xml:space="preserve"> pro</w:t>
      </w:r>
      <w:r w:rsidR="00D21C6E">
        <w:t xml:space="preserve">vided quantitative evidence, </w:t>
      </w:r>
      <w:r w:rsidR="009C4B79">
        <w:t xml:space="preserve">but </w:t>
      </w:r>
      <w:r w:rsidR="00D21C6E">
        <w:t xml:space="preserve">this evidence was not directly </w:t>
      </w:r>
      <w:r>
        <w:t>related to the value of solar exports.</w:t>
      </w:r>
      <w:r w:rsidR="00AD7780">
        <w:t xml:space="preserve"> For </w:t>
      </w:r>
      <w:r w:rsidR="00016979">
        <w:t>instance,</w:t>
      </w:r>
      <w:r w:rsidR="00AD7780">
        <w:t xml:space="preserve"> </w:t>
      </w:r>
      <w:r w:rsidR="00AB63AC">
        <w:t xml:space="preserve">some </w:t>
      </w:r>
      <w:r w:rsidR="00B20840">
        <w:t xml:space="preserve">submissions </w:t>
      </w:r>
      <w:r w:rsidR="005E7B6B">
        <w:t xml:space="preserve">suggested </w:t>
      </w:r>
      <w:r w:rsidR="00B20840">
        <w:t xml:space="preserve">that we should </w:t>
      </w:r>
      <w:r w:rsidR="00AB63AC">
        <w:t>base the feed-in</w:t>
      </w:r>
      <w:r w:rsidR="004969E7">
        <w:t xml:space="preserve"> tariffs on</w:t>
      </w:r>
      <w:r w:rsidR="00AB63AC">
        <w:t xml:space="preserve"> </w:t>
      </w:r>
      <w:r w:rsidR="0060132A">
        <w:t>retail prices,</w:t>
      </w:r>
      <w:r w:rsidR="0060132A" w:rsidDel="004969E7">
        <w:t xml:space="preserve"> </w:t>
      </w:r>
      <w:r w:rsidR="003437AE">
        <w:t>the</w:t>
      </w:r>
      <w:r w:rsidR="00126101">
        <w:t xml:space="preserve"> </w:t>
      </w:r>
      <w:r w:rsidR="00B20840">
        <w:t>capital costs</w:t>
      </w:r>
      <w:r w:rsidR="002C652F">
        <w:t xml:space="preserve"> or rooftop </w:t>
      </w:r>
      <w:r w:rsidR="004969E7">
        <w:t xml:space="preserve">solar </w:t>
      </w:r>
      <w:r w:rsidR="002C652F">
        <w:t xml:space="preserve">or other </w:t>
      </w:r>
      <w:r w:rsidR="0040287E">
        <w:t>grid-scale solar</w:t>
      </w:r>
      <w:r w:rsidR="003437AE">
        <w:t>.</w:t>
      </w:r>
      <w:r w:rsidR="00B20840">
        <w:t xml:space="preserve"> </w:t>
      </w:r>
    </w:p>
    <w:p w14:paraId="630050A6" w14:textId="6597A9C7" w:rsidR="007226FE" w:rsidRPr="00B2025A" w:rsidRDefault="00AE1316" w:rsidP="00ED0837">
      <w:pPr>
        <w:pStyle w:val="Heading2"/>
      </w:pPr>
      <w:bookmarkStart w:id="93" w:name="_Toc159844560"/>
      <w:r w:rsidRPr="00F0793F">
        <w:rPr>
          <w:rStyle w:val="cf01"/>
          <w:rFonts w:ascii="Tahoma" w:hAnsi="Tahoma" w:cstheme="majorBidi"/>
          <w:sz w:val="26"/>
          <w:szCs w:val="26"/>
        </w:rPr>
        <w:t xml:space="preserve">Average wholesale prices are up but daytime prices are </w:t>
      </w:r>
      <w:proofErr w:type="gramStart"/>
      <w:r w:rsidRPr="00F0793F">
        <w:rPr>
          <w:rStyle w:val="cf01"/>
          <w:rFonts w:ascii="Tahoma" w:hAnsi="Tahoma" w:cstheme="majorBidi"/>
          <w:sz w:val="26"/>
          <w:szCs w:val="26"/>
        </w:rPr>
        <w:t>down</w:t>
      </w:r>
      <w:bookmarkEnd w:id="93"/>
      <w:proofErr w:type="gramEnd"/>
    </w:p>
    <w:p w14:paraId="7186E427" w14:textId="70A8705B" w:rsidR="00F61A28" w:rsidRDefault="00E81EEE" w:rsidP="00E81EEE">
      <w:r>
        <w:t xml:space="preserve">Other customers expressed their frustration that the minimum feed-in tariff is declining while </w:t>
      </w:r>
      <w:r w:rsidR="00F61A28">
        <w:t xml:space="preserve">retail rates are increasing: </w:t>
      </w:r>
    </w:p>
    <w:p w14:paraId="4DAE2BB4" w14:textId="3ADFE82D" w:rsidR="003E6514" w:rsidRPr="003E6514" w:rsidRDefault="00F61A28" w:rsidP="00A67795">
      <w:pPr>
        <w:pStyle w:val="Quote"/>
      </w:pPr>
      <w:r w:rsidRPr="00F61A28">
        <w:t>Maintain the current or significantly increase the proposed feed-in tariff to cover significant increases in residential power prices, as the excess used helps to cover the massive price increases residential customers continue to suffer through year on year.</w:t>
      </w:r>
      <w:r>
        <w:rPr>
          <w:rStyle w:val="FootnoteReference"/>
        </w:rPr>
        <w:footnoteReference w:id="28"/>
      </w:r>
    </w:p>
    <w:p w14:paraId="284CFFD9" w14:textId="795BF675" w:rsidR="00BE7B3F" w:rsidRDefault="00C563CD" w:rsidP="00C563CD">
      <w:pPr>
        <w:rPr>
          <w:rFonts w:ascii="Arial" w:eastAsia="Arial" w:hAnsi="Arial" w:cs="Arial"/>
        </w:rPr>
      </w:pPr>
      <w:r w:rsidRPr="008721BA">
        <w:rPr>
          <w:rFonts w:ascii="Arial" w:eastAsia="Arial" w:hAnsi="Arial" w:cs="Arial"/>
        </w:rPr>
        <w:t xml:space="preserve">We acknowledge that </w:t>
      </w:r>
      <w:r w:rsidR="00011503">
        <w:rPr>
          <w:rFonts w:ascii="Arial" w:eastAsia="Arial" w:hAnsi="Arial" w:cs="Arial"/>
        </w:rPr>
        <w:t>retail electricity prices</w:t>
      </w:r>
      <w:r w:rsidRPr="008721BA">
        <w:rPr>
          <w:rFonts w:ascii="Arial" w:eastAsia="Arial" w:hAnsi="Arial" w:cs="Arial"/>
        </w:rPr>
        <w:t xml:space="preserve"> have increased recently</w:t>
      </w:r>
      <w:r w:rsidR="002D144C">
        <w:rPr>
          <w:rFonts w:ascii="Arial" w:eastAsia="Arial" w:hAnsi="Arial" w:cs="Arial"/>
        </w:rPr>
        <w:t>.</w:t>
      </w:r>
      <w:r>
        <w:rPr>
          <w:rFonts w:ascii="Arial" w:eastAsia="Arial" w:hAnsi="Arial" w:cs="Arial"/>
        </w:rPr>
        <w:t xml:space="preserve"> </w:t>
      </w:r>
      <w:r w:rsidR="002D144C">
        <w:rPr>
          <w:rFonts w:ascii="Arial" w:eastAsia="Arial" w:hAnsi="Arial" w:cs="Arial"/>
        </w:rPr>
        <w:t>H</w:t>
      </w:r>
      <w:r w:rsidRPr="008721BA">
        <w:rPr>
          <w:rFonts w:ascii="Arial" w:eastAsia="Arial" w:hAnsi="Arial" w:cs="Arial"/>
        </w:rPr>
        <w:t xml:space="preserve">owever, </w:t>
      </w:r>
      <w:r>
        <w:rPr>
          <w:rFonts w:ascii="Arial" w:eastAsia="Arial" w:hAnsi="Arial" w:cs="Arial"/>
        </w:rPr>
        <w:t xml:space="preserve">the </w:t>
      </w:r>
      <w:r w:rsidRPr="008721BA">
        <w:rPr>
          <w:rFonts w:ascii="Arial" w:eastAsia="Arial" w:hAnsi="Arial" w:cs="Arial"/>
        </w:rPr>
        <w:t xml:space="preserve">increased </w:t>
      </w:r>
      <w:r>
        <w:rPr>
          <w:rFonts w:ascii="Arial" w:eastAsia="Arial" w:hAnsi="Arial" w:cs="Arial"/>
        </w:rPr>
        <w:t xml:space="preserve">availability of </w:t>
      </w:r>
      <w:r w:rsidRPr="008721BA">
        <w:rPr>
          <w:rFonts w:ascii="Arial" w:eastAsia="Arial" w:hAnsi="Arial" w:cs="Arial"/>
        </w:rPr>
        <w:t xml:space="preserve">solar </w:t>
      </w:r>
      <w:r>
        <w:rPr>
          <w:rFonts w:ascii="Arial" w:eastAsia="Arial" w:hAnsi="Arial" w:cs="Arial"/>
        </w:rPr>
        <w:t xml:space="preserve">energy </w:t>
      </w:r>
      <w:r w:rsidRPr="008721BA">
        <w:rPr>
          <w:rFonts w:ascii="Arial" w:eastAsia="Arial" w:hAnsi="Arial" w:cs="Arial"/>
        </w:rPr>
        <w:t xml:space="preserve">has decreased demand </w:t>
      </w:r>
      <w:r>
        <w:rPr>
          <w:rFonts w:ascii="Arial" w:eastAsia="Arial" w:hAnsi="Arial" w:cs="Arial"/>
        </w:rPr>
        <w:t xml:space="preserve">for </w:t>
      </w:r>
      <w:r w:rsidRPr="008721BA">
        <w:rPr>
          <w:rFonts w:ascii="Arial" w:eastAsia="Arial" w:hAnsi="Arial" w:cs="Arial"/>
        </w:rPr>
        <w:t>and increased</w:t>
      </w:r>
      <w:r>
        <w:rPr>
          <w:rFonts w:ascii="Arial" w:eastAsia="Arial" w:hAnsi="Arial" w:cs="Arial"/>
        </w:rPr>
        <w:t xml:space="preserve"> the</w:t>
      </w:r>
      <w:r w:rsidRPr="008721BA">
        <w:rPr>
          <w:rFonts w:ascii="Arial" w:eastAsia="Arial" w:hAnsi="Arial" w:cs="Arial"/>
        </w:rPr>
        <w:t xml:space="preserve"> supply of electricity during daylight hours</w:t>
      </w:r>
      <w:r w:rsidR="003C570F">
        <w:rPr>
          <w:rFonts w:ascii="Arial" w:eastAsia="Arial" w:hAnsi="Arial" w:cs="Arial"/>
        </w:rPr>
        <w:t xml:space="preserve"> which has led to lower </w:t>
      </w:r>
      <w:r w:rsidR="00243BF6">
        <w:rPr>
          <w:rFonts w:ascii="Arial" w:eastAsia="Arial" w:hAnsi="Arial" w:cs="Arial"/>
        </w:rPr>
        <w:t xml:space="preserve">wholesale </w:t>
      </w:r>
      <w:r w:rsidR="003C570F">
        <w:rPr>
          <w:rFonts w:ascii="Arial" w:eastAsia="Arial" w:hAnsi="Arial" w:cs="Arial"/>
        </w:rPr>
        <w:t>prices</w:t>
      </w:r>
      <w:r w:rsidR="003E30D5">
        <w:rPr>
          <w:rFonts w:ascii="Arial" w:eastAsia="Arial" w:hAnsi="Arial" w:cs="Arial"/>
        </w:rPr>
        <w:t xml:space="preserve"> when solar panels are exporting</w:t>
      </w:r>
      <w:r w:rsidRPr="008721BA">
        <w:rPr>
          <w:rFonts w:ascii="Arial" w:eastAsia="Arial" w:hAnsi="Arial" w:cs="Arial"/>
        </w:rPr>
        <w:t>.</w:t>
      </w:r>
      <w:r>
        <w:rPr>
          <w:rFonts w:ascii="Arial" w:eastAsia="Arial" w:hAnsi="Arial" w:cs="Arial"/>
        </w:rPr>
        <w:t xml:space="preserve"> </w:t>
      </w:r>
    </w:p>
    <w:p w14:paraId="057BBB50" w14:textId="63E7A765" w:rsidR="00497D0A" w:rsidRDefault="00C40D35" w:rsidP="00C563CD">
      <w:pPr>
        <w:rPr>
          <w:rFonts w:ascii="Arial" w:eastAsia="Arial" w:hAnsi="Arial" w:cs="Arial"/>
        </w:rPr>
      </w:pPr>
      <w:r>
        <w:rPr>
          <w:rFonts w:ascii="Arial" w:eastAsia="Arial" w:hAnsi="Arial" w:cs="Arial"/>
        </w:rPr>
        <w:t>In contrast,</w:t>
      </w:r>
      <w:r w:rsidR="0001037A">
        <w:rPr>
          <w:rFonts w:ascii="Arial" w:eastAsia="Arial" w:hAnsi="Arial" w:cs="Arial"/>
        </w:rPr>
        <w:t xml:space="preserve"> wholesale prices are much higher </w:t>
      </w:r>
      <w:r w:rsidR="002D144C">
        <w:rPr>
          <w:rFonts w:ascii="Arial" w:eastAsia="Arial" w:hAnsi="Arial" w:cs="Arial"/>
        </w:rPr>
        <w:t xml:space="preserve">in the </w:t>
      </w:r>
      <w:r w:rsidR="0001037A">
        <w:rPr>
          <w:rFonts w:ascii="Arial" w:eastAsia="Arial" w:hAnsi="Arial" w:cs="Arial"/>
        </w:rPr>
        <w:t xml:space="preserve">early morning, and from early evening </w:t>
      </w:r>
      <w:r w:rsidR="00281713">
        <w:rPr>
          <w:rFonts w:ascii="Arial" w:eastAsia="Arial" w:hAnsi="Arial" w:cs="Arial"/>
        </w:rPr>
        <w:t>into</w:t>
      </w:r>
      <w:r w:rsidR="0001037A">
        <w:rPr>
          <w:rFonts w:ascii="Arial" w:eastAsia="Arial" w:hAnsi="Arial" w:cs="Arial"/>
        </w:rPr>
        <w:t xml:space="preserve"> the night. </w:t>
      </w:r>
      <w:r w:rsidR="00194BE9">
        <w:rPr>
          <w:rFonts w:ascii="Arial" w:eastAsia="Arial" w:hAnsi="Arial" w:cs="Arial"/>
        </w:rPr>
        <w:t xml:space="preserve">But solar exports are very low at those times. </w:t>
      </w:r>
      <w:r w:rsidR="00497D0A">
        <w:rPr>
          <w:rFonts w:ascii="Arial" w:eastAsia="Arial" w:hAnsi="Arial" w:cs="Arial"/>
        </w:rPr>
        <w:t>Because of this, overall average wholesale prices have increased while daytime prices have declined.</w:t>
      </w:r>
    </w:p>
    <w:p w14:paraId="7F317315" w14:textId="0B714077" w:rsidR="000E51FE" w:rsidRDefault="000E51FE" w:rsidP="00C563CD">
      <w:pPr>
        <w:rPr>
          <w:rFonts w:ascii="Arial" w:eastAsia="Arial" w:hAnsi="Arial" w:cs="Arial"/>
        </w:rPr>
      </w:pPr>
      <w:r>
        <w:rPr>
          <w:rFonts w:ascii="Arial" w:eastAsia="Arial" w:hAnsi="Arial" w:cs="Arial"/>
        </w:rPr>
        <w:t xml:space="preserve">Retailers must buy electricity </w:t>
      </w:r>
      <w:r w:rsidR="00257904">
        <w:rPr>
          <w:rFonts w:ascii="Arial" w:eastAsia="Arial" w:hAnsi="Arial" w:cs="Arial"/>
        </w:rPr>
        <w:t>across all hours of the day. Not just during day</w:t>
      </w:r>
      <w:r w:rsidR="0035595B">
        <w:rPr>
          <w:rFonts w:ascii="Arial" w:eastAsia="Arial" w:hAnsi="Arial" w:cs="Arial"/>
        </w:rPr>
        <w:t>light hours</w:t>
      </w:r>
      <w:r w:rsidR="00257904">
        <w:rPr>
          <w:rFonts w:ascii="Arial" w:eastAsia="Arial" w:hAnsi="Arial" w:cs="Arial"/>
        </w:rPr>
        <w:t xml:space="preserve"> when </w:t>
      </w:r>
      <w:r w:rsidR="00095AD1">
        <w:rPr>
          <w:rFonts w:ascii="Arial" w:eastAsia="Arial" w:hAnsi="Arial" w:cs="Arial"/>
        </w:rPr>
        <w:t xml:space="preserve">solar panels are generating and </w:t>
      </w:r>
      <w:r w:rsidR="00257904">
        <w:rPr>
          <w:rFonts w:ascii="Arial" w:eastAsia="Arial" w:hAnsi="Arial" w:cs="Arial"/>
        </w:rPr>
        <w:t xml:space="preserve">wholesale electricity prices are </w:t>
      </w:r>
      <w:r w:rsidR="00C546AE">
        <w:rPr>
          <w:rFonts w:ascii="Arial" w:eastAsia="Arial" w:hAnsi="Arial" w:cs="Arial"/>
        </w:rPr>
        <w:t>falling</w:t>
      </w:r>
      <w:r w:rsidR="00257904">
        <w:rPr>
          <w:rFonts w:ascii="Arial" w:eastAsia="Arial" w:hAnsi="Arial" w:cs="Arial"/>
        </w:rPr>
        <w:t xml:space="preserve">. </w:t>
      </w:r>
      <w:r w:rsidR="00405801">
        <w:rPr>
          <w:rFonts w:ascii="Arial" w:eastAsia="Arial" w:hAnsi="Arial" w:cs="Arial"/>
        </w:rPr>
        <w:t xml:space="preserve">Because retailers must also buy wholesale </w:t>
      </w:r>
      <w:r w:rsidR="00381FD6">
        <w:rPr>
          <w:rFonts w:ascii="Arial" w:eastAsia="Arial" w:hAnsi="Arial" w:cs="Arial"/>
        </w:rPr>
        <w:t>electricity</w:t>
      </w:r>
      <w:r w:rsidR="00405801">
        <w:rPr>
          <w:rFonts w:ascii="Arial" w:eastAsia="Arial" w:hAnsi="Arial" w:cs="Arial"/>
        </w:rPr>
        <w:t xml:space="preserve"> during the evening (wh</w:t>
      </w:r>
      <w:r w:rsidR="00EA757D">
        <w:rPr>
          <w:rFonts w:ascii="Arial" w:eastAsia="Arial" w:hAnsi="Arial" w:cs="Arial"/>
        </w:rPr>
        <w:t>ich is the time at which</w:t>
      </w:r>
      <w:r w:rsidR="00405801">
        <w:rPr>
          <w:rFonts w:ascii="Arial" w:eastAsia="Arial" w:hAnsi="Arial" w:cs="Arial"/>
        </w:rPr>
        <w:t xml:space="preserve"> wholesale electricity prices </w:t>
      </w:r>
      <w:r w:rsidR="00A17F38">
        <w:rPr>
          <w:rFonts w:ascii="Arial" w:eastAsia="Arial" w:hAnsi="Arial" w:cs="Arial"/>
        </w:rPr>
        <w:t>are at their highest</w:t>
      </w:r>
      <w:r w:rsidR="00EA757D">
        <w:rPr>
          <w:rFonts w:ascii="Arial" w:eastAsia="Arial" w:hAnsi="Arial" w:cs="Arial"/>
        </w:rPr>
        <w:t>) retail prices have increased</w:t>
      </w:r>
      <w:r w:rsidR="00C546AE">
        <w:rPr>
          <w:rFonts w:ascii="Arial" w:eastAsia="Arial" w:hAnsi="Arial" w:cs="Arial"/>
        </w:rPr>
        <w:t>.</w:t>
      </w:r>
      <w:r w:rsidR="005A3D98">
        <w:rPr>
          <w:rFonts w:ascii="Arial" w:eastAsia="Arial" w:hAnsi="Arial" w:cs="Arial"/>
        </w:rPr>
        <w:t xml:space="preserve"> </w:t>
      </w:r>
    </w:p>
    <w:p w14:paraId="45BF1B89" w14:textId="0C94087D" w:rsidR="005A3D98" w:rsidRDefault="00A17F38" w:rsidP="00C563CD">
      <w:pPr>
        <w:rPr>
          <w:rFonts w:ascii="Arial" w:eastAsia="Arial" w:hAnsi="Arial" w:cs="Arial"/>
        </w:rPr>
      </w:pPr>
      <w:r>
        <w:rPr>
          <w:rFonts w:ascii="Arial" w:eastAsia="Arial" w:hAnsi="Arial" w:cs="Arial"/>
        </w:rPr>
        <w:t>While solar customers do not receive retail rates for their exports, they</w:t>
      </w:r>
      <w:r w:rsidR="005A3D98">
        <w:rPr>
          <w:rFonts w:ascii="Arial" w:eastAsia="Arial" w:hAnsi="Arial" w:cs="Arial"/>
        </w:rPr>
        <w:t xml:space="preserve"> </w:t>
      </w:r>
      <w:r w:rsidR="00F05A25">
        <w:rPr>
          <w:rFonts w:ascii="Arial" w:eastAsia="Arial" w:hAnsi="Arial" w:cs="Arial"/>
        </w:rPr>
        <w:t xml:space="preserve">can </w:t>
      </w:r>
      <w:r w:rsidR="00E115D2">
        <w:rPr>
          <w:rFonts w:ascii="Arial" w:eastAsia="Arial" w:hAnsi="Arial" w:cs="Arial"/>
        </w:rPr>
        <w:t xml:space="preserve">avoid retail costs by consuming the energy they </w:t>
      </w:r>
      <w:r w:rsidR="009D313E">
        <w:rPr>
          <w:rFonts w:ascii="Arial" w:eastAsia="Arial" w:hAnsi="Arial" w:cs="Arial"/>
        </w:rPr>
        <w:t xml:space="preserve">produce. </w:t>
      </w:r>
      <w:r w:rsidR="00FC45B1">
        <w:rPr>
          <w:rFonts w:ascii="Arial" w:eastAsia="Arial" w:hAnsi="Arial" w:cs="Arial"/>
        </w:rPr>
        <w:t>The more of their own energy they use, the greater the return on their solar system will be.</w:t>
      </w:r>
    </w:p>
    <w:p w14:paraId="09CA52E2" w14:textId="23844298" w:rsidR="00B556D0" w:rsidRPr="00BC389E" w:rsidRDefault="001B4215" w:rsidP="00B556D0">
      <w:pPr>
        <w:pStyle w:val="Heading2"/>
      </w:pPr>
      <w:bookmarkStart w:id="94" w:name="_Toc159844561"/>
      <w:bookmarkStart w:id="95" w:name="_Toc128143737"/>
      <w:r>
        <w:t>Promoting</w:t>
      </w:r>
      <w:r w:rsidR="00B556D0">
        <w:t xml:space="preserve"> the interests of all customers</w:t>
      </w:r>
      <w:bookmarkEnd w:id="94"/>
    </w:p>
    <w:p w14:paraId="31DA5642" w14:textId="77777777" w:rsidR="00B556D0" w:rsidRDefault="00B556D0" w:rsidP="00B556D0">
      <w:r>
        <w:t>Some solar customers felt that our proposed feed-in tariffs were unfair and favoured industry. For example, one solar customer wrote:</w:t>
      </w:r>
    </w:p>
    <w:p w14:paraId="202BF79F" w14:textId="39668136" w:rsidR="00B556D0" w:rsidRDefault="00B556D0" w:rsidP="00B556D0">
      <w:pPr>
        <w:pStyle w:val="Quote"/>
      </w:pPr>
      <w:r w:rsidRPr="00F44C65">
        <w:lastRenderedPageBreak/>
        <w:t xml:space="preserve">How can it be end-users pay more to buy power than </w:t>
      </w:r>
      <w:r>
        <w:t xml:space="preserve">they </w:t>
      </w:r>
      <w:r w:rsidRPr="00F44C65">
        <w:t>can sell it</w:t>
      </w:r>
      <w:r>
        <w:t xml:space="preserve"> for</w:t>
      </w:r>
      <w:r w:rsidRPr="00F44C65">
        <w:t xml:space="preserve">? </w:t>
      </w:r>
      <w:r>
        <w:t>There is</w:t>
      </w:r>
      <w:r w:rsidRPr="00F44C65">
        <w:t xml:space="preserve"> a huge disparity, and </w:t>
      </w:r>
      <w:r>
        <w:t xml:space="preserve">it </w:t>
      </w:r>
      <w:r w:rsidRPr="00F44C65">
        <w:t>reduces the benefits. Seems like utility companies can pocket the profit from end</w:t>
      </w:r>
      <w:r>
        <w:t>-</w:t>
      </w:r>
      <w:r w:rsidRPr="00F44C65">
        <w:t>users’ investment.</w:t>
      </w:r>
      <w:r w:rsidR="003D4C24">
        <w:rPr>
          <w:rStyle w:val="FootnoteReference"/>
        </w:rPr>
        <w:footnoteReference w:id="29"/>
      </w:r>
    </w:p>
    <w:p w14:paraId="51C759D7" w14:textId="5B6A98B0" w:rsidR="00B556D0" w:rsidRDefault="00B556D0" w:rsidP="00B556D0">
      <w:r>
        <w:t xml:space="preserve">The minimum feed-in tariffs for 2024–25 give solar customers a payment that reflects the value of their exports without non-solar customers paying too much for electricity. As discussed on </w:t>
      </w:r>
      <w:r w:rsidRPr="00207556">
        <w:t xml:space="preserve">page </w:t>
      </w:r>
      <w:r w:rsidR="00207556" w:rsidRPr="00207556">
        <w:t>9</w:t>
      </w:r>
      <w:r>
        <w:t xml:space="preserve"> in the Summary, solar customers are electricity generators when they export energy. </w:t>
      </w:r>
    </w:p>
    <w:p w14:paraId="67CE6718" w14:textId="77777777" w:rsidR="00B556D0" w:rsidRDefault="00B556D0" w:rsidP="00B556D0">
      <w:r>
        <w:t>Solar customers may not see themselves as part of the wholesale market, especially as they purchase the electricity at retail prices. However, when solar customers are exporting energy, they are providing a wholesale service like other generators. This is just a part of retailers’ total costs.</w:t>
      </w:r>
    </w:p>
    <w:p w14:paraId="7455E353" w14:textId="2C1D6DAE" w:rsidR="00B556D0" w:rsidRDefault="00B556D0" w:rsidP="00B556D0">
      <w:r>
        <w:t xml:space="preserve">As explained in the Summary, retailers have additional costs they must cover. These costs and the fact that most solar exports occur at a time when the wholesale price is </w:t>
      </w:r>
      <w:r w:rsidR="00A103D7">
        <w:t xml:space="preserve">lowest </w:t>
      </w:r>
      <w:r>
        <w:t xml:space="preserve">means that the minimum feed-in tariffs are much lower than the retail prices. </w:t>
      </w:r>
    </w:p>
    <w:p w14:paraId="7E356E7E" w14:textId="3E727F65" w:rsidR="00AA7AAB" w:rsidRDefault="00B556D0" w:rsidP="00B556D0">
      <w:r>
        <w:t xml:space="preserve">The feed-in tariffs reflect how much solar customers’ energy is worth in the energy market at the time they export it. </w:t>
      </w:r>
      <w:r w:rsidR="00481D6F">
        <w:t xml:space="preserve">Under </w:t>
      </w:r>
      <w:r w:rsidR="00FA29A0">
        <w:t>t</w:t>
      </w:r>
      <w:r w:rsidR="005C629B">
        <w:t>he</w:t>
      </w:r>
      <w:r>
        <w:t xml:space="preserve"> Electricity Industry Act</w:t>
      </w:r>
      <w:r w:rsidR="005C629B">
        <w:t xml:space="preserve"> </w:t>
      </w:r>
      <w:r w:rsidR="003506F6">
        <w:t>we must have regard to</w:t>
      </w:r>
      <w:r>
        <w:t xml:space="preserve"> </w:t>
      </w:r>
      <w:proofErr w:type="gramStart"/>
      <w:r w:rsidR="00C6414B">
        <w:t>a number of</w:t>
      </w:r>
      <w:proofErr w:type="gramEnd"/>
      <w:r w:rsidR="00C6414B">
        <w:t xml:space="preserve"> </w:t>
      </w:r>
      <w:r>
        <w:t xml:space="preserve">the costs retailers avoid when they </w:t>
      </w:r>
      <w:r w:rsidR="00CA6E10">
        <w:t>buy</w:t>
      </w:r>
      <w:r>
        <w:t xml:space="preserve"> electricity from solar customers </w:t>
      </w:r>
      <w:r w:rsidR="00F61AFA">
        <w:t>(</w:t>
      </w:r>
      <w:r w:rsidR="000C42FD">
        <w:t xml:space="preserve">instead of buying it from </w:t>
      </w:r>
      <w:r>
        <w:t>the National Electricity Market</w:t>
      </w:r>
      <w:r w:rsidR="00F61AFA">
        <w:t xml:space="preserve">) </w:t>
      </w:r>
      <w:r>
        <w:t>plus the environmental and health benefits.</w:t>
      </w:r>
      <w:r w:rsidR="00462CEB">
        <w:t xml:space="preserve"> </w:t>
      </w:r>
    </w:p>
    <w:p w14:paraId="530A5543" w14:textId="5D7475ED" w:rsidR="005D76AB" w:rsidRDefault="006C38DB" w:rsidP="00B556D0">
      <w:r>
        <w:t xml:space="preserve">While </w:t>
      </w:r>
      <w:r w:rsidR="00202075">
        <w:t xml:space="preserve">solar </w:t>
      </w:r>
      <w:r>
        <w:t>customers receive</w:t>
      </w:r>
      <w:r w:rsidR="00291E43">
        <w:t xml:space="preserve"> an income stream</w:t>
      </w:r>
      <w:r>
        <w:t xml:space="preserve"> from </w:t>
      </w:r>
      <w:r w:rsidR="00D757C9">
        <w:t xml:space="preserve">feed-in tariffs, </w:t>
      </w:r>
      <w:r w:rsidR="004A245D">
        <w:t xml:space="preserve">they </w:t>
      </w:r>
      <w:r w:rsidR="00F73E1B">
        <w:t>should not</w:t>
      </w:r>
      <w:r w:rsidR="00AA7AAB">
        <w:t xml:space="preserve"> rely on exports to </w:t>
      </w:r>
      <w:r w:rsidR="00840A2C">
        <w:t xml:space="preserve">repay their investment. The </w:t>
      </w:r>
      <w:r w:rsidR="001E357E">
        <w:t>main</w:t>
      </w:r>
      <w:r w:rsidR="002A58AA">
        <w:t xml:space="preserve"> </w:t>
      </w:r>
      <w:r w:rsidR="003A4178">
        <w:t xml:space="preserve">financial </w:t>
      </w:r>
      <w:r w:rsidR="002A58AA">
        <w:t xml:space="preserve">benefit </w:t>
      </w:r>
      <w:r w:rsidR="00402FDA">
        <w:t xml:space="preserve">of </w:t>
      </w:r>
      <w:r w:rsidR="001E357E">
        <w:t xml:space="preserve">installing </w:t>
      </w:r>
      <w:r w:rsidR="00402FDA">
        <w:t>a solar system</w:t>
      </w:r>
      <w:r w:rsidR="001E357E">
        <w:t xml:space="preserve"> is </w:t>
      </w:r>
      <w:r w:rsidR="00DA4664">
        <w:t>being able to buy less electricity from the grid</w:t>
      </w:r>
      <w:r w:rsidR="00EA66F0">
        <w:t>.</w:t>
      </w:r>
    </w:p>
    <w:p w14:paraId="38944254" w14:textId="67686B31" w:rsidR="00375C35" w:rsidRDefault="00375C35" w:rsidP="00B556D0">
      <w:r>
        <w:t>Solar customers can avoid paying retail prices through consuming their own energy, which non-solar customers cannot. Many electricity customers cannot install solar panels. Maybe they live in an apartment or an embedded network. Maybe they cannot afford them. Or maybe they are renting, and the property owner is unwilling or unable to install them.</w:t>
      </w:r>
      <w:r w:rsidR="00AB1DED">
        <w:t xml:space="preserve"> We must also consider these consumers in making our decisions.</w:t>
      </w:r>
    </w:p>
    <w:p w14:paraId="71C069A1" w14:textId="77777777" w:rsidR="00FE6726" w:rsidRDefault="00FE6726" w:rsidP="00FE6726">
      <w:pPr>
        <w:pStyle w:val="Heading2"/>
      </w:pPr>
      <w:bookmarkStart w:id="96" w:name="_Toc159844562"/>
      <w:r>
        <w:t xml:space="preserve">Legislation places limits on how we can set the minimum feed-in </w:t>
      </w:r>
      <w:proofErr w:type="gramStart"/>
      <w:r>
        <w:t>tariffs</w:t>
      </w:r>
      <w:bookmarkEnd w:id="95"/>
      <w:bookmarkEnd w:id="96"/>
      <w:proofErr w:type="gramEnd"/>
    </w:p>
    <w:p w14:paraId="78E509FA" w14:textId="2D4285FE" w:rsidR="006358FC" w:rsidRDefault="00141788" w:rsidP="00581670">
      <w:r>
        <w:t xml:space="preserve">Some submissions argued the minimum feed-in tariffs should be closer to the retail </w:t>
      </w:r>
      <w:r w:rsidR="00312C0C">
        <w:t xml:space="preserve">electricity </w:t>
      </w:r>
      <w:r>
        <w:t xml:space="preserve">price: </w:t>
      </w:r>
    </w:p>
    <w:p w14:paraId="2C608C6A" w14:textId="6431885E" w:rsidR="00141788" w:rsidRDefault="00141788" w:rsidP="008443B1">
      <w:pPr>
        <w:pStyle w:val="Quote"/>
      </w:pPr>
      <w:r w:rsidRPr="00141788">
        <w:lastRenderedPageBreak/>
        <w:t xml:space="preserve">Implement a new methodology with the guiding principle that the </w:t>
      </w:r>
      <w:r w:rsidR="00A43EF4">
        <w:t>feed-in tariff</w:t>
      </w:r>
      <w:r w:rsidRPr="00141788">
        <w:t xml:space="preserve"> should be same as the retail rate or as close to it as possible.</w:t>
      </w:r>
      <w:r w:rsidR="00F5166B">
        <w:rPr>
          <w:rStyle w:val="FootnoteReference"/>
        </w:rPr>
        <w:footnoteReference w:id="30"/>
      </w:r>
    </w:p>
    <w:p w14:paraId="58887316" w14:textId="7750FC1E" w:rsidR="00581670" w:rsidRDefault="00AE5742" w:rsidP="00581670">
      <w:r>
        <w:t>O</w:t>
      </w:r>
      <w:r w:rsidR="00CD4815">
        <w:t xml:space="preserve">ther customers </w:t>
      </w:r>
      <w:r w:rsidR="0016296D">
        <w:t>proposed we should adopt a methodology based on retail tariffs:</w:t>
      </w:r>
    </w:p>
    <w:p w14:paraId="44E73989" w14:textId="4F005D5F" w:rsidR="00581670" w:rsidRDefault="004C0D7D" w:rsidP="004C0D7D">
      <w:pPr>
        <w:pStyle w:val="Quote"/>
      </w:pPr>
      <w:r w:rsidRPr="004C0D7D">
        <w:t>Feed-in tariff should be a percentage of the kilowatt charge. That way if your prediction that charges will drop is wrong and charges rise so will the feed -in tariff. Feed-in tariff maintains parity. A percentage rate of 25% would be appropriate.</w:t>
      </w:r>
      <w:r w:rsidR="008B0FE4">
        <w:rPr>
          <w:rStyle w:val="FootnoteReference"/>
        </w:rPr>
        <w:footnoteReference w:id="31"/>
      </w:r>
    </w:p>
    <w:p w14:paraId="40B0823E" w14:textId="248427DA" w:rsidR="00175FA9" w:rsidRPr="00175FA9" w:rsidRDefault="00D70E69" w:rsidP="00CB4117">
      <w:r>
        <w:t>L</w:t>
      </w:r>
      <w:r w:rsidR="00175FA9">
        <w:t xml:space="preserve">egislation </w:t>
      </w:r>
      <w:r>
        <w:t>sets out</w:t>
      </w:r>
      <w:r w:rsidR="00175FA9">
        <w:t xml:space="preserve"> the </w:t>
      </w:r>
      <w:r w:rsidR="0039781E">
        <w:t>factors we must consider</w:t>
      </w:r>
      <w:r>
        <w:t xml:space="preserve"> in setting the minimum feed-in tariffs</w:t>
      </w:r>
      <w:r w:rsidR="00DA0913">
        <w:t xml:space="preserve">. </w:t>
      </w:r>
      <w:r w:rsidR="00CB4117">
        <w:t>T</w:t>
      </w:r>
      <w:r w:rsidR="00175FA9">
        <w:t xml:space="preserve">he Electricity Industry Act requires that we have regard to </w:t>
      </w:r>
      <w:r w:rsidR="00C77BC9">
        <w:t xml:space="preserve">a specific list of </w:t>
      </w:r>
      <w:r w:rsidR="004C0190">
        <w:t xml:space="preserve">factors that includes </w:t>
      </w:r>
      <w:r w:rsidR="00175FA9">
        <w:t>wholesale prices</w:t>
      </w:r>
      <w:r w:rsidR="00E922A5">
        <w:t>:</w:t>
      </w:r>
      <w:r w:rsidR="00175FA9">
        <w:t xml:space="preserve"> </w:t>
      </w:r>
      <w:r w:rsidR="004C0190">
        <w:t>not</w:t>
      </w:r>
      <w:r w:rsidR="00175FA9">
        <w:t xml:space="preserve"> retail prices.</w:t>
      </w:r>
      <w:r w:rsidR="00175FA9">
        <w:rPr>
          <w:rStyle w:val="FootnoteReference"/>
        </w:rPr>
        <w:footnoteReference w:id="32"/>
      </w:r>
      <w:r w:rsidR="00175FA9">
        <w:t xml:space="preserve"> </w:t>
      </w:r>
    </w:p>
    <w:p w14:paraId="03B34EE4" w14:textId="207642B1" w:rsidR="0087399B" w:rsidRDefault="0039781E" w:rsidP="009B381F">
      <w:r>
        <w:t>Also</w:t>
      </w:r>
      <w:r w:rsidR="000179C2">
        <w:t>,</w:t>
      </w:r>
      <w:r w:rsidR="00B556D0">
        <w:t xml:space="preserve"> </w:t>
      </w:r>
      <w:r w:rsidR="00AB4944">
        <w:t xml:space="preserve">as </w:t>
      </w:r>
      <w:r w:rsidR="00B556D0">
        <w:t>explained above,</w:t>
      </w:r>
      <w:r>
        <w:t xml:space="preserve"> </w:t>
      </w:r>
      <w:r w:rsidR="00FF6578">
        <w:t xml:space="preserve">the </w:t>
      </w:r>
      <w:r w:rsidR="00AB70AB">
        <w:t xml:space="preserve">economic value of </w:t>
      </w:r>
      <w:r w:rsidR="00D97B16">
        <w:t>solar exports</w:t>
      </w:r>
      <w:r w:rsidR="00FF6578">
        <w:t xml:space="preserve"> and the </w:t>
      </w:r>
      <w:r w:rsidR="00795A99">
        <w:t xml:space="preserve">retail </w:t>
      </w:r>
      <w:r w:rsidR="00B21E6D">
        <w:t xml:space="preserve">cost of electricity </w:t>
      </w:r>
      <w:r w:rsidR="002D4455">
        <w:t>are</w:t>
      </w:r>
      <w:r w:rsidR="00B21E6D">
        <w:t xml:space="preserve"> driven by different things</w:t>
      </w:r>
      <w:r w:rsidR="00795A99">
        <w:t xml:space="preserve">. </w:t>
      </w:r>
      <w:r w:rsidR="00D8420E">
        <w:t xml:space="preserve">Therefore, setting the minimum feed-in tariff as a </w:t>
      </w:r>
      <w:r w:rsidR="00D43F27">
        <w:t xml:space="preserve">set percentage of the retail tariff </w:t>
      </w:r>
      <w:r w:rsidR="008A3406">
        <w:t>would be less reflective of the value of solar exports than the</w:t>
      </w:r>
      <w:r w:rsidR="00AB4944">
        <w:t xml:space="preserve"> approach we are required to use under legislation.</w:t>
      </w:r>
      <w:r w:rsidR="00D43F27">
        <w:t xml:space="preserve"> </w:t>
      </w:r>
    </w:p>
    <w:p w14:paraId="3934811D" w14:textId="4CB399D3" w:rsidR="00A04B34" w:rsidRPr="0039746A" w:rsidRDefault="0056671C" w:rsidP="007874B2">
      <w:pPr>
        <w:pStyle w:val="Heading2"/>
      </w:pPr>
      <w:bookmarkStart w:id="97" w:name="_Toc159844563"/>
      <w:r>
        <w:t>Cu</w:t>
      </w:r>
      <w:r w:rsidR="00B32C18">
        <w:t>stomers</w:t>
      </w:r>
      <w:r w:rsidR="00A04B34">
        <w:t xml:space="preserve"> </w:t>
      </w:r>
      <w:r w:rsidR="00B32C18">
        <w:t xml:space="preserve">can still make significant savings on their electricity </w:t>
      </w:r>
      <w:proofErr w:type="gramStart"/>
      <w:r w:rsidR="00A716F0">
        <w:t>bills</w:t>
      </w:r>
      <w:bookmarkEnd w:id="97"/>
      <w:proofErr w:type="gramEnd"/>
    </w:p>
    <w:p w14:paraId="6E546C17" w14:textId="2D086100" w:rsidR="000F3178" w:rsidRDefault="003374AE" w:rsidP="000F3178">
      <w:r>
        <w:t>Various</w:t>
      </w:r>
      <w:r w:rsidDel="003374AE">
        <w:t xml:space="preserve"> </w:t>
      </w:r>
      <w:r w:rsidR="000F3178">
        <w:t>submissions argue that our decision removes the value of household solar. One customer stated:</w:t>
      </w:r>
    </w:p>
    <w:p w14:paraId="37C3A305" w14:textId="6925761C" w:rsidR="000F3178" w:rsidRDefault="000F3178" w:rsidP="000F3178">
      <w:pPr>
        <w:pStyle w:val="Quote"/>
      </w:pPr>
      <w:r w:rsidRPr="003C559A">
        <w:t>We purchased them for many thousands of dollars it was worthwhile. Now uneconomic. Sad that we have all been led down the wrong garden path.</w:t>
      </w:r>
      <w:r>
        <w:rPr>
          <w:rStyle w:val="FootnoteReference"/>
        </w:rPr>
        <w:footnoteReference w:id="33"/>
      </w:r>
    </w:p>
    <w:p w14:paraId="366125D0" w14:textId="2C0F47C3" w:rsidR="007A7832" w:rsidRDefault="00D27B37" w:rsidP="00D27B37">
      <w:r>
        <w:t>The minimum feed-in tariffs reflect the value of solar exports. We acknowledge solar customers incur costs</w:t>
      </w:r>
      <w:r w:rsidR="005E1DA3">
        <w:t xml:space="preserve"> for the installation and maintenance of their systems</w:t>
      </w:r>
      <w:r>
        <w:t>.</w:t>
      </w:r>
      <w:r w:rsidR="007A7832">
        <w:t xml:space="preserve"> However, the minimum feed-in tariff is a payment to reflect the </w:t>
      </w:r>
      <w:r w:rsidR="00EF7E19">
        <w:t xml:space="preserve">economic </w:t>
      </w:r>
      <w:r w:rsidR="007A7832">
        <w:t>value of the energy that solar customers export</w:t>
      </w:r>
      <w:r w:rsidR="003C4391">
        <w:t>.</w:t>
      </w:r>
      <w:r w:rsidR="007A6A61">
        <w:t xml:space="preserve"> </w:t>
      </w:r>
      <w:r w:rsidR="00982F20">
        <w:t xml:space="preserve">It reflects the efficient price for solar exports. </w:t>
      </w:r>
      <w:r w:rsidR="005E1DA3">
        <w:t xml:space="preserve">It </w:t>
      </w:r>
      <w:r w:rsidR="00CC2F9F">
        <w:t>does not, and should</w:t>
      </w:r>
      <w:r w:rsidR="005E1DA3">
        <w:t xml:space="preserve"> </w:t>
      </w:r>
      <w:r w:rsidR="007A6A61">
        <w:t>not</w:t>
      </w:r>
      <w:r w:rsidR="00CC2F9F">
        <w:t xml:space="preserve">, </w:t>
      </w:r>
      <w:r w:rsidR="00C77F83">
        <w:t>aim to cover</w:t>
      </w:r>
      <w:r w:rsidR="007A6A61">
        <w:t xml:space="preserve"> </w:t>
      </w:r>
      <w:r w:rsidR="00C77F83">
        <w:t>solar customers’</w:t>
      </w:r>
      <w:r w:rsidR="007A6A61">
        <w:t xml:space="preserve"> </w:t>
      </w:r>
      <w:r w:rsidR="00943A12">
        <w:t>installation and maintenance costs</w:t>
      </w:r>
      <w:r w:rsidR="007A6A61">
        <w:t>.</w:t>
      </w:r>
    </w:p>
    <w:p w14:paraId="0A08387D" w14:textId="78A4DA6E" w:rsidR="00D27B37" w:rsidRDefault="00D27B37" w:rsidP="00D27B37">
      <w:r>
        <w:lastRenderedPageBreak/>
        <w:t xml:space="preserve">However, unlike traditional large-scale generators, solar customers can also benefit by using the energy they generate. </w:t>
      </w:r>
      <w:r w:rsidR="00B457F3">
        <w:t>Any</w:t>
      </w:r>
      <w:r w:rsidR="004E32B0">
        <w:t xml:space="preserve"> assessment of the economic viability of investing in a solar system </w:t>
      </w:r>
      <w:r w:rsidR="007415BB">
        <w:t xml:space="preserve">must account for </w:t>
      </w:r>
      <w:r w:rsidR="00373A3C">
        <w:t xml:space="preserve">bill savings from </w:t>
      </w:r>
      <w:r w:rsidR="007415BB">
        <w:t xml:space="preserve">self-consumption as well as revenue from </w:t>
      </w:r>
      <w:r w:rsidR="00373A3C">
        <w:t>feed-in tariffs.</w:t>
      </w:r>
    </w:p>
    <w:p w14:paraId="6751C99C" w14:textId="534CD485" w:rsidR="000F3178" w:rsidRPr="00140A7B" w:rsidRDefault="000F3178" w:rsidP="00140A7B">
      <w:r>
        <w:t xml:space="preserve">As we stated in </w:t>
      </w:r>
      <w:r w:rsidR="00A501C7">
        <w:t>the Summary</w:t>
      </w:r>
      <w:r>
        <w:t xml:space="preserve">, </w:t>
      </w:r>
      <w:r w:rsidR="00540DFC" w:rsidRPr="00140A7B">
        <w:t xml:space="preserve">self-consumption </w:t>
      </w:r>
      <w:r w:rsidR="0089772D" w:rsidRPr="00140A7B">
        <w:t>offers</w:t>
      </w:r>
      <w:r w:rsidR="00540DFC" w:rsidRPr="00140A7B">
        <w:t xml:space="preserve"> solar customers </w:t>
      </w:r>
      <w:r w:rsidRPr="00140A7B">
        <w:t xml:space="preserve">the biggest savings </w:t>
      </w:r>
      <w:r w:rsidR="0089772D" w:rsidRPr="00140A7B">
        <w:t>they</w:t>
      </w:r>
      <w:r w:rsidR="00103EA3" w:rsidRPr="00140A7B">
        <w:t xml:space="preserve"> can get from their</w:t>
      </w:r>
      <w:r w:rsidRPr="00140A7B">
        <w:t xml:space="preserve"> roof top solar systems. </w:t>
      </w:r>
      <w:r w:rsidR="00164984" w:rsidRPr="00140A7B">
        <w:t>Installing rooftop solar panels saves the average Victorian household $1,073 on their annual energy bills.</w:t>
      </w:r>
      <w:r w:rsidR="00164984" w:rsidRPr="00140A7B">
        <w:rPr>
          <w:rStyle w:val="FootnoteReference"/>
        </w:rPr>
        <w:footnoteReference w:id="34"/>
      </w:r>
    </w:p>
    <w:p w14:paraId="24AEF2A7" w14:textId="03206B15" w:rsidR="000C6CEB" w:rsidRDefault="000F3178" w:rsidP="00140A7B">
      <w:r w:rsidRPr="00140A7B">
        <w:t>Customers may not always see these savings in their bill as their meter will not record the energy that is consumed before the surplus is exported to the grid.</w:t>
      </w:r>
      <w:r w:rsidR="00B774F5" w:rsidRPr="00140A7B">
        <w:t xml:space="preserve"> </w:t>
      </w:r>
      <w:r w:rsidR="00D356B6" w:rsidRPr="00140A7B">
        <w:t>However, g</w:t>
      </w:r>
      <w:r w:rsidR="00B004E3" w:rsidRPr="00140A7B">
        <w:t>iven the</w:t>
      </w:r>
      <w:r w:rsidR="00687002" w:rsidRPr="00140A7B">
        <w:t xml:space="preserve"> size of</w:t>
      </w:r>
      <w:r w:rsidR="00B004E3" w:rsidRPr="00140A7B">
        <w:t xml:space="preserve"> savings </w:t>
      </w:r>
      <w:r w:rsidR="00687002" w:rsidRPr="00140A7B">
        <w:t xml:space="preserve">from self-consumption, </w:t>
      </w:r>
      <w:r w:rsidR="003112FF" w:rsidRPr="00140A7B">
        <w:t>it is critical to include the</w:t>
      </w:r>
      <w:r w:rsidR="00687002" w:rsidRPr="00140A7B">
        <w:t>ir</w:t>
      </w:r>
      <w:r w:rsidR="003112FF" w:rsidRPr="00140A7B">
        <w:t xml:space="preserve"> value when </w:t>
      </w:r>
      <w:r w:rsidR="009E7829" w:rsidRPr="00140A7B">
        <w:t>calculating payback periods</w:t>
      </w:r>
      <w:r w:rsidR="003112FF">
        <w:t>.</w:t>
      </w:r>
    </w:p>
    <w:p w14:paraId="7D9C2A2B" w14:textId="2733B7D3" w:rsidR="000C6CEB" w:rsidRDefault="00FF38D6" w:rsidP="007874B2">
      <w:pPr>
        <w:pStyle w:val="Heading2"/>
      </w:pPr>
      <w:bookmarkStart w:id="98" w:name="_Toc159844564"/>
      <w:r>
        <w:t xml:space="preserve">We will </w:t>
      </w:r>
      <w:r w:rsidR="00D5624B">
        <w:t xml:space="preserve">monitor </w:t>
      </w:r>
      <w:r w:rsidR="00D30F3E">
        <w:t>how</w:t>
      </w:r>
      <w:r w:rsidR="00D5624B">
        <w:t xml:space="preserve"> </w:t>
      </w:r>
      <w:r w:rsidR="00293A00">
        <w:t xml:space="preserve">the value of solar </w:t>
      </w:r>
      <w:r w:rsidR="00D5624B">
        <w:t xml:space="preserve">changes </w:t>
      </w:r>
      <w:r w:rsidR="00293A00">
        <w:t>across</w:t>
      </w:r>
      <w:r w:rsidR="00782790">
        <w:t xml:space="preserve"> the </w:t>
      </w:r>
      <w:proofErr w:type="gramStart"/>
      <w:r w:rsidR="00782790">
        <w:t>day</w:t>
      </w:r>
      <w:bookmarkEnd w:id="98"/>
      <w:proofErr w:type="gramEnd"/>
      <w:r w:rsidR="000C6CEB" w:rsidRPr="00E325A2">
        <w:t xml:space="preserve"> </w:t>
      </w:r>
    </w:p>
    <w:p w14:paraId="09C25E05" w14:textId="6C5ADB37" w:rsidR="00D7647E" w:rsidRDefault="003325E5" w:rsidP="00E325A2">
      <w:r>
        <w:t xml:space="preserve">In its submission, </w:t>
      </w:r>
      <w:r w:rsidR="009F0D7E">
        <w:t>Glo</w:t>
      </w:r>
      <w:r w:rsidR="00220046">
        <w:t>B</w:t>
      </w:r>
      <w:r w:rsidR="009F0D7E">
        <w:t>ird en</w:t>
      </w:r>
      <w:r w:rsidR="00757FB6">
        <w:t>ergy</w:t>
      </w:r>
      <w:r>
        <w:t xml:space="preserve"> </w:t>
      </w:r>
      <w:r w:rsidR="00667DAD">
        <w:t>said</w:t>
      </w:r>
      <w:r>
        <w:t xml:space="preserve">: </w:t>
      </w:r>
    </w:p>
    <w:p w14:paraId="7EF3FA4C" w14:textId="0EF93712" w:rsidR="00E325A2" w:rsidRPr="00E325A2" w:rsidRDefault="00E325A2" w:rsidP="00D7647E">
      <w:pPr>
        <w:pStyle w:val="Quote"/>
      </w:pPr>
      <w:r w:rsidRPr="00E325A2">
        <w:t xml:space="preserve">GloBird commends the ESC for introducing the new minimum feed-in time-varying tariff option 2. We consider this tariff structure is a step in the right direction. Nevertheless, we note that the current three minimum tariff structures are fixed in nature and therefore do not provide flexibility or promote innovation to address consumers’ varied load profiles or needs. We propose the ESC to introduce the following minimum FIT solution: </w:t>
      </w:r>
    </w:p>
    <w:p w14:paraId="70D62241" w14:textId="3A680762" w:rsidR="00E325A2" w:rsidRPr="00E325A2" w:rsidRDefault="00E325A2" w:rsidP="007F7B2F">
      <w:pPr>
        <w:pStyle w:val="Quote"/>
        <w:numPr>
          <w:ilvl w:val="6"/>
          <w:numId w:val="1"/>
        </w:numPr>
      </w:pPr>
      <w:r w:rsidRPr="00E325A2">
        <w:t xml:space="preserve">The ESC determines the minimum FIT flat rate – no changes to existing process or methodology. </w:t>
      </w:r>
    </w:p>
    <w:p w14:paraId="61ED0023" w14:textId="0B7414BA" w:rsidR="00E325A2" w:rsidRPr="00E325A2" w:rsidRDefault="00E325A2" w:rsidP="007F7B2F">
      <w:pPr>
        <w:pStyle w:val="Quote"/>
        <w:numPr>
          <w:ilvl w:val="6"/>
          <w:numId w:val="1"/>
        </w:numPr>
      </w:pPr>
      <w:r w:rsidRPr="00E325A2">
        <w:t xml:space="preserve">The ESC determines the average daily export profile (in kWh) for each 30-minute interval (48 intervals in total). These figures can be sourced from Frontier Economics’ model. </w:t>
      </w:r>
    </w:p>
    <w:p w14:paraId="6E983908" w14:textId="29CBBB89" w:rsidR="00B97272" w:rsidRDefault="00E325A2" w:rsidP="007F7B2F">
      <w:pPr>
        <w:pStyle w:val="Quote"/>
        <w:numPr>
          <w:ilvl w:val="6"/>
          <w:numId w:val="1"/>
        </w:numPr>
      </w:pPr>
      <w:r w:rsidRPr="00E325A2">
        <w:t>Retailers are allowed to introduce their own FIT structures and rates, provided the resulting weighted average price, when applying the rates to the annual export profile, is greater than or equal to the minimum FIT flat rate set by the ESC.</w:t>
      </w:r>
      <w:r w:rsidR="00916AC1">
        <w:rPr>
          <w:rStyle w:val="FootnoteReference"/>
        </w:rPr>
        <w:footnoteReference w:id="35"/>
      </w:r>
      <w:r w:rsidRPr="00E325A2">
        <w:t xml:space="preserve"> </w:t>
      </w:r>
    </w:p>
    <w:p w14:paraId="453B5926" w14:textId="151FAD4F" w:rsidR="00BA2074" w:rsidRDefault="007C7B01" w:rsidP="00B407FC">
      <w:r>
        <w:lastRenderedPageBreak/>
        <w:t xml:space="preserve">As we </w:t>
      </w:r>
      <w:r w:rsidR="00B6004E">
        <w:t xml:space="preserve">stated </w:t>
      </w:r>
      <w:r w:rsidR="009A066F">
        <w:t xml:space="preserve">in our previous </w:t>
      </w:r>
      <w:r w:rsidR="0025039A">
        <w:t>decision,</w:t>
      </w:r>
      <w:r w:rsidR="009A066F">
        <w:t xml:space="preserve"> we have considered</w:t>
      </w:r>
      <w:r w:rsidR="00090B37">
        <w:t xml:space="preserve"> Glo</w:t>
      </w:r>
      <w:r w:rsidR="003E390A">
        <w:t>B</w:t>
      </w:r>
      <w:r w:rsidR="00090B37">
        <w:t>ird Energy’s p</w:t>
      </w:r>
      <w:r w:rsidR="00381DFE">
        <w:t>roposal for</w:t>
      </w:r>
      <w:r w:rsidR="00742940">
        <w:t xml:space="preserve"> </w:t>
      </w:r>
      <w:r w:rsidR="00D023DE">
        <w:t>a flexible minimum feed-in tariff.</w:t>
      </w:r>
      <w:r w:rsidR="0025039A">
        <w:rPr>
          <w:rStyle w:val="FootnoteReference"/>
        </w:rPr>
        <w:footnoteReference w:id="36"/>
      </w:r>
      <w:r w:rsidR="00D023DE">
        <w:t xml:space="preserve"> </w:t>
      </w:r>
      <w:r w:rsidR="00290BAA">
        <w:t xml:space="preserve">We have decided not to </w:t>
      </w:r>
      <w:r w:rsidR="0025039A">
        <w:t xml:space="preserve">implement </w:t>
      </w:r>
      <w:r w:rsidR="0020319D">
        <w:t>a</w:t>
      </w:r>
      <w:r w:rsidR="0025039A">
        <w:t xml:space="preserve"> flexible minimum feed-in tariff for our </w:t>
      </w:r>
      <w:r w:rsidR="00F33DFB" w:rsidRPr="00B407FC">
        <w:t>2024–25</w:t>
      </w:r>
      <w:r w:rsidR="00794082">
        <w:t xml:space="preserve"> minimum feed-in tariff final decision. </w:t>
      </w:r>
      <w:r w:rsidR="0020319D">
        <w:t xml:space="preserve">However, we </w:t>
      </w:r>
      <w:r w:rsidR="00D15F61">
        <w:t>may</w:t>
      </w:r>
      <w:r w:rsidR="0020319D">
        <w:t xml:space="preserve"> consider doing</w:t>
      </w:r>
      <w:r w:rsidR="00F82A9F">
        <w:t xml:space="preserve"> so in future decisions.</w:t>
      </w:r>
    </w:p>
    <w:p w14:paraId="0A4EFE70" w14:textId="0FC87AD3" w:rsidR="00794082" w:rsidRDefault="007D0511" w:rsidP="00111B5D">
      <w:r>
        <w:t>We have not</w:t>
      </w:r>
      <w:r w:rsidDel="00B43E2F">
        <w:t xml:space="preserve"> </w:t>
      </w:r>
      <w:r w:rsidR="006C6CC4">
        <w:t>implement</w:t>
      </w:r>
      <w:r w:rsidR="00B43E2F">
        <w:t>ed</w:t>
      </w:r>
      <w:r w:rsidR="006C6CC4">
        <w:t xml:space="preserve"> </w:t>
      </w:r>
      <w:r w:rsidR="00C62FEB">
        <w:t>a</w:t>
      </w:r>
      <w:r w:rsidR="006C6CC4">
        <w:t xml:space="preserve"> flexible feed-in tariff </w:t>
      </w:r>
      <w:r w:rsidR="00417BE8">
        <w:t xml:space="preserve">for this decision </w:t>
      </w:r>
      <w:r w:rsidR="00965119">
        <w:t xml:space="preserve">because </w:t>
      </w:r>
      <w:r w:rsidR="00A203DA">
        <w:t xml:space="preserve">we introduced the </w:t>
      </w:r>
      <w:r w:rsidR="00C62FEB">
        <w:t xml:space="preserve">new </w:t>
      </w:r>
      <w:r w:rsidR="00A203DA">
        <w:t xml:space="preserve">time varying </w:t>
      </w:r>
      <w:r w:rsidR="00C62FEB">
        <w:t>feed-in tariff (</w:t>
      </w:r>
      <w:r w:rsidR="00E61FE0">
        <w:t>O</w:t>
      </w:r>
      <w:r w:rsidR="00A203DA">
        <w:t>ption 2</w:t>
      </w:r>
      <w:r w:rsidR="00C62FEB">
        <w:t>)</w:t>
      </w:r>
      <w:r w:rsidR="00A203DA">
        <w:t xml:space="preserve"> in</w:t>
      </w:r>
      <w:r w:rsidR="006A5E01">
        <w:t xml:space="preserve"> our </w:t>
      </w:r>
      <w:r w:rsidR="00F8713F" w:rsidRPr="008325AA">
        <w:t>2023–24</w:t>
      </w:r>
      <w:r w:rsidR="00F8713F">
        <w:t xml:space="preserve"> </w:t>
      </w:r>
      <w:r w:rsidR="006A5E01">
        <w:t>decision.</w:t>
      </w:r>
      <w:r w:rsidR="00A203DA">
        <w:t xml:space="preserve"> </w:t>
      </w:r>
      <w:r w:rsidR="003F33EB">
        <w:t>While we seek to provide retailers and customers with more option</w:t>
      </w:r>
      <w:r w:rsidR="00FF116A">
        <w:t>s</w:t>
      </w:r>
      <w:r w:rsidR="003F33EB">
        <w:t xml:space="preserve"> and flexibility</w:t>
      </w:r>
      <w:r w:rsidR="002B6EA9">
        <w:t xml:space="preserve">, </w:t>
      </w:r>
      <w:r w:rsidR="00F823BF">
        <w:t>time-varying</w:t>
      </w:r>
      <w:r w:rsidR="002E6DA1">
        <w:t xml:space="preserve"> feed-in tariffs are still </w:t>
      </w:r>
      <w:r w:rsidR="0084094E">
        <w:t xml:space="preserve">relatively </w:t>
      </w:r>
      <w:r w:rsidR="002E6DA1">
        <w:t>new</w:t>
      </w:r>
      <w:r w:rsidR="0084094E">
        <w:t xml:space="preserve"> and </w:t>
      </w:r>
      <w:r w:rsidR="00043BC5">
        <w:t xml:space="preserve">so </w:t>
      </w:r>
      <w:proofErr w:type="gramStart"/>
      <w:r w:rsidR="00043BC5">
        <w:t>far</w:t>
      </w:r>
      <w:proofErr w:type="gramEnd"/>
      <w:r w:rsidR="00043BC5">
        <w:t xml:space="preserve"> </w:t>
      </w:r>
      <w:r w:rsidR="00D974FE">
        <w:t>not many</w:t>
      </w:r>
      <w:r w:rsidR="00EC5163">
        <w:t xml:space="preserve"> </w:t>
      </w:r>
      <w:r w:rsidR="0084094E">
        <w:t>retailers</w:t>
      </w:r>
      <w:r w:rsidR="0084094E" w:rsidDel="003D35BF">
        <w:t xml:space="preserve"> </w:t>
      </w:r>
      <w:r w:rsidR="003D35BF">
        <w:t xml:space="preserve">are offering </w:t>
      </w:r>
      <w:r w:rsidR="00453C42">
        <w:t xml:space="preserve">these </w:t>
      </w:r>
      <w:r w:rsidR="0084094E">
        <w:t>tariffs</w:t>
      </w:r>
      <w:r w:rsidR="002E6DA1">
        <w:t>. We</w:t>
      </w:r>
      <w:r w:rsidR="00DE2EEF">
        <w:t xml:space="preserve"> </w:t>
      </w:r>
      <w:r w:rsidR="009B7863">
        <w:t xml:space="preserve">would like to have </w:t>
      </w:r>
      <w:r w:rsidR="0084094E">
        <w:t xml:space="preserve">more evidence on how retailers </w:t>
      </w:r>
      <w:r w:rsidR="001D1255">
        <w:t>and</w:t>
      </w:r>
      <w:r w:rsidR="0084094E">
        <w:t xml:space="preserve"> customers use these tariffs </w:t>
      </w:r>
      <w:r w:rsidR="00381DFE">
        <w:t xml:space="preserve">before introducing more complexity into the market. </w:t>
      </w:r>
    </w:p>
    <w:p w14:paraId="02050AA6" w14:textId="59B902F8" w:rsidR="00A039CB" w:rsidRDefault="00A039CB" w:rsidP="00111B5D">
      <w:r>
        <w:t>Similarly</w:t>
      </w:r>
      <w:r w:rsidR="000D4134">
        <w:t>, we have not mandated that retailers offer the time-varying feed-in tariffs.</w:t>
      </w:r>
    </w:p>
    <w:p w14:paraId="0AC75E50" w14:textId="13C1C379" w:rsidR="00923A95" w:rsidRDefault="0035493B" w:rsidP="00923A95">
      <w:pPr>
        <w:pStyle w:val="Heading2"/>
      </w:pPr>
      <w:bookmarkStart w:id="99" w:name="_Toc159844565"/>
      <w:r>
        <w:t>E</w:t>
      </w:r>
      <w:r w:rsidR="00923A95">
        <w:t xml:space="preserve">nergy </w:t>
      </w:r>
      <w:r>
        <w:t xml:space="preserve">markets are </w:t>
      </w:r>
      <w:proofErr w:type="gramStart"/>
      <w:r>
        <w:t>complex</w:t>
      </w:r>
      <w:bookmarkEnd w:id="99"/>
      <w:proofErr w:type="gramEnd"/>
    </w:p>
    <w:p w14:paraId="1D79DCD6" w14:textId="2465CB1C" w:rsidR="00923A95" w:rsidRDefault="00923A95" w:rsidP="00923A95">
      <w:r>
        <w:t>Aus</w:t>
      </w:r>
      <w:r w:rsidR="004252AD">
        <w:t>N</w:t>
      </w:r>
      <w:r>
        <w:t>et</w:t>
      </w:r>
      <w:r w:rsidR="004252AD">
        <w:t>’s</w:t>
      </w:r>
      <w:r w:rsidR="005F516A">
        <w:t xml:space="preserve"> submission </w:t>
      </w:r>
      <w:r>
        <w:t>stated that consumers do not fully understand the issues around the minimum feed-in tariffs:</w:t>
      </w:r>
    </w:p>
    <w:p w14:paraId="6719B2F0" w14:textId="77777777" w:rsidR="00923A95" w:rsidRPr="000C347E" w:rsidRDefault="00923A95" w:rsidP="00923A95">
      <w:pPr>
        <w:pStyle w:val="Quote"/>
      </w:pPr>
      <w:r>
        <w:t>Our research shows there is a lack of understanding among customers around the feed-in tariff including who decides the value and how, and whether the feed-in tariff provides more value compared to self-consumption.</w:t>
      </w:r>
      <w:r>
        <w:rPr>
          <w:rStyle w:val="FootnoteReference"/>
        </w:rPr>
        <w:footnoteReference w:id="37"/>
      </w:r>
    </w:p>
    <w:p w14:paraId="79F28D53" w14:textId="2F0815C8" w:rsidR="00923A95" w:rsidRDefault="00923A95" w:rsidP="00923A95">
      <w:pPr>
        <w:autoSpaceDE w:val="0"/>
        <w:autoSpaceDN w:val="0"/>
        <w:adjustRightInd w:val="0"/>
        <w:spacing w:before="0" w:after="0" w:line="240" w:lineRule="auto"/>
      </w:pPr>
      <w:r>
        <w:t>Similarly, Geelong Sustainability stated there was a need for the</w:t>
      </w:r>
      <w:r w:rsidR="00296D16">
        <w:t xml:space="preserve"> </w:t>
      </w:r>
      <w:r w:rsidR="004864FE">
        <w:t>commission</w:t>
      </w:r>
      <w:r>
        <w:t xml:space="preserve"> to engage with consumers, particularly, to explain the recent decline in the value of the minimum feed-in tariff:</w:t>
      </w:r>
    </w:p>
    <w:p w14:paraId="6924A65B" w14:textId="2EE7BCD9" w:rsidR="00923A95" w:rsidRDefault="00923A95" w:rsidP="00923A95">
      <w:pPr>
        <w:pStyle w:val="Quote"/>
      </w:pPr>
      <w:r>
        <w:t>The 2024 minimum feed-in tariff valuation has reduced by 36 per cent relative to 2023, and Geelong Sustainability asserts that the essential service</w:t>
      </w:r>
      <w:r w:rsidR="008653D4">
        <w:t>s</w:t>
      </w:r>
      <w:r>
        <w:t xml:space="preserve"> commission must now take a significant role in facilitating the support and education of energy consumers.</w:t>
      </w:r>
      <w:r w:rsidR="00583113">
        <w:rPr>
          <w:rStyle w:val="FootnoteReference"/>
        </w:rPr>
        <w:footnoteReference w:id="38"/>
      </w:r>
    </w:p>
    <w:p w14:paraId="3E0EDEFB" w14:textId="03C45792" w:rsidR="00923A95" w:rsidRDefault="00923A95" w:rsidP="00923A95">
      <w:r>
        <w:t>We a</w:t>
      </w:r>
      <w:r w:rsidR="00807689">
        <w:t>cknowle</w:t>
      </w:r>
      <w:r w:rsidR="00A94BAC">
        <w:t xml:space="preserve">dge </w:t>
      </w:r>
      <w:r>
        <w:t xml:space="preserve">there </w:t>
      </w:r>
      <w:r w:rsidR="00981186">
        <w:t xml:space="preserve">is </w:t>
      </w:r>
      <w:r w:rsidR="0059092C">
        <w:t xml:space="preserve">value in </w:t>
      </w:r>
      <w:r w:rsidR="005B4B6C">
        <w:t xml:space="preserve">providing </w:t>
      </w:r>
      <w:r w:rsidR="009E7379">
        <w:t xml:space="preserve">simple and effective </w:t>
      </w:r>
      <w:r w:rsidR="001901DD">
        <w:t xml:space="preserve">communication </w:t>
      </w:r>
      <w:r w:rsidR="00901EBF">
        <w:t xml:space="preserve">to the community </w:t>
      </w:r>
      <w:r w:rsidR="0030298E">
        <w:t>about the minimum feed-in tariffs</w:t>
      </w:r>
      <w:r>
        <w:t xml:space="preserve">. </w:t>
      </w:r>
      <w:r w:rsidR="0030298E">
        <w:t xml:space="preserve">To meet this need, </w:t>
      </w:r>
      <w:r>
        <w:t xml:space="preserve">educational materials </w:t>
      </w:r>
      <w:r w:rsidR="00341E36">
        <w:t xml:space="preserve">on </w:t>
      </w:r>
      <w:r>
        <w:t>our website</w:t>
      </w:r>
      <w:r w:rsidDel="005079B4">
        <w:t xml:space="preserve"> </w:t>
      </w:r>
      <w:r w:rsidR="00B445FC">
        <w:t>have been updated</w:t>
      </w:r>
      <w:r w:rsidR="000266A3">
        <w:t xml:space="preserve"> and</w:t>
      </w:r>
      <w:r w:rsidR="00690A5F">
        <w:t xml:space="preserve"> </w:t>
      </w:r>
      <w:r w:rsidR="00B445FC">
        <w:t xml:space="preserve">an explainer video </w:t>
      </w:r>
      <w:r w:rsidR="00690A5F">
        <w:t>produced</w:t>
      </w:r>
      <w:r>
        <w:t>.</w:t>
      </w:r>
      <w:r w:rsidR="00606EEB">
        <w:rPr>
          <w:rStyle w:val="FootnoteReference"/>
        </w:rPr>
        <w:footnoteReference w:id="39"/>
      </w:r>
      <w:r>
        <w:t xml:space="preserve"> </w:t>
      </w:r>
    </w:p>
    <w:p w14:paraId="516FAA1E" w14:textId="77777777" w:rsidR="00E966EA" w:rsidRDefault="00E966EA" w:rsidP="00010A2B">
      <w:pPr>
        <w:keepNext/>
      </w:pPr>
      <w:bookmarkStart w:id="100" w:name="_Toc159844566"/>
      <w:r w:rsidRPr="00D66B8A">
        <w:rPr>
          <w:rStyle w:val="Heading2Char"/>
        </w:rPr>
        <w:lastRenderedPageBreak/>
        <w:t xml:space="preserve">We have consulted on our draft </w:t>
      </w:r>
      <w:proofErr w:type="gramStart"/>
      <w:r w:rsidRPr="00D66B8A">
        <w:rPr>
          <w:rStyle w:val="Heading2Char"/>
        </w:rPr>
        <w:t>decision</w:t>
      </w:r>
      <w:bookmarkEnd w:id="100"/>
      <w:proofErr w:type="gramEnd"/>
    </w:p>
    <w:p w14:paraId="43DE20E2" w14:textId="77777777" w:rsidR="00E966EA" w:rsidRDefault="00E966EA" w:rsidP="00E966EA">
      <w:r>
        <w:t>Some stakeholders considered that we have not consulted widely or provided enough time for them to make a submission:</w:t>
      </w:r>
    </w:p>
    <w:p w14:paraId="3BA04BBA" w14:textId="59F63AEA" w:rsidR="00E966EA" w:rsidRDefault="00E966EA" w:rsidP="00E966EA">
      <w:pPr>
        <w:pStyle w:val="Quote"/>
      </w:pPr>
      <w:r>
        <w:t xml:space="preserve">Once again, this consultation process has proven the lack of thought that Victorians would put aside some significant time to provide substance to this annual process </w:t>
      </w:r>
      <w:proofErr w:type="gramStart"/>
      <w:r>
        <w:t>on the basis of</w:t>
      </w:r>
      <w:proofErr w:type="gramEnd"/>
      <w:r>
        <w:t xml:space="preserve"> an advertisement in the major Victorian newspapers in the second week of December with an expected reply in 17 days.</w:t>
      </w:r>
      <w:r w:rsidR="00CF61D5">
        <w:rPr>
          <w:rStyle w:val="FootnoteReference"/>
        </w:rPr>
        <w:footnoteReference w:id="40"/>
      </w:r>
      <w:r>
        <w:t xml:space="preserve"> </w:t>
      </w:r>
    </w:p>
    <w:p w14:paraId="5E1C81DF" w14:textId="5396BA8E" w:rsidR="00137CC4" w:rsidRDefault="00E966EA" w:rsidP="00EE041C">
      <w:r>
        <w:t>The advertisements in the major newspapers were one part of our consultation process. The consultation process commenced on 22 November</w:t>
      </w:r>
      <w:r w:rsidR="005731D5">
        <w:t>,</w:t>
      </w:r>
      <w:r>
        <w:t xml:space="preserve"> when we published our draft decision on both our website and the Engage Victoria website</w:t>
      </w:r>
      <w:r w:rsidR="00E770D7">
        <w:t>.</w:t>
      </w:r>
      <w:r w:rsidR="00042CD8">
        <w:t xml:space="preserve"> </w:t>
      </w:r>
      <w:r w:rsidR="00E770D7">
        <w:t>Consultation</w:t>
      </w:r>
      <w:r w:rsidR="0010490C">
        <w:t xml:space="preserve"> closed </w:t>
      </w:r>
      <w:r w:rsidR="00C02D31">
        <w:t>22 December</w:t>
      </w:r>
      <w:r>
        <w:t xml:space="preserve">. In addition to public input, we also sought out local solar groups for direct consultation. </w:t>
      </w:r>
    </w:p>
    <w:p w14:paraId="0FA93CF6" w14:textId="77777777" w:rsidR="000E28E6" w:rsidRDefault="000E28E6" w:rsidP="000E28E6">
      <w:pPr>
        <w:pStyle w:val="Heading2"/>
      </w:pPr>
      <w:bookmarkStart w:id="101" w:name="_Toc159844567"/>
      <w:r>
        <w:t>The social cost of carbon is set out in the Order in Council</w:t>
      </w:r>
      <w:bookmarkEnd w:id="101"/>
    </w:p>
    <w:p w14:paraId="6A946ADA" w14:textId="36E768ED" w:rsidR="000E28E6" w:rsidRDefault="000E28E6" w:rsidP="000E28E6">
      <w:r>
        <w:t xml:space="preserve">Geelong Sustainability </w:t>
      </w:r>
      <w:r w:rsidR="004D56C7">
        <w:t>submitted</w:t>
      </w:r>
      <w:r>
        <w:t xml:space="preserve"> that the social cost of carbon was too low, stating:</w:t>
      </w:r>
    </w:p>
    <w:p w14:paraId="5AD423F5" w14:textId="0279C9F6" w:rsidR="000E28E6" w:rsidRDefault="006261F6" w:rsidP="000E28E6">
      <w:pPr>
        <w:pStyle w:val="Quote"/>
      </w:pPr>
      <w:r>
        <w:t>Geelong Sustainability asserts it is important to recognise local energy mix as a relevant factor for the determination of a mFIT and suggests that existing methodologies in fact under-value the social cost of carbon</w:t>
      </w:r>
      <w:r w:rsidR="00BA441F">
        <w:t>…</w:t>
      </w:r>
      <w:r w:rsidR="000E28E6">
        <w:rPr>
          <w:rStyle w:val="FootnoteReference"/>
        </w:rPr>
        <w:footnoteReference w:id="41"/>
      </w:r>
    </w:p>
    <w:p w14:paraId="17744406" w14:textId="77777777" w:rsidR="000E28E6" w:rsidRDefault="000E28E6" w:rsidP="000E28E6">
      <w:r>
        <w:t>Another submission also noted:</w:t>
      </w:r>
    </w:p>
    <w:p w14:paraId="626261BC" w14:textId="77777777" w:rsidR="000E28E6" w:rsidRPr="00A00177" w:rsidRDefault="000E28E6" w:rsidP="000E28E6">
      <w:pPr>
        <w:pStyle w:val="Quote"/>
      </w:pPr>
      <w:r>
        <w:t>…we are annually updating pricing and feed-in tariff etc, but ‘the social cost of carbon’ remains the same as 2017.</w:t>
      </w:r>
      <w:r>
        <w:rPr>
          <w:rStyle w:val="FootnoteReference"/>
        </w:rPr>
        <w:footnoteReference w:id="42"/>
      </w:r>
    </w:p>
    <w:p w14:paraId="734C550A" w14:textId="77777777" w:rsidR="000E28E6" w:rsidRDefault="000E28E6" w:rsidP="000E28E6">
      <w:r>
        <w:t>Victoria is the only jurisdiction that includes a social cost of carbon in its feed-in tariff. The methodology is set by the Victorian Government via an Order in Council. The Order in Council, which we must have regard to, provides the methodology and factors that we must consider when calculating the social cost of carbon.</w:t>
      </w:r>
      <w:r>
        <w:rPr>
          <w:rStyle w:val="FootnoteReference"/>
        </w:rPr>
        <w:footnoteReference w:id="43"/>
      </w:r>
      <w:r>
        <w:t xml:space="preserve"> </w:t>
      </w:r>
    </w:p>
    <w:p w14:paraId="5267687A" w14:textId="1210376D" w:rsidR="000E28E6" w:rsidRPr="000716FA" w:rsidRDefault="000E28E6" w:rsidP="000E28E6">
      <w:r>
        <w:lastRenderedPageBreak/>
        <w:t xml:space="preserve">The methodology and factors in that Order set out the Victorian government’s policy on the social cost of carbon. </w:t>
      </w:r>
    </w:p>
    <w:p w14:paraId="5DD6D3BB" w14:textId="4E6E4A74" w:rsidR="00C76BF5" w:rsidRPr="00C76BF5" w:rsidRDefault="00C76BF5" w:rsidP="0087739D">
      <w:pPr>
        <w:pStyle w:val="Heading2"/>
      </w:pPr>
      <w:bookmarkStart w:id="102" w:name="_Toc159844568"/>
      <w:r w:rsidRPr="00B407FC">
        <w:t>We have considered</w:t>
      </w:r>
      <w:r w:rsidR="00BA1303">
        <w:t xml:space="preserve"> avoided</w:t>
      </w:r>
      <w:r w:rsidRPr="00B407FC">
        <w:t xml:space="preserve"> human health </w:t>
      </w:r>
      <w:proofErr w:type="gramStart"/>
      <w:r w:rsidRPr="00B407FC">
        <w:t>costs</w:t>
      </w:r>
      <w:bookmarkEnd w:id="102"/>
      <w:proofErr w:type="gramEnd"/>
    </w:p>
    <w:p w14:paraId="0690DA4C" w14:textId="5FD1598F" w:rsidR="0048544B" w:rsidRDefault="008D36B3" w:rsidP="006729BD">
      <w:r>
        <w:t xml:space="preserve">Geelong Sustainability </w:t>
      </w:r>
      <w:r w:rsidR="00881D32">
        <w:t>was of the view that</w:t>
      </w:r>
      <w:r w:rsidR="00EC713C">
        <w:t xml:space="preserve"> we can no longer assign a value of zero to the </w:t>
      </w:r>
      <w:r w:rsidR="00BA1303">
        <w:t xml:space="preserve">avoided </w:t>
      </w:r>
      <w:r w:rsidR="00EC713C">
        <w:t xml:space="preserve">human </w:t>
      </w:r>
      <w:r w:rsidR="001B428F">
        <w:t>health costs</w:t>
      </w:r>
      <w:r w:rsidR="00E53147" w:rsidRPr="00E53147">
        <w:t>.</w:t>
      </w:r>
      <w:r w:rsidR="00303BB8">
        <w:rPr>
          <w:rStyle w:val="FootnoteReference"/>
        </w:rPr>
        <w:footnoteReference w:id="44"/>
      </w:r>
    </w:p>
    <w:p w14:paraId="6CEEB1CD" w14:textId="45D47729" w:rsidR="009D0C97" w:rsidRDefault="00EB291F" w:rsidP="00A54D89">
      <w:r>
        <w:t xml:space="preserve">For the reasons outlined </w:t>
      </w:r>
      <w:r w:rsidR="000179C2">
        <w:t xml:space="preserve">in the chapter, </w:t>
      </w:r>
      <w:r w:rsidR="00884AAC">
        <w:t>‘</w:t>
      </w:r>
      <w:r w:rsidR="000179C2">
        <w:t xml:space="preserve">We </w:t>
      </w:r>
      <w:r w:rsidR="005B7041">
        <w:rPr>
          <w:noProof/>
        </w:rPr>
        <w:t>c</w:t>
      </w:r>
      <w:r w:rsidR="0055107A" w:rsidRPr="000F119B">
        <w:rPr>
          <w:noProof/>
        </w:rPr>
        <w:t xml:space="preserve">onsider </w:t>
      </w:r>
      <w:r w:rsidR="005B7041">
        <w:rPr>
          <w:noProof/>
        </w:rPr>
        <w:t>c</w:t>
      </w:r>
      <w:r w:rsidR="0055107A" w:rsidRPr="000F119B">
        <w:rPr>
          <w:noProof/>
        </w:rPr>
        <w:t>arbon</w:t>
      </w:r>
      <w:r>
        <w:t xml:space="preserve"> and </w:t>
      </w:r>
      <w:r w:rsidR="005B7041">
        <w:rPr>
          <w:noProof/>
        </w:rPr>
        <w:t>h</w:t>
      </w:r>
      <w:r w:rsidR="0055107A" w:rsidRPr="000F119B">
        <w:rPr>
          <w:noProof/>
        </w:rPr>
        <w:t xml:space="preserve">uman </w:t>
      </w:r>
      <w:r w:rsidR="005B7041">
        <w:rPr>
          <w:noProof/>
        </w:rPr>
        <w:t>h</w:t>
      </w:r>
      <w:r w:rsidR="0055107A" w:rsidRPr="000F119B">
        <w:rPr>
          <w:noProof/>
        </w:rPr>
        <w:t xml:space="preserve">ealth </w:t>
      </w:r>
      <w:r w:rsidR="005B7041">
        <w:rPr>
          <w:noProof/>
        </w:rPr>
        <w:t>c</w:t>
      </w:r>
      <w:r w:rsidR="0055107A" w:rsidRPr="000F119B">
        <w:rPr>
          <w:noProof/>
        </w:rPr>
        <w:t>osts</w:t>
      </w:r>
      <w:r w:rsidR="00884AAC">
        <w:rPr>
          <w:noProof/>
        </w:rPr>
        <w:t>’</w:t>
      </w:r>
      <w:r>
        <w:t xml:space="preserve">, </w:t>
      </w:r>
      <w:r w:rsidR="00B77E16">
        <w:t xml:space="preserve">and in previous decisions, </w:t>
      </w:r>
      <w:r>
        <w:t xml:space="preserve">we </w:t>
      </w:r>
      <w:r w:rsidR="009C361F">
        <w:t>have not included a</w:t>
      </w:r>
      <w:r w:rsidR="00A5391A">
        <w:t xml:space="preserve"> separate </w:t>
      </w:r>
      <w:r w:rsidR="009C361F">
        <w:t>amount</w:t>
      </w:r>
      <w:r w:rsidR="00A5391A">
        <w:t xml:space="preserve"> for avoided human </w:t>
      </w:r>
      <w:r w:rsidR="000C7F8A">
        <w:t>health costs.</w:t>
      </w:r>
      <w:r w:rsidR="00335F32">
        <w:rPr>
          <w:rStyle w:val="FootnoteReference"/>
        </w:rPr>
        <w:footnoteReference w:id="45"/>
      </w:r>
      <w:r w:rsidR="000C7F8A">
        <w:t xml:space="preserve"> </w:t>
      </w:r>
      <w:r w:rsidR="004F3A8D">
        <w:t xml:space="preserve">As we stated in </w:t>
      </w:r>
      <w:r w:rsidR="00063922">
        <w:t xml:space="preserve">these chapters, we </w:t>
      </w:r>
      <w:r w:rsidR="00855A2F">
        <w:t>consider</w:t>
      </w:r>
      <w:r w:rsidR="00211EF0">
        <w:t>, that while these costs are not zero</w:t>
      </w:r>
      <w:r w:rsidR="00063922">
        <w:t xml:space="preserve"> there is a lack of Victorian specific information to determine a damages cost and </w:t>
      </w:r>
      <w:r w:rsidR="005873B7">
        <w:t xml:space="preserve">these costs may be accounted for </w:t>
      </w:r>
      <w:r w:rsidR="00AC28FB">
        <w:t>by the social cost of ca</w:t>
      </w:r>
      <w:r w:rsidR="00040F3C">
        <w:t>rbon</w:t>
      </w:r>
      <w:r w:rsidR="00185073">
        <w:t xml:space="preserve"> and other subsidies</w:t>
      </w:r>
      <w:r w:rsidR="00040F3C">
        <w:t xml:space="preserve">. </w:t>
      </w:r>
    </w:p>
    <w:p w14:paraId="0A555E63" w14:textId="7DEDC9AA" w:rsidR="00F81DED" w:rsidRDefault="00040F3C" w:rsidP="00A54D89">
      <w:r>
        <w:t xml:space="preserve">In its submission, </w:t>
      </w:r>
      <w:r w:rsidR="00F81DED">
        <w:t xml:space="preserve">Geelong Sustainability </w:t>
      </w:r>
      <w:r w:rsidR="00C41E76">
        <w:t>made several new points</w:t>
      </w:r>
      <w:r w:rsidR="000C77C1">
        <w:t xml:space="preserve"> that had not been raised in </w:t>
      </w:r>
      <w:r w:rsidR="00FD14A5">
        <w:t xml:space="preserve">feedback </w:t>
      </w:r>
      <w:r w:rsidR="009A4A7F">
        <w:t>on</w:t>
      </w:r>
      <w:r w:rsidR="00FD14A5">
        <w:t xml:space="preserve"> </w:t>
      </w:r>
      <w:r w:rsidR="000C77C1">
        <w:t xml:space="preserve">previous </w:t>
      </w:r>
      <w:r w:rsidR="00B250AE">
        <w:t xml:space="preserve">feed-in </w:t>
      </w:r>
      <w:r w:rsidR="009A41B1">
        <w:t>tariff reviews</w:t>
      </w:r>
      <w:r w:rsidR="00F5324C">
        <w:t>:</w:t>
      </w:r>
    </w:p>
    <w:p w14:paraId="62955FB9" w14:textId="691F0A49" w:rsidR="00F5324C" w:rsidRPr="003F4746" w:rsidRDefault="00AB34D9" w:rsidP="0068275B">
      <w:pPr>
        <w:pStyle w:val="Quote"/>
        <w:rPr>
          <w:rFonts w:ascii="ArialMT" w:hAnsi="ArialMT" w:cs="ArialMT"/>
        </w:rPr>
      </w:pPr>
      <w:r>
        <w:t>Geelong Sustainability disagrees with the position of the Essential Services Commission – that overlap exists between the subsidisation of solar panels and human health costs – and this does not align to the methodology for the determination of the minimum feed-in tariff.</w:t>
      </w:r>
      <w:r w:rsidR="00BA2116" w:rsidRPr="00BA2116">
        <w:rPr>
          <w:rFonts w:ascii="ArialMT" w:hAnsi="ArialMT" w:cs="ArialMT"/>
        </w:rPr>
        <w:t xml:space="preserve"> </w:t>
      </w:r>
      <w:r w:rsidR="00BA2116">
        <w:rPr>
          <w:rFonts w:ascii="ArialMT" w:hAnsi="ArialMT" w:cs="ArialMT"/>
        </w:rPr>
        <w:t xml:space="preserve">This position should be reconsidered as the subsidies of solar panel installation have reduced significantly (small scale technology </w:t>
      </w:r>
      <w:r w:rsidR="007A2123">
        <w:rPr>
          <w:rFonts w:ascii="ArialMT" w:hAnsi="ArialMT" w:cs="ArialMT"/>
        </w:rPr>
        <w:t>certificates); while the human health costs of non-renewable energy only appear to be growing.</w:t>
      </w:r>
      <w:r>
        <w:rPr>
          <w:rStyle w:val="FootnoteReference"/>
          <w:rFonts w:ascii="ArialMT" w:hAnsi="ArialMT" w:cs="ArialMT"/>
        </w:rPr>
        <w:footnoteReference w:id="46"/>
      </w:r>
    </w:p>
    <w:p w14:paraId="4BC7449A" w14:textId="34927EB0" w:rsidR="00D27652" w:rsidRDefault="00405DF2" w:rsidP="00A54D89">
      <w:r>
        <w:t>While subsidies for solar are declining, it is also true that solar exports are displacing less fossil fuel generation</w:t>
      </w:r>
      <w:r w:rsidR="00D832D1">
        <w:t xml:space="preserve">. </w:t>
      </w:r>
      <w:r w:rsidR="00A84BA9">
        <w:t xml:space="preserve">As </w:t>
      </w:r>
      <w:r w:rsidR="001C168E">
        <w:t>renewable energy displaces existi</w:t>
      </w:r>
      <w:r w:rsidR="00D503B0">
        <w:t xml:space="preserve">ng generation the amount of air pollution attributable to </w:t>
      </w:r>
      <w:r w:rsidR="00BF620F">
        <w:t xml:space="preserve">electricity generation has declined, especially when household solar is exporting </w:t>
      </w:r>
      <w:r w:rsidR="003A14FF">
        <w:t xml:space="preserve">to the grid. </w:t>
      </w:r>
    </w:p>
    <w:p w14:paraId="67FB7E5F" w14:textId="19945BAF" w:rsidR="00C8186E" w:rsidRDefault="009D1D91" w:rsidP="00A54D89">
      <w:r>
        <w:t>Therefore, we remain of the view that</w:t>
      </w:r>
      <w:r w:rsidR="00C8186E">
        <w:t xml:space="preserve"> human health costs are non-zero, but there is a reasonable amount of evidence that the health benefits for solar generation are already accounted for elsewhere</w:t>
      </w:r>
      <w:r w:rsidR="005975CB">
        <w:t>:</w:t>
      </w:r>
      <w:r w:rsidR="00C8186E">
        <w:t xml:space="preserve"> through solar subsidies or the social cost of carbon (as defined by Order in Council).</w:t>
      </w:r>
    </w:p>
    <w:p w14:paraId="2D31C4A6" w14:textId="78CD049E" w:rsidR="00F605C7" w:rsidRDefault="00DB09EB" w:rsidP="00193254">
      <w:pPr>
        <w:pStyle w:val="Heading2"/>
      </w:pPr>
      <w:bookmarkStart w:id="103" w:name="_Toc159844569"/>
      <w:r>
        <w:lastRenderedPageBreak/>
        <w:t xml:space="preserve">We are required to consider the wholesale price of </w:t>
      </w:r>
      <w:proofErr w:type="gramStart"/>
      <w:r>
        <w:t>electricity</w:t>
      </w:r>
      <w:bookmarkEnd w:id="103"/>
      <w:proofErr w:type="gramEnd"/>
      <w:r>
        <w:t xml:space="preserve"> </w:t>
      </w:r>
    </w:p>
    <w:p w14:paraId="27C1F9DB" w14:textId="1FE622D2" w:rsidR="00F605C7" w:rsidRDefault="009E7150" w:rsidP="003325E5">
      <w:r>
        <w:t xml:space="preserve">Another submission </w:t>
      </w:r>
      <w:r w:rsidR="00D376C9">
        <w:t xml:space="preserve">stated that we had </w:t>
      </w:r>
      <w:r w:rsidR="007943AC">
        <w:t>valued</w:t>
      </w:r>
      <w:r w:rsidR="002704DF">
        <w:t xml:space="preserve"> </w:t>
      </w:r>
      <w:r w:rsidR="007943AC">
        <w:t xml:space="preserve">solar weighted </w:t>
      </w:r>
      <w:r w:rsidR="00D376C9">
        <w:t xml:space="preserve">wholesale </w:t>
      </w:r>
      <w:r w:rsidR="002704DF">
        <w:t>costs</w:t>
      </w:r>
      <w:r w:rsidR="00D376C9">
        <w:t xml:space="preserve"> at a rate lower than th</w:t>
      </w:r>
      <w:r w:rsidR="002704DF">
        <w:t>e cost of</w:t>
      </w:r>
      <w:r w:rsidR="00D376C9">
        <w:t xml:space="preserve"> </w:t>
      </w:r>
      <w:r w:rsidR="00822DC2">
        <w:t xml:space="preserve">building </w:t>
      </w:r>
      <w:r w:rsidR="005C0E87">
        <w:t>large-scale</w:t>
      </w:r>
      <w:r w:rsidR="00D376C9">
        <w:t xml:space="preserve"> </w:t>
      </w:r>
      <w:r w:rsidR="002704DF">
        <w:t>solar farms</w:t>
      </w:r>
      <w:r w:rsidR="00D376C9">
        <w:t>:</w:t>
      </w:r>
    </w:p>
    <w:p w14:paraId="24F15B5C" w14:textId="0D5B9CF3" w:rsidR="00D376C9" w:rsidRDefault="00A63A19" w:rsidP="00193254">
      <w:pPr>
        <w:pStyle w:val="Quote"/>
      </w:pPr>
      <w:r w:rsidRPr="00A63A19">
        <w:t>The flat feed</w:t>
      </w:r>
      <w:r w:rsidR="009A3B1B">
        <w:t>-</w:t>
      </w:r>
      <w:r w:rsidRPr="00A63A19">
        <w:t xml:space="preserve">in tariff values the solar weighted average wholesale electricity price at 0.7 c/kWh. This is much lower than the </w:t>
      </w:r>
      <w:r w:rsidR="00D65D26">
        <w:t>levelized cost of energy for</w:t>
      </w:r>
      <w:r w:rsidRPr="00A63A19">
        <w:t xml:space="preserve"> a utility scale solar farm, which are actively supported by the Victorian Government, for example via the VRET1 and VRET2 programs. Government policy is to increase the supply of renewable energy into the electricity market to support the energy transition.</w:t>
      </w:r>
      <w:r w:rsidR="00B37284">
        <w:rPr>
          <w:rStyle w:val="FootnoteReference"/>
        </w:rPr>
        <w:footnoteReference w:id="47"/>
      </w:r>
    </w:p>
    <w:p w14:paraId="58043365" w14:textId="7A596D53" w:rsidR="009E7150" w:rsidRDefault="000C11A2" w:rsidP="003325E5">
      <w:r>
        <w:t xml:space="preserve">Our task is to set </w:t>
      </w:r>
      <w:r w:rsidR="00367C4D">
        <w:t>a</w:t>
      </w:r>
      <w:r>
        <w:t xml:space="preserve"> </w:t>
      </w:r>
      <w:r w:rsidR="00367C4D" w:rsidRPr="007D68A0">
        <w:t>price</w:t>
      </w:r>
      <w:r w:rsidR="00367C4D">
        <w:t xml:space="preserve"> for </w:t>
      </w:r>
      <w:r>
        <w:t>feed</w:t>
      </w:r>
      <w:r w:rsidR="00733002">
        <w:t>-</w:t>
      </w:r>
      <w:r>
        <w:t>in tariff</w:t>
      </w:r>
      <w:r w:rsidR="00367C4D">
        <w:t>s</w:t>
      </w:r>
      <w:r>
        <w:t xml:space="preserve"> that reflects the </w:t>
      </w:r>
      <w:r w:rsidRPr="00367C4D">
        <w:t>value</w:t>
      </w:r>
      <w:r>
        <w:t xml:space="preserve"> of solar exports. </w:t>
      </w:r>
      <w:r w:rsidR="006700D6">
        <w:t>W</w:t>
      </w:r>
      <w:r w:rsidR="00495E6B" w:rsidRPr="00ED218E">
        <w:t>e</w:t>
      </w:r>
      <w:r w:rsidR="00495E6B">
        <w:t xml:space="preserve"> are required by the Electricity Industry Act </w:t>
      </w:r>
      <w:r w:rsidR="00B63D44">
        <w:t xml:space="preserve">to have regard to the wholesale </w:t>
      </w:r>
      <w:r w:rsidR="003F7084">
        <w:t xml:space="preserve">electricity </w:t>
      </w:r>
      <w:r w:rsidR="003F7084" w:rsidRPr="007D68A0">
        <w:t>price</w:t>
      </w:r>
      <w:r w:rsidR="004A74D7">
        <w:t xml:space="preserve">, </w:t>
      </w:r>
      <w:r w:rsidR="00FD1506">
        <w:t>and no</w:t>
      </w:r>
      <w:r w:rsidR="009907DA">
        <w:t xml:space="preserve">t </w:t>
      </w:r>
      <w:r w:rsidR="006E5073">
        <w:t xml:space="preserve">the cost of individual </w:t>
      </w:r>
      <w:r w:rsidR="006C2FC0">
        <w:t>investments</w:t>
      </w:r>
      <w:r w:rsidR="00934BA0">
        <w:t>.</w:t>
      </w:r>
      <w:r w:rsidR="00D97D2E">
        <w:rPr>
          <w:rStyle w:val="FootnoteReference"/>
        </w:rPr>
        <w:footnoteReference w:id="48"/>
      </w:r>
    </w:p>
    <w:p w14:paraId="170073E3" w14:textId="0B2F5F73" w:rsidR="006A17BD" w:rsidRDefault="00CD4E34" w:rsidP="008653D9">
      <w:pPr>
        <w:pStyle w:val="Heading2"/>
      </w:pPr>
      <w:bookmarkStart w:id="104" w:name="_Toc159844570"/>
      <w:r>
        <w:t xml:space="preserve">A stepped </w:t>
      </w:r>
      <w:r w:rsidR="00627523">
        <w:t xml:space="preserve">feed-in </w:t>
      </w:r>
      <w:r>
        <w:t xml:space="preserve">tariff </w:t>
      </w:r>
      <w:r w:rsidR="00627523">
        <w:t xml:space="preserve">is unnecessarily </w:t>
      </w:r>
      <w:proofErr w:type="gramStart"/>
      <w:r w:rsidR="00627523">
        <w:t>complex</w:t>
      </w:r>
      <w:bookmarkEnd w:id="104"/>
      <w:proofErr w:type="gramEnd"/>
    </w:p>
    <w:p w14:paraId="3ACEF79B" w14:textId="1BDDB017" w:rsidR="005255A2" w:rsidRDefault="005255A2" w:rsidP="003325E5">
      <w:r>
        <w:t xml:space="preserve">Geelong </w:t>
      </w:r>
      <w:r w:rsidR="00F43D98">
        <w:t xml:space="preserve">Sustainability </w:t>
      </w:r>
      <w:r w:rsidR="000B319F">
        <w:t>submitted</w:t>
      </w:r>
      <w:r w:rsidR="00F43D98">
        <w:t>:</w:t>
      </w:r>
    </w:p>
    <w:p w14:paraId="5B6CE062" w14:textId="659E5312" w:rsidR="00F43D98" w:rsidRDefault="007D33AB" w:rsidP="007B00BF">
      <w:pPr>
        <w:pStyle w:val="Quote"/>
      </w:pPr>
      <w:r>
        <w:t>…</w:t>
      </w:r>
      <w:r w:rsidR="007D5F94" w:rsidRPr="007D5F94">
        <w:t>an</w:t>
      </w:r>
      <w:r w:rsidR="00F37028">
        <w:t xml:space="preserve"> </w:t>
      </w:r>
      <w:r w:rsidR="007D5F94" w:rsidRPr="007D5F94">
        <w:t>enhanced</w:t>
      </w:r>
      <w:r w:rsidR="00F37028">
        <w:t xml:space="preserve"> </w:t>
      </w:r>
      <w:r w:rsidR="007D5F94" w:rsidRPr="007D5F94">
        <w:t>commercial</w:t>
      </w:r>
      <w:r w:rsidR="00F37028">
        <w:t xml:space="preserve"> </w:t>
      </w:r>
      <w:r w:rsidR="007D5F94" w:rsidRPr="007D5F94">
        <w:t>value</w:t>
      </w:r>
      <w:r w:rsidR="00F37028">
        <w:t xml:space="preserve"> </w:t>
      </w:r>
      <w:r w:rsidR="007D5F94" w:rsidRPr="007D5F94">
        <w:t>of</w:t>
      </w:r>
      <w:r w:rsidR="00F37028">
        <w:t xml:space="preserve"> </w:t>
      </w:r>
      <w:r w:rsidR="007D5F94" w:rsidRPr="007D5F94">
        <w:t>solar export</w:t>
      </w:r>
      <w:r w:rsidR="00F37028">
        <w:t xml:space="preserve"> </w:t>
      </w:r>
      <w:r w:rsidR="007D5F94" w:rsidRPr="007D5F94">
        <w:t>exists</w:t>
      </w:r>
      <w:r w:rsidR="00F37028">
        <w:t xml:space="preserve"> </w:t>
      </w:r>
      <w:r w:rsidR="007D5F94" w:rsidRPr="007D5F94">
        <w:t>for</w:t>
      </w:r>
      <w:r w:rsidR="00F37028">
        <w:t xml:space="preserve"> </w:t>
      </w:r>
      <w:r w:rsidR="007D5F94" w:rsidRPr="007D5F94">
        <w:t>the</w:t>
      </w:r>
      <w:r w:rsidR="00F37028">
        <w:t xml:space="preserve"> </w:t>
      </w:r>
      <w:r w:rsidR="007D5F94" w:rsidRPr="007D5F94">
        <w:t>first few</w:t>
      </w:r>
      <w:r w:rsidR="00F37028">
        <w:t xml:space="preserve"> </w:t>
      </w:r>
      <w:r w:rsidR="007D5F94" w:rsidRPr="007D5F94">
        <w:t>kWh</w:t>
      </w:r>
      <w:r w:rsidR="00F37028">
        <w:t xml:space="preserve"> </w:t>
      </w:r>
      <w:r w:rsidR="007D5F94" w:rsidRPr="007D5F94">
        <w:t>fed</w:t>
      </w:r>
      <w:r w:rsidR="00F37028">
        <w:t xml:space="preserve"> </w:t>
      </w:r>
      <w:r w:rsidR="007D5F94" w:rsidRPr="007D5F94">
        <w:t>into</w:t>
      </w:r>
      <w:r w:rsidR="00F37028">
        <w:t xml:space="preserve"> </w:t>
      </w:r>
      <w:r w:rsidR="007D5F94" w:rsidRPr="007D5F94">
        <w:t>the</w:t>
      </w:r>
      <w:r w:rsidR="00F37028">
        <w:t xml:space="preserve"> </w:t>
      </w:r>
      <w:r w:rsidR="007D5F94" w:rsidRPr="007D5F94">
        <w:t>grid</w:t>
      </w:r>
      <w:r w:rsidR="00F37028">
        <w:t xml:space="preserve"> </w:t>
      </w:r>
      <w:r w:rsidR="007D5F94" w:rsidRPr="007D5F94">
        <w:t>and</w:t>
      </w:r>
      <w:r w:rsidR="00F37028">
        <w:t xml:space="preserve"> </w:t>
      </w:r>
      <w:r w:rsidR="007D5F94" w:rsidRPr="007D5F94">
        <w:t>is</w:t>
      </w:r>
      <w:r w:rsidR="00F37028">
        <w:t xml:space="preserve"> </w:t>
      </w:r>
      <w:r w:rsidR="007D5F94" w:rsidRPr="007D5F94">
        <w:t>demonstrated</w:t>
      </w:r>
      <w:r w:rsidR="00F37028">
        <w:t xml:space="preserve"> </w:t>
      </w:r>
      <w:r w:rsidR="007D5F94" w:rsidRPr="007D5F94">
        <w:t>by</w:t>
      </w:r>
      <w:r w:rsidR="00F37028">
        <w:t xml:space="preserve"> </w:t>
      </w:r>
      <w:r w:rsidR="007D5F94" w:rsidRPr="007D5F94">
        <w:t>several retailer offers.</w:t>
      </w:r>
      <w:r w:rsidR="00F37028">
        <w:t xml:space="preserve"> </w:t>
      </w:r>
      <w:r w:rsidR="007D5F94" w:rsidRPr="007D5F94">
        <w:t>The</w:t>
      </w:r>
      <w:r w:rsidR="00F37028">
        <w:t xml:space="preserve"> </w:t>
      </w:r>
      <w:r w:rsidR="007D5F94" w:rsidRPr="007D5F94">
        <w:t>Essential</w:t>
      </w:r>
      <w:r w:rsidR="00614142">
        <w:t xml:space="preserve"> </w:t>
      </w:r>
      <w:r w:rsidR="007D5F94" w:rsidRPr="007D5F94">
        <w:t>Services</w:t>
      </w:r>
      <w:r w:rsidR="00614142">
        <w:t xml:space="preserve"> </w:t>
      </w:r>
      <w:r w:rsidR="007D5F94" w:rsidRPr="007D5F94">
        <w:t>Commission</w:t>
      </w:r>
      <w:r w:rsidR="00614142">
        <w:t xml:space="preserve"> </w:t>
      </w:r>
      <w:r w:rsidR="007D5F94" w:rsidRPr="007D5F94">
        <w:t>should</w:t>
      </w:r>
      <w:r w:rsidR="00614142">
        <w:t xml:space="preserve"> </w:t>
      </w:r>
      <w:r w:rsidR="007D5F94" w:rsidRPr="007D5F94">
        <w:t>consider</w:t>
      </w:r>
      <w:r w:rsidR="00614142">
        <w:t xml:space="preserve"> </w:t>
      </w:r>
      <w:r w:rsidR="007D5F94" w:rsidRPr="007D5F94">
        <w:t>that feed-in</w:t>
      </w:r>
      <w:r w:rsidR="00614142">
        <w:t xml:space="preserve"> </w:t>
      </w:r>
      <w:r w:rsidR="007D5F94" w:rsidRPr="007D5F94">
        <w:t>t</w:t>
      </w:r>
      <w:r w:rsidR="004F7938">
        <w:t>a</w:t>
      </w:r>
      <w:r w:rsidR="007D5F94" w:rsidRPr="007D5F94">
        <w:t>riffs</w:t>
      </w:r>
      <w:r w:rsidR="004F7938">
        <w:t xml:space="preserve"> </w:t>
      </w:r>
      <w:r w:rsidR="007D5F94" w:rsidRPr="007D5F94">
        <w:t>be</w:t>
      </w:r>
      <w:r w:rsidR="004F7938">
        <w:t xml:space="preserve"> </w:t>
      </w:r>
      <w:r w:rsidR="007D5F94" w:rsidRPr="007D5F94">
        <w:t>determined by</w:t>
      </w:r>
      <w:r w:rsidR="004F7938">
        <w:t xml:space="preserve"> </w:t>
      </w:r>
      <w:r w:rsidR="007D5F94" w:rsidRPr="007D5F94">
        <w:t>the</w:t>
      </w:r>
      <w:r w:rsidR="004F7938">
        <w:t xml:space="preserve"> </w:t>
      </w:r>
      <w:r w:rsidR="007D5F94" w:rsidRPr="007D5F94">
        <w:t>volume</w:t>
      </w:r>
      <w:r w:rsidR="004F7938">
        <w:t xml:space="preserve"> </w:t>
      </w:r>
      <w:r w:rsidR="007D5F94" w:rsidRPr="007D5F94">
        <w:t>of</w:t>
      </w:r>
      <w:r w:rsidR="004F7938">
        <w:t xml:space="preserve"> </w:t>
      </w:r>
      <w:r w:rsidR="007D5F94" w:rsidRPr="007D5F94">
        <w:t>solar</w:t>
      </w:r>
      <w:r w:rsidR="004F7938">
        <w:t xml:space="preserve"> </w:t>
      </w:r>
      <w:r w:rsidR="007D5F94" w:rsidRPr="007D5F94">
        <w:t>exported</w:t>
      </w:r>
      <w:r w:rsidR="004F7938">
        <w:t xml:space="preserve"> </w:t>
      </w:r>
      <w:r w:rsidR="007D5F94" w:rsidRPr="007D5F94">
        <w:t>rather</w:t>
      </w:r>
      <w:r w:rsidR="004F7938">
        <w:t xml:space="preserve"> </w:t>
      </w:r>
      <w:r w:rsidR="007D5F94" w:rsidRPr="007D5F94">
        <w:t>than</w:t>
      </w:r>
      <w:r w:rsidR="004F7938">
        <w:t xml:space="preserve"> </w:t>
      </w:r>
      <w:r w:rsidR="007D5F94" w:rsidRPr="007D5F94">
        <w:t>a</w:t>
      </w:r>
      <w:r w:rsidR="004F7938">
        <w:t xml:space="preserve"> </w:t>
      </w:r>
      <w:r w:rsidR="007D5F94" w:rsidRPr="007D5F94">
        <w:t>time</w:t>
      </w:r>
      <w:r w:rsidR="004F7938">
        <w:t xml:space="preserve"> </w:t>
      </w:r>
      <w:r w:rsidR="007D5F94" w:rsidRPr="007D5F94">
        <w:t>of</w:t>
      </w:r>
      <w:r w:rsidR="004F7938">
        <w:t xml:space="preserve"> </w:t>
      </w:r>
      <w:r w:rsidR="007D5F94" w:rsidRPr="007D5F94">
        <w:t>use</w:t>
      </w:r>
      <w:r w:rsidR="004F7938">
        <w:t xml:space="preserve"> </w:t>
      </w:r>
      <w:r w:rsidR="007D5F94" w:rsidRPr="007D5F94">
        <w:t>or</w:t>
      </w:r>
      <w:r w:rsidR="004F7938">
        <w:t xml:space="preserve"> </w:t>
      </w:r>
      <w:r w:rsidR="007D5F94" w:rsidRPr="007D5F94">
        <w:t>flat</w:t>
      </w:r>
      <w:r w:rsidR="004F7938">
        <w:t xml:space="preserve"> </w:t>
      </w:r>
      <w:r w:rsidR="007D5F94" w:rsidRPr="007D5F94">
        <w:t>minimum.</w:t>
      </w:r>
      <w:r w:rsidR="001C5438">
        <w:rPr>
          <w:rStyle w:val="FootnoteReference"/>
        </w:rPr>
        <w:footnoteReference w:id="49"/>
      </w:r>
    </w:p>
    <w:p w14:paraId="6DC90A67" w14:textId="1BA3E4A1" w:rsidR="00163741" w:rsidRDefault="00994F15" w:rsidP="003325E5">
      <w:r w:rsidRPr="00977417">
        <w:t>W</w:t>
      </w:r>
      <w:r w:rsidR="00887BA3">
        <w:t>hen w</w:t>
      </w:r>
      <w:r w:rsidR="00F43D98" w:rsidRPr="00977417">
        <w:t xml:space="preserve">e </w:t>
      </w:r>
      <w:r w:rsidR="0074392E">
        <w:t>decide</w:t>
      </w:r>
      <w:r w:rsidR="00F43D98" w:rsidRPr="00977417">
        <w:t xml:space="preserve"> </w:t>
      </w:r>
      <w:r w:rsidR="00887BA3">
        <w:t>the minimum feed-in tariff</w:t>
      </w:r>
      <w:r w:rsidR="00B44404">
        <w:t>s</w:t>
      </w:r>
      <w:r w:rsidR="00887BA3">
        <w:t xml:space="preserve"> we </w:t>
      </w:r>
      <w:r w:rsidR="00BD5D73">
        <w:t xml:space="preserve">determine </w:t>
      </w:r>
      <w:r w:rsidR="00F43D98" w:rsidRPr="00977417">
        <w:t>an average value for solar</w:t>
      </w:r>
      <w:r w:rsidR="00AD0AF9">
        <w:t xml:space="preserve"> exports</w:t>
      </w:r>
      <w:r w:rsidR="00460517">
        <w:t>, which captures the variance in value throughout the day</w:t>
      </w:r>
      <w:r w:rsidR="00BD5D73">
        <w:t xml:space="preserve">. </w:t>
      </w:r>
      <w:r w:rsidR="00CF014B">
        <w:t xml:space="preserve">A stepped tariff </w:t>
      </w:r>
      <w:r w:rsidR="002A6983">
        <w:t>would be</w:t>
      </w:r>
      <w:r w:rsidR="00CF014B">
        <w:t xml:space="preserve"> unlikely to </w:t>
      </w:r>
      <w:r w:rsidR="00D40B1E">
        <w:t xml:space="preserve">materially </w:t>
      </w:r>
      <w:r w:rsidR="00CF014B">
        <w:t xml:space="preserve">increase feed-in tariff credits for </w:t>
      </w:r>
      <w:r w:rsidR="00EE1909">
        <w:t>most</w:t>
      </w:r>
      <w:r w:rsidR="00CF014B">
        <w:t xml:space="preserve"> solar customers</w:t>
      </w:r>
      <w:r w:rsidR="000A5D15">
        <w:t xml:space="preserve"> and it would create unnecessary complexity</w:t>
      </w:r>
      <w:r w:rsidR="00282ABB">
        <w:t>.</w:t>
      </w:r>
    </w:p>
    <w:p w14:paraId="60BDC885" w14:textId="16C8A3E1" w:rsidR="0031440B" w:rsidRDefault="00916C32" w:rsidP="00171C4A">
      <w:pPr>
        <w:pStyle w:val="Heading2"/>
      </w:pPr>
      <w:bookmarkStart w:id="105" w:name="_Toc159844571"/>
      <w:r>
        <w:t>Retailers cannot</w:t>
      </w:r>
      <w:r w:rsidR="00520920">
        <w:t xml:space="preserve"> use their customers’ solar energy for carbon </w:t>
      </w:r>
      <w:proofErr w:type="gramStart"/>
      <w:r w:rsidR="00520920">
        <w:t>credits</w:t>
      </w:r>
      <w:bookmarkEnd w:id="105"/>
      <w:proofErr w:type="gramEnd"/>
    </w:p>
    <w:p w14:paraId="11AC6E40" w14:textId="1B27D24B" w:rsidR="00173CB8" w:rsidRPr="00F55598" w:rsidRDefault="00213C7B" w:rsidP="00B210C3">
      <w:r w:rsidRPr="00F55598">
        <w:t xml:space="preserve">Geelong Sustainability said that retailers </w:t>
      </w:r>
      <w:r w:rsidR="00EA68F5" w:rsidRPr="00F55598">
        <w:t>onsell their customers’ solar energy</w:t>
      </w:r>
      <w:r w:rsidR="00486450">
        <w:t xml:space="preserve"> </w:t>
      </w:r>
      <w:r w:rsidR="00997EF5">
        <w:t>as ‘green power’ to other</w:t>
      </w:r>
      <w:r w:rsidR="00486450">
        <w:t xml:space="preserve"> customers for additional revenue:</w:t>
      </w:r>
    </w:p>
    <w:p w14:paraId="65782FCE" w14:textId="6731A413" w:rsidR="00213C7B" w:rsidRPr="00F55598" w:rsidRDefault="00213C7B" w:rsidP="002364F6">
      <w:pPr>
        <w:pStyle w:val="Quote"/>
      </w:pPr>
      <w:r w:rsidRPr="00F55598">
        <w:lastRenderedPageBreak/>
        <w:t>What</w:t>
      </w:r>
      <w:r w:rsidR="00EA68F5" w:rsidRPr="00F55598">
        <w:t xml:space="preserve"> </w:t>
      </w:r>
      <w:r w:rsidRPr="00F55598">
        <w:t>has</w:t>
      </w:r>
      <w:r w:rsidR="00EA68F5" w:rsidRPr="00F55598">
        <w:t xml:space="preserve"> </w:t>
      </w:r>
      <w:r w:rsidRPr="00F55598">
        <w:t>failed</w:t>
      </w:r>
      <w:r w:rsidR="00EA68F5" w:rsidRPr="00F55598">
        <w:t xml:space="preserve"> </w:t>
      </w:r>
      <w:r w:rsidRPr="00F55598">
        <w:t>to</w:t>
      </w:r>
      <w:r w:rsidR="00EA68F5" w:rsidRPr="00F55598">
        <w:t xml:space="preserve"> </w:t>
      </w:r>
      <w:r w:rsidRPr="00F55598">
        <w:t>be</w:t>
      </w:r>
      <w:r w:rsidR="00EA68F5" w:rsidRPr="00F55598">
        <w:t xml:space="preserve"> </w:t>
      </w:r>
      <w:r w:rsidRPr="00F55598">
        <w:t>considered</w:t>
      </w:r>
      <w:r w:rsidR="00EA68F5" w:rsidRPr="00F55598">
        <w:t xml:space="preserve"> </w:t>
      </w:r>
      <w:r w:rsidRPr="00F55598">
        <w:t>is</w:t>
      </w:r>
      <w:r w:rsidR="00EA68F5" w:rsidRPr="00F55598">
        <w:t xml:space="preserve"> </w:t>
      </w:r>
      <w:r w:rsidRPr="00F55598">
        <w:t>that</w:t>
      </w:r>
      <w:r w:rsidR="00EA68F5" w:rsidRPr="00F55598">
        <w:t xml:space="preserve"> </w:t>
      </w:r>
      <w:r w:rsidRPr="00F55598">
        <w:t>electricity</w:t>
      </w:r>
      <w:r w:rsidR="00EA68F5" w:rsidRPr="00F55598">
        <w:t xml:space="preserve"> </w:t>
      </w:r>
      <w:r w:rsidRPr="00F55598">
        <w:t>retailers</w:t>
      </w:r>
      <w:r w:rsidR="00EA68F5" w:rsidRPr="00F55598">
        <w:t xml:space="preserve"> </w:t>
      </w:r>
      <w:r w:rsidRPr="00F55598">
        <w:t>generally</w:t>
      </w:r>
      <w:r w:rsidR="00EA68F5" w:rsidRPr="00F55598">
        <w:t xml:space="preserve"> </w:t>
      </w:r>
      <w:r w:rsidRPr="00F55598">
        <w:t>aim</w:t>
      </w:r>
      <w:r w:rsidR="00EA68F5" w:rsidRPr="00F55598">
        <w:t xml:space="preserve"> </w:t>
      </w:r>
      <w:r w:rsidRPr="00F55598">
        <w:t>to</w:t>
      </w:r>
      <w:r w:rsidR="00EA68F5" w:rsidRPr="00F55598">
        <w:t xml:space="preserve"> </w:t>
      </w:r>
      <w:r w:rsidRPr="00F55598">
        <w:t>onsell</w:t>
      </w:r>
      <w:r w:rsidR="00EA68F5" w:rsidRPr="00F55598">
        <w:t xml:space="preserve"> </w:t>
      </w:r>
      <w:r w:rsidRPr="00F55598">
        <w:t>solar</w:t>
      </w:r>
      <w:r w:rsidR="00EA68F5" w:rsidRPr="00F55598">
        <w:t xml:space="preserve"> </w:t>
      </w:r>
      <w:r w:rsidRPr="00F55598">
        <w:t>energy</w:t>
      </w:r>
      <w:r w:rsidR="00EA68F5" w:rsidRPr="00F55598">
        <w:t xml:space="preserve"> </w:t>
      </w:r>
      <w:r w:rsidRPr="00F55598">
        <w:t>within</w:t>
      </w:r>
      <w:r w:rsidR="00EA68F5" w:rsidRPr="00F55598">
        <w:t xml:space="preserve"> </w:t>
      </w:r>
      <w:r w:rsidRPr="00F55598">
        <w:t>their</w:t>
      </w:r>
      <w:r w:rsidR="00EA68F5" w:rsidRPr="00F55598">
        <w:t xml:space="preserve"> </w:t>
      </w:r>
      <w:r w:rsidRPr="00F55598">
        <w:t>customer</w:t>
      </w:r>
      <w:r w:rsidR="00EA68F5" w:rsidRPr="00F55598">
        <w:t xml:space="preserve"> </w:t>
      </w:r>
      <w:r w:rsidRPr="00F55598">
        <w:t>portfolio</w:t>
      </w:r>
      <w:r w:rsidR="00EA68F5" w:rsidRPr="00F55598">
        <w:t xml:space="preserve"> </w:t>
      </w:r>
      <w:r w:rsidRPr="00F55598">
        <w:t>(often</w:t>
      </w:r>
      <w:r w:rsidR="009125AF" w:rsidRPr="00F55598">
        <w:t xml:space="preserve"> </w:t>
      </w:r>
      <w:r w:rsidRPr="00F55598">
        <w:t>as</w:t>
      </w:r>
      <w:r w:rsidR="009125AF" w:rsidRPr="00F55598">
        <w:t xml:space="preserve"> </w:t>
      </w:r>
      <w:r w:rsidRPr="00F55598">
        <w:t>green</w:t>
      </w:r>
      <w:r w:rsidR="009125AF" w:rsidRPr="00F55598">
        <w:t xml:space="preserve"> </w:t>
      </w:r>
      <w:r w:rsidRPr="00F55598">
        <w:t>power)</w:t>
      </w:r>
      <w:r w:rsidR="009125AF" w:rsidRPr="00F55598">
        <w:t xml:space="preserve"> </w:t>
      </w:r>
      <w:r w:rsidRPr="00F55598">
        <w:t>at an</w:t>
      </w:r>
      <w:r w:rsidR="00EA68F5" w:rsidRPr="00F55598">
        <w:t xml:space="preserve"> </w:t>
      </w:r>
      <w:r w:rsidRPr="00F55598">
        <w:t>additional</w:t>
      </w:r>
      <w:r w:rsidR="00EA68F5" w:rsidRPr="00F55598">
        <w:t xml:space="preserve"> </w:t>
      </w:r>
      <w:r w:rsidRPr="00F55598">
        <w:t>4-8</w:t>
      </w:r>
      <w:r w:rsidR="00EA68F5" w:rsidRPr="00F55598">
        <w:t xml:space="preserve"> </w:t>
      </w:r>
      <w:r w:rsidRPr="00F55598">
        <w:t>cents</w:t>
      </w:r>
      <w:r w:rsidR="00EA68F5" w:rsidRPr="00F55598">
        <w:t xml:space="preserve"> </w:t>
      </w:r>
      <w:r w:rsidRPr="00F55598">
        <w:t>per</w:t>
      </w:r>
      <w:r w:rsidR="00EA68F5" w:rsidRPr="00F55598">
        <w:t xml:space="preserve"> </w:t>
      </w:r>
      <w:r w:rsidRPr="00F55598">
        <w:t>kWh,</w:t>
      </w:r>
      <w:r w:rsidR="00B210C3" w:rsidRPr="00F55598">
        <w:t xml:space="preserve"> </w:t>
      </w:r>
      <w:r w:rsidRPr="00F55598">
        <w:t>enabling</w:t>
      </w:r>
      <w:r w:rsidR="00EA68F5" w:rsidRPr="00F55598">
        <w:t xml:space="preserve"> </w:t>
      </w:r>
      <w:r w:rsidRPr="00F55598">
        <w:t>additional revenues. It is</w:t>
      </w:r>
      <w:r w:rsidR="00EA68F5" w:rsidRPr="00F55598">
        <w:t xml:space="preserve"> </w:t>
      </w:r>
      <w:r w:rsidRPr="00F55598">
        <w:t>our</w:t>
      </w:r>
      <w:r w:rsidR="00EA68F5" w:rsidRPr="00F55598">
        <w:t xml:space="preserve"> </w:t>
      </w:r>
      <w:r w:rsidRPr="00F55598">
        <w:t>belief that</w:t>
      </w:r>
      <w:r w:rsidR="00B210C3" w:rsidRPr="00F55598">
        <w:t xml:space="preserve"> </w:t>
      </w:r>
      <w:r w:rsidRPr="00F55598">
        <w:t>any</w:t>
      </w:r>
      <w:r w:rsidR="00B210C3" w:rsidRPr="00F55598">
        <w:t xml:space="preserve"> minimum feed-in</w:t>
      </w:r>
      <w:r w:rsidR="00743997">
        <w:t xml:space="preserve"> </w:t>
      </w:r>
      <w:r w:rsidR="00691010">
        <w:t>t</w:t>
      </w:r>
      <w:r w:rsidR="008C40DE">
        <w:t>ariff</w:t>
      </w:r>
      <w:r w:rsidRPr="00F55598">
        <w:t xml:space="preserve"> determination</w:t>
      </w:r>
      <w:r w:rsidR="009125AF" w:rsidRPr="00F55598">
        <w:t xml:space="preserve"> </w:t>
      </w:r>
      <w:r w:rsidRPr="00F55598">
        <w:t>that</w:t>
      </w:r>
      <w:r w:rsidR="009125AF" w:rsidRPr="00F55598">
        <w:t xml:space="preserve"> </w:t>
      </w:r>
      <w:r w:rsidRPr="00F55598">
        <w:t>only</w:t>
      </w:r>
      <w:r w:rsidR="009125AF" w:rsidRPr="00F55598">
        <w:t xml:space="preserve"> </w:t>
      </w:r>
      <w:r w:rsidRPr="00F55598">
        <w:t>considers</w:t>
      </w:r>
      <w:r w:rsidR="009125AF" w:rsidRPr="00F55598">
        <w:t xml:space="preserve"> </w:t>
      </w:r>
      <w:r w:rsidRPr="00F55598">
        <w:t>wholesale</w:t>
      </w:r>
      <w:r w:rsidR="009125AF" w:rsidRPr="00F55598">
        <w:t xml:space="preserve"> </w:t>
      </w:r>
      <w:r w:rsidRPr="00F55598">
        <w:t>energy</w:t>
      </w:r>
      <w:r w:rsidR="009125AF" w:rsidRPr="00F55598">
        <w:t xml:space="preserve"> </w:t>
      </w:r>
      <w:r w:rsidRPr="00F55598">
        <w:t>prices</w:t>
      </w:r>
      <w:r w:rsidR="009125AF" w:rsidRPr="00F55598">
        <w:t xml:space="preserve"> </w:t>
      </w:r>
      <w:r w:rsidRPr="00F55598">
        <w:t>is</w:t>
      </w:r>
      <w:r w:rsidR="009125AF" w:rsidRPr="00F55598">
        <w:t xml:space="preserve"> </w:t>
      </w:r>
      <w:r w:rsidRPr="00F55598">
        <w:t>perceived</w:t>
      </w:r>
      <w:r w:rsidR="009125AF" w:rsidRPr="00F55598">
        <w:t xml:space="preserve"> </w:t>
      </w:r>
      <w:r w:rsidRPr="00F55598">
        <w:t>by</w:t>
      </w:r>
      <w:r w:rsidR="009125AF" w:rsidRPr="00F55598">
        <w:t xml:space="preserve"> </w:t>
      </w:r>
      <w:r w:rsidRPr="00F55598">
        <w:t>energy consumers</w:t>
      </w:r>
      <w:r w:rsidR="009125AF" w:rsidRPr="00F55598">
        <w:t xml:space="preserve"> </w:t>
      </w:r>
      <w:r w:rsidRPr="00F55598">
        <w:t>as</w:t>
      </w:r>
      <w:r w:rsidR="00605D7E" w:rsidRPr="00F55598">
        <w:t xml:space="preserve"> transferring </w:t>
      </w:r>
      <w:r w:rsidRPr="00F55598">
        <w:t>the</w:t>
      </w:r>
      <w:r w:rsidR="00605D7E" w:rsidRPr="00F55598">
        <w:t xml:space="preserve"> </w:t>
      </w:r>
      <w:r w:rsidRPr="00F55598">
        <w:t>price</w:t>
      </w:r>
      <w:r w:rsidR="00605D7E" w:rsidRPr="00F55598">
        <w:t xml:space="preserve"> </w:t>
      </w:r>
      <w:r w:rsidRPr="00F55598">
        <w:t>risks</w:t>
      </w:r>
      <w:r w:rsidR="00605D7E" w:rsidRPr="00F55598">
        <w:t xml:space="preserve"> </w:t>
      </w:r>
      <w:r w:rsidRPr="00F55598">
        <w:t>to</w:t>
      </w:r>
      <w:r w:rsidR="00605D7E" w:rsidRPr="00F55598">
        <w:t xml:space="preserve"> </w:t>
      </w:r>
      <w:r w:rsidRPr="00F55598">
        <w:t>them</w:t>
      </w:r>
      <w:r w:rsidR="00605D7E" w:rsidRPr="00F55598">
        <w:t xml:space="preserve"> </w:t>
      </w:r>
      <w:r w:rsidRPr="00F55598">
        <w:t>without</w:t>
      </w:r>
      <w:r w:rsidR="00605D7E" w:rsidRPr="00F55598">
        <w:t xml:space="preserve"> </w:t>
      </w:r>
      <w:r w:rsidRPr="00F55598">
        <w:t>passing</w:t>
      </w:r>
      <w:r w:rsidR="00605D7E" w:rsidRPr="00F55598">
        <w:t xml:space="preserve"> </w:t>
      </w:r>
      <w:r w:rsidRPr="00F55598">
        <w:t>through</w:t>
      </w:r>
      <w:r w:rsidR="00605D7E" w:rsidRPr="00F55598">
        <w:t xml:space="preserve"> </w:t>
      </w:r>
      <w:r w:rsidRPr="00F55598">
        <w:t>potential</w:t>
      </w:r>
      <w:r w:rsidR="00605D7E" w:rsidRPr="00F55598">
        <w:t xml:space="preserve"> </w:t>
      </w:r>
      <w:r w:rsidRPr="00F55598">
        <w:t>upsides.</w:t>
      </w:r>
      <w:r w:rsidR="000B694A">
        <w:rPr>
          <w:rStyle w:val="FootnoteReference"/>
        </w:rPr>
        <w:footnoteReference w:id="50"/>
      </w:r>
    </w:p>
    <w:p w14:paraId="5283A147" w14:textId="0AAC6303" w:rsidR="00065CC9" w:rsidRDefault="006450C2" w:rsidP="00925F26">
      <w:r>
        <w:t xml:space="preserve">Customers </w:t>
      </w:r>
      <w:r w:rsidR="008B3479">
        <w:t xml:space="preserve">can </w:t>
      </w:r>
      <w:r w:rsidR="00383BF2">
        <w:t xml:space="preserve">choose </w:t>
      </w:r>
      <w:r w:rsidR="008B3479">
        <w:t xml:space="preserve">to </w:t>
      </w:r>
      <w:r w:rsidR="00383BF2">
        <w:t>buy</w:t>
      </w:r>
      <w:r w:rsidR="00DD51DE">
        <w:t xml:space="preserve"> </w:t>
      </w:r>
      <w:r w:rsidR="00B9161F">
        <w:t>G</w:t>
      </w:r>
      <w:r w:rsidR="00DD51DE">
        <w:t>reen</w:t>
      </w:r>
      <w:r w:rsidR="00B9161F">
        <w:t>P</w:t>
      </w:r>
      <w:r w:rsidR="00DD51DE">
        <w:t>ower</w:t>
      </w:r>
      <w:r w:rsidR="00847D24">
        <w:t xml:space="preserve"> </w:t>
      </w:r>
      <w:r w:rsidR="005964B6">
        <w:t xml:space="preserve">for an additional cost. </w:t>
      </w:r>
    </w:p>
    <w:p w14:paraId="7E8DF3D8" w14:textId="77777777" w:rsidR="00050387" w:rsidRDefault="005964B6" w:rsidP="00925F26">
      <w:r>
        <w:t xml:space="preserve">Under the </w:t>
      </w:r>
      <w:r w:rsidR="00B9161F">
        <w:t>G</w:t>
      </w:r>
      <w:r>
        <w:t>reen</w:t>
      </w:r>
      <w:r w:rsidR="00B9161F">
        <w:t>P</w:t>
      </w:r>
      <w:r>
        <w:t>ower rules, retailers participating in the scheme,</w:t>
      </w:r>
      <w:r w:rsidRPr="00A161A7">
        <w:t xml:space="preserve"> must buy </w:t>
      </w:r>
      <w:r w:rsidR="00521B5E">
        <w:t xml:space="preserve">enough </w:t>
      </w:r>
      <w:r>
        <w:t>large-scale generation certificates</w:t>
      </w:r>
      <w:r w:rsidR="00521B5E">
        <w:t xml:space="preserve"> to </w:t>
      </w:r>
      <w:r w:rsidR="0049592C">
        <w:t>off</w:t>
      </w:r>
      <w:r w:rsidR="00117D0B">
        <w:t>set the carbon</w:t>
      </w:r>
      <w:r w:rsidR="00B9161F">
        <w:t xml:space="preserve"> emissions of their customers buying GreenPower</w:t>
      </w:r>
      <w:r>
        <w:t>.</w:t>
      </w:r>
    </w:p>
    <w:p w14:paraId="2E811C18" w14:textId="7B0C52E3" w:rsidR="00F51A34" w:rsidRDefault="005964B6" w:rsidP="00925F26">
      <w:r>
        <w:t xml:space="preserve">These certificates </w:t>
      </w:r>
      <w:r w:rsidRPr="00A161A7">
        <w:t xml:space="preserve">are </w:t>
      </w:r>
      <w:r>
        <w:t xml:space="preserve">only </w:t>
      </w:r>
      <w:r w:rsidRPr="00A161A7">
        <w:t>produced by large scale generators</w:t>
      </w:r>
      <w:r>
        <w:t>.</w:t>
      </w:r>
      <w:r>
        <w:rPr>
          <w:rStyle w:val="FootnoteReference"/>
        </w:rPr>
        <w:footnoteReference w:id="51"/>
      </w:r>
      <w:r w:rsidR="000722A4">
        <w:t xml:space="preserve"> </w:t>
      </w:r>
      <w:r w:rsidR="001B62D7">
        <w:t xml:space="preserve">In contrast, small scale generators such as </w:t>
      </w:r>
      <w:r w:rsidR="001D0D29">
        <w:t>roof top solar create small scale</w:t>
      </w:r>
      <w:r w:rsidR="00CA24B6">
        <w:t xml:space="preserve"> technology </w:t>
      </w:r>
      <w:r w:rsidR="00902F1E">
        <w:t>certificates.</w:t>
      </w:r>
      <w:r w:rsidR="00902F1E">
        <w:rPr>
          <w:rStyle w:val="FootnoteReference"/>
        </w:rPr>
        <w:footnoteReference w:id="52"/>
      </w:r>
      <w:r w:rsidR="00C01BA2">
        <w:t xml:space="preserve"> Solar customers</w:t>
      </w:r>
      <w:r w:rsidR="008A4C8B">
        <w:t xml:space="preserve"> generally give these certificates to their solar installers</w:t>
      </w:r>
      <w:r w:rsidR="00B821C3">
        <w:t xml:space="preserve"> (to offset installation costs). Solar installers </w:t>
      </w:r>
      <w:r w:rsidR="008A4C8B">
        <w:t xml:space="preserve">then sell </w:t>
      </w:r>
      <w:r w:rsidR="00B821C3">
        <w:t>certificates</w:t>
      </w:r>
      <w:r w:rsidR="008A4C8B">
        <w:t xml:space="preserve"> to electricity retailers</w:t>
      </w:r>
      <w:r w:rsidR="000809E6">
        <w:t xml:space="preserve"> who use those certificates</w:t>
      </w:r>
      <w:r w:rsidR="000D7B3F">
        <w:t xml:space="preserve"> to meet their obligations under the </w:t>
      </w:r>
      <w:r w:rsidR="00143B28">
        <w:t>Small-scale Renewable Energy Scheme</w:t>
      </w:r>
      <w:r w:rsidR="008A4C8B">
        <w:t>.</w:t>
      </w:r>
    </w:p>
    <w:p w14:paraId="51C23EDE" w14:textId="464601C8" w:rsidR="00C46682" w:rsidRPr="003325E5" w:rsidRDefault="00C46682" w:rsidP="003325E5">
      <w:pPr>
        <w:sectPr w:rsidR="00C46682" w:rsidRPr="003325E5" w:rsidSect="00000778">
          <w:headerReference w:type="default" r:id="rId30"/>
          <w:footerReference w:type="default" r:id="rId31"/>
          <w:pgSz w:w="11906" w:h="16838" w:code="9"/>
          <w:pgMar w:top="1134" w:right="1134" w:bottom="1134" w:left="1134" w:header="709" w:footer="692" w:gutter="0"/>
          <w:cols w:space="708"/>
          <w:docGrid w:linePitch="360"/>
        </w:sectPr>
      </w:pPr>
    </w:p>
    <w:p w14:paraId="09C643DA" w14:textId="4A3993E1" w:rsidR="002D28D8" w:rsidRDefault="002D28D8" w:rsidP="002D28D8">
      <w:pPr>
        <w:pStyle w:val="Heading1"/>
      </w:pPr>
      <w:bookmarkStart w:id="106" w:name="_Toc159844572"/>
      <w:r w:rsidRPr="00A60C24">
        <w:lastRenderedPageBreak/>
        <w:t xml:space="preserve">Appendix </w:t>
      </w:r>
      <w:r w:rsidR="00B724DB">
        <w:t>A</w:t>
      </w:r>
      <w:r w:rsidRPr="00A60C24">
        <w:t xml:space="preserve"> – Technical methodology</w:t>
      </w:r>
      <w:bookmarkEnd w:id="89"/>
      <w:bookmarkEnd w:id="90"/>
      <w:bookmarkEnd w:id="91"/>
      <w:bookmarkEnd w:id="106"/>
    </w:p>
    <w:p w14:paraId="1625AD5B" w14:textId="619391B2" w:rsidR="002D28D8" w:rsidRDefault="002D28D8" w:rsidP="002D28D8">
      <w:r>
        <w:t xml:space="preserve">Our approach to determining the minimum feed-in tariffs for 2024–25 is consistent with the approach used to set the minimum feed-in tariffs for 2023–24. The methodology is made up of the </w:t>
      </w:r>
      <w:r w:rsidR="00B06A5B">
        <w:t xml:space="preserve">following </w:t>
      </w:r>
      <w:r>
        <w:t xml:space="preserve">steps: </w:t>
      </w:r>
    </w:p>
    <w:p w14:paraId="3E784783" w14:textId="6942FF1D" w:rsidR="002D28D8" w:rsidRPr="00B353CC" w:rsidRDefault="002D28D8" w:rsidP="00DD707E">
      <w:pPr>
        <w:pStyle w:val="ListNumber"/>
      </w:pPr>
      <w:r w:rsidRPr="00DC6542">
        <w:rPr>
          <w:b/>
          <w:bCs/>
        </w:rPr>
        <w:t>Forecast solar weighted wholesale costs:</w:t>
      </w:r>
      <w:r w:rsidRPr="00B353CC">
        <w:t xml:space="preserve"> the value of electricity sourced from small</w:t>
      </w:r>
      <w:r w:rsidR="00DB028F">
        <w:t>-</w:t>
      </w:r>
      <w:r w:rsidRPr="00B353CC">
        <w:t>scale renewable generators, based on the avoided cost of purchasing an equal amount of electricity from the wholesale market, accounting for price changes throughout the day and seasonally, including:</w:t>
      </w:r>
    </w:p>
    <w:p w14:paraId="275C430F" w14:textId="467F9DF9" w:rsidR="002D28D8" w:rsidRPr="00B353CC" w:rsidRDefault="000E0DFD" w:rsidP="00DD707E">
      <w:pPr>
        <w:pStyle w:val="ListNumber2"/>
      </w:pPr>
      <w:r>
        <w:t>b</w:t>
      </w:r>
      <w:r w:rsidR="002D28D8" w:rsidRPr="00B353CC">
        <w:t xml:space="preserve">oth flat rate and time-varying rate </w:t>
      </w:r>
      <w:r w:rsidR="002D28D8">
        <w:t xml:space="preserve">solar weighted </w:t>
      </w:r>
      <w:r w:rsidR="002D28D8" w:rsidRPr="00B353CC">
        <w:t xml:space="preserve">wholesale electricity price forecasts </w:t>
      </w:r>
    </w:p>
    <w:p w14:paraId="19856175" w14:textId="77777777" w:rsidR="002D28D8" w:rsidRPr="00B353CC" w:rsidRDefault="002D28D8" w:rsidP="00DD707E">
      <w:pPr>
        <w:pStyle w:val="ListNumber2"/>
      </w:pPr>
      <w:r w:rsidRPr="00B353CC">
        <w:t>avoided market fees and ancillary service charges</w:t>
      </w:r>
      <w:r>
        <w:t>.</w:t>
      </w:r>
      <w:r w:rsidRPr="00B353CC">
        <w:t xml:space="preserve"> </w:t>
      </w:r>
    </w:p>
    <w:p w14:paraId="2CF8722A" w14:textId="4E47C760" w:rsidR="002D28D8" w:rsidRPr="00B353CC" w:rsidRDefault="002D28D8" w:rsidP="00DD707E">
      <w:pPr>
        <w:pStyle w:val="ListNumber"/>
      </w:pPr>
      <w:r w:rsidRPr="00DC6542">
        <w:rPr>
          <w:b/>
          <w:bCs/>
        </w:rPr>
        <w:t>Account for electricity lost in transport:</w:t>
      </w:r>
      <w:r w:rsidRPr="00B353CC">
        <w:t xml:space="preserve"> increase </w:t>
      </w:r>
      <w:r w:rsidR="006D3110">
        <w:t>the costs fr</w:t>
      </w:r>
      <w:r w:rsidR="0043011C">
        <w:t>om components abov</w:t>
      </w:r>
      <w:r w:rsidR="00E802B4">
        <w:t>e</w:t>
      </w:r>
      <w:r w:rsidRPr="00B353CC">
        <w:t xml:space="preserve"> to account for avoided transmission and distribution losses.</w:t>
      </w:r>
    </w:p>
    <w:p w14:paraId="524072A0" w14:textId="77777777" w:rsidR="002D28D8" w:rsidRPr="00B353CC" w:rsidRDefault="002D28D8" w:rsidP="00DD707E">
      <w:pPr>
        <w:pStyle w:val="ListNumber"/>
      </w:pPr>
      <w:r w:rsidRPr="00DC6542">
        <w:rPr>
          <w:b/>
          <w:bCs/>
        </w:rPr>
        <w:t>Account for social benefits:</w:t>
      </w:r>
      <w:r w:rsidRPr="00B353CC">
        <w:t xml:space="preserve"> add the avoided social cost of carbon and avoided human health costs. </w:t>
      </w:r>
    </w:p>
    <w:p w14:paraId="0D7A34E7" w14:textId="2DC47F42" w:rsidR="002D28D8" w:rsidRDefault="002D28D8" w:rsidP="002D28D8">
      <w:r>
        <w:t xml:space="preserve">Table </w:t>
      </w:r>
      <w:r w:rsidR="00ED5F77">
        <w:t>A</w:t>
      </w:r>
      <w:r>
        <w:t>.1 shows how the minimum feed-in tariff is calculated from these components.</w:t>
      </w:r>
    </w:p>
    <w:p w14:paraId="244C2E0E" w14:textId="619287D5" w:rsidR="002D28D8" w:rsidRDefault="002D28D8" w:rsidP="00BD0706">
      <w:pPr>
        <w:pStyle w:val="Figure-Table-BoxHeading"/>
      </w:pPr>
      <w:r w:rsidRPr="00741D41">
        <w:t xml:space="preserve">Table </w:t>
      </w:r>
      <w:r w:rsidR="00ED5F77">
        <w:t>A</w:t>
      </w:r>
      <w:r w:rsidRPr="00741D41">
        <w:t>.1: Calculating</w:t>
      </w:r>
      <w:r w:rsidRPr="00BD2202">
        <w:t xml:space="preserve"> the minimum feed-in </w:t>
      </w:r>
      <w:proofErr w:type="gramStart"/>
      <w:r w:rsidRPr="00BD2202">
        <w:t>tariff</w:t>
      </w:r>
      <w:proofErr w:type="gramEnd"/>
    </w:p>
    <w:tbl>
      <w:tblPr>
        <w:tblStyle w:val="TableGrid"/>
        <w:tblW w:w="5000" w:type="pct"/>
        <w:jc w:val="center"/>
        <w:tblLayout w:type="fixed"/>
        <w:tblLook w:val="04A0" w:firstRow="1" w:lastRow="0" w:firstColumn="1" w:lastColumn="0" w:noHBand="0" w:noVBand="1"/>
      </w:tblPr>
      <w:tblGrid>
        <w:gridCol w:w="1497"/>
        <w:gridCol w:w="2155"/>
        <w:gridCol w:w="873"/>
        <w:gridCol w:w="856"/>
        <w:gridCol w:w="856"/>
        <w:gridCol w:w="860"/>
        <w:gridCol w:w="856"/>
        <w:gridCol w:w="856"/>
        <w:gridCol w:w="829"/>
      </w:tblGrid>
      <w:tr w:rsidR="002D28D8" w:rsidRPr="00A122E4" w14:paraId="3E2DBFF9" w14:textId="77777777" w:rsidTr="000A0C8F">
        <w:trPr>
          <w:cnfStyle w:val="100000000000" w:firstRow="1" w:lastRow="0" w:firstColumn="0" w:lastColumn="0" w:oddVBand="0" w:evenVBand="0" w:oddHBand="0" w:evenHBand="0" w:firstRowFirstColumn="0" w:firstRowLastColumn="0" w:lastRowFirstColumn="0" w:lastRowLastColumn="0"/>
          <w:trHeight w:val="300"/>
          <w:tblHeader/>
          <w:jc w:val="center"/>
        </w:trPr>
        <w:tc>
          <w:tcPr>
            <w:tcW w:w="777" w:type="pct"/>
          </w:tcPr>
          <w:p w14:paraId="198F820A" w14:textId="77777777" w:rsidR="002D28D8" w:rsidRPr="000E786D" w:rsidRDefault="002D28D8">
            <w:pPr>
              <w:spacing w:before="0" w:line="240" w:lineRule="auto"/>
              <w:rPr>
                <w:rFonts w:ascii="Arial" w:eastAsia="Times New Roman" w:hAnsi="Arial" w:cs="Arial"/>
                <w:b w:val="0"/>
                <w:color w:val="FFFFFF"/>
                <w:sz w:val="16"/>
                <w:szCs w:val="16"/>
                <w:lang w:val="en-US" w:eastAsia="en-AU"/>
              </w:rPr>
            </w:pPr>
          </w:p>
        </w:tc>
        <w:tc>
          <w:tcPr>
            <w:tcW w:w="1118" w:type="pct"/>
          </w:tcPr>
          <w:p w14:paraId="317C80E4" w14:textId="77777777" w:rsidR="002D28D8" w:rsidRPr="000E786D" w:rsidRDefault="002D28D8">
            <w:pPr>
              <w:spacing w:before="0" w:line="240" w:lineRule="auto"/>
              <w:rPr>
                <w:rFonts w:ascii="Arial" w:eastAsia="Times New Roman" w:hAnsi="Arial" w:cs="Arial"/>
                <w:b w:val="0"/>
                <w:color w:val="FFFFFF"/>
                <w:sz w:val="16"/>
                <w:szCs w:val="16"/>
                <w:lang w:val="en-US" w:eastAsia="en-AU"/>
              </w:rPr>
            </w:pPr>
          </w:p>
        </w:tc>
        <w:tc>
          <w:tcPr>
            <w:tcW w:w="453" w:type="pct"/>
          </w:tcPr>
          <w:p w14:paraId="10697AB4" w14:textId="77777777" w:rsidR="002D28D8" w:rsidRPr="000E786D" w:rsidRDefault="002D28D8">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Flat rate</w:t>
            </w:r>
          </w:p>
        </w:tc>
        <w:tc>
          <w:tcPr>
            <w:tcW w:w="1333" w:type="pct"/>
            <w:gridSpan w:val="3"/>
          </w:tcPr>
          <w:p w14:paraId="399516FE" w14:textId="26BC60CD" w:rsidR="002D28D8" w:rsidRPr="000E786D" w:rsidRDefault="002D28D8">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 xml:space="preserve">Time-varying rate </w:t>
            </w:r>
            <w:r w:rsidR="008861AF">
              <w:rPr>
                <w:rFonts w:ascii="Arial" w:eastAsia="Times New Roman" w:hAnsi="Arial" w:cs="Arial"/>
                <w:b w:val="0"/>
                <w:color w:val="FFFFFF"/>
                <w:sz w:val="16"/>
                <w:szCs w:val="16"/>
                <w:lang w:val="en-US" w:eastAsia="en-AU"/>
              </w:rPr>
              <w:t>O</w:t>
            </w:r>
            <w:r w:rsidRPr="000E786D">
              <w:rPr>
                <w:rFonts w:ascii="Arial" w:eastAsia="Times New Roman" w:hAnsi="Arial" w:cs="Arial"/>
                <w:b w:val="0"/>
                <w:color w:val="FFFFFF"/>
                <w:sz w:val="16"/>
                <w:szCs w:val="16"/>
                <w:lang w:val="en-US" w:eastAsia="en-AU"/>
              </w:rPr>
              <w:t>ption 1</w:t>
            </w:r>
          </w:p>
        </w:tc>
        <w:tc>
          <w:tcPr>
            <w:tcW w:w="1319" w:type="pct"/>
            <w:gridSpan w:val="3"/>
          </w:tcPr>
          <w:p w14:paraId="279FF2AE" w14:textId="011ABCAF" w:rsidR="002D28D8" w:rsidRPr="000E786D" w:rsidRDefault="002D28D8">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 xml:space="preserve">Time-varying rate </w:t>
            </w:r>
            <w:r w:rsidR="008861AF">
              <w:rPr>
                <w:rFonts w:ascii="Arial" w:eastAsia="Times New Roman" w:hAnsi="Arial" w:cs="Arial"/>
                <w:b w:val="0"/>
                <w:color w:val="FFFFFF"/>
                <w:sz w:val="16"/>
                <w:szCs w:val="16"/>
                <w:lang w:val="en-US" w:eastAsia="en-AU"/>
              </w:rPr>
              <w:t>O</w:t>
            </w:r>
            <w:r w:rsidRPr="000E786D">
              <w:rPr>
                <w:rFonts w:ascii="Arial" w:eastAsia="Times New Roman" w:hAnsi="Arial" w:cs="Arial"/>
                <w:b w:val="0"/>
                <w:color w:val="FFFFFF"/>
                <w:sz w:val="16"/>
                <w:szCs w:val="16"/>
                <w:lang w:val="en-US" w:eastAsia="en-AU"/>
              </w:rPr>
              <w:t>ption 2</w:t>
            </w:r>
          </w:p>
        </w:tc>
      </w:tr>
      <w:tr w:rsidR="002D28D8" w:rsidRPr="00964938" w14:paraId="04F0D09A" w14:textId="77777777" w:rsidTr="000A0C8F">
        <w:trPr>
          <w:cnfStyle w:val="100000000000" w:firstRow="1" w:lastRow="0" w:firstColumn="0" w:lastColumn="0" w:oddVBand="0" w:evenVBand="0" w:oddHBand="0" w:evenHBand="0" w:firstRowFirstColumn="0" w:firstRowLastColumn="0" w:lastRowFirstColumn="0" w:lastRowLastColumn="0"/>
          <w:trHeight w:val="300"/>
          <w:tblHeader/>
          <w:jc w:val="center"/>
        </w:trPr>
        <w:tc>
          <w:tcPr>
            <w:tcW w:w="777" w:type="pct"/>
            <w:hideMark/>
          </w:tcPr>
          <w:p w14:paraId="7C2A8739" w14:textId="77777777" w:rsidR="002D28D8" w:rsidRPr="000E786D" w:rsidRDefault="002D28D8">
            <w:pPr>
              <w:spacing w:before="0" w:line="240" w:lineRule="auto"/>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Component </w:t>
            </w:r>
          </w:p>
        </w:tc>
        <w:tc>
          <w:tcPr>
            <w:tcW w:w="1118" w:type="pct"/>
          </w:tcPr>
          <w:p w14:paraId="069298C3" w14:textId="77777777" w:rsidR="002D28D8" w:rsidRPr="000E786D" w:rsidRDefault="002D28D8">
            <w:pPr>
              <w:spacing w:before="0" w:line="240" w:lineRule="auto"/>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Calculation </w:t>
            </w:r>
          </w:p>
        </w:tc>
        <w:tc>
          <w:tcPr>
            <w:tcW w:w="453" w:type="pct"/>
            <w:hideMark/>
          </w:tcPr>
          <w:p w14:paraId="40FB187A" w14:textId="77777777" w:rsidR="002D28D8" w:rsidRPr="000E786D" w:rsidRDefault="002D28D8">
            <w:pPr>
              <w:spacing w:before="0" w:line="240" w:lineRule="auto"/>
              <w:jc w:val="center"/>
              <w:rPr>
                <w:rFonts w:ascii="Arial" w:eastAsia="Times New Roman" w:hAnsi="Arial" w:cs="Arial"/>
                <w:b w:val="0"/>
                <w:color w:val="FFFFFF"/>
                <w:sz w:val="16"/>
                <w:szCs w:val="16"/>
                <w:lang w:val="en-US" w:eastAsia="en-AU"/>
              </w:rPr>
            </w:pPr>
          </w:p>
        </w:tc>
        <w:tc>
          <w:tcPr>
            <w:tcW w:w="444" w:type="pct"/>
          </w:tcPr>
          <w:p w14:paraId="7BE6DD87" w14:textId="77777777" w:rsidR="002D28D8" w:rsidRPr="000E786D" w:rsidRDefault="002D28D8">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Overnight</w:t>
            </w:r>
          </w:p>
        </w:tc>
        <w:tc>
          <w:tcPr>
            <w:tcW w:w="444" w:type="pct"/>
          </w:tcPr>
          <w:p w14:paraId="62CD82BF" w14:textId="77777777" w:rsidR="002D28D8" w:rsidRPr="000E786D" w:rsidRDefault="002D28D8">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Day</w:t>
            </w:r>
          </w:p>
        </w:tc>
        <w:tc>
          <w:tcPr>
            <w:tcW w:w="446" w:type="pct"/>
          </w:tcPr>
          <w:p w14:paraId="011DB939" w14:textId="77777777" w:rsidR="002D28D8" w:rsidRPr="000E786D" w:rsidRDefault="002D28D8">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Early evening</w:t>
            </w:r>
          </w:p>
        </w:tc>
        <w:tc>
          <w:tcPr>
            <w:tcW w:w="444" w:type="pct"/>
            <w:hideMark/>
          </w:tcPr>
          <w:p w14:paraId="6C577F65" w14:textId="77777777" w:rsidR="002D28D8" w:rsidRPr="000E786D" w:rsidRDefault="002D28D8">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Shoulder</w:t>
            </w:r>
          </w:p>
        </w:tc>
        <w:tc>
          <w:tcPr>
            <w:tcW w:w="444" w:type="pct"/>
          </w:tcPr>
          <w:p w14:paraId="73BF2EAA" w14:textId="7B1F790B" w:rsidR="002D28D8" w:rsidRPr="000E786D" w:rsidRDefault="000A0C8F">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Off peak</w:t>
            </w:r>
          </w:p>
        </w:tc>
        <w:tc>
          <w:tcPr>
            <w:tcW w:w="432" w:type="pct"/>
          </w:tcPr>
          <w:p w14:paraId="086E2792" w14:textId="3D79F55A" w:rsidR="002D28D8" w:rsidRPr="000E786D" w:rsidRDefault="000A0C8F">
            <w:pPr>
              <w:spacing w:before="0" w:line="240" w:lineRule="auto"/>
              <w:jc w:val="center"/>
              <w:rPr>
                <w:rFonts w:ascii="Arial" w:eastAsia="Times New Roman" w:hAnsi="Arial" w:cs="Arial"/>
                <w:b w:val="0"/>
                <w:color w:val="FFFFFF"/>
                <w:sz w:val="16"/>
                <w:szCs w:val="16"/>
                <w:lang w:val="en-US" w:eastAsia="en-AU"/>
              </w:rPr>
            </w:pPr>
            <w:r w:rsidRPr="000E786D">
              <w:rPr>
                <w:rFonts w:ascii="Arial" w:eastAsia="Times New Roman" w:hAnsi="Arial" w:cs="Arial"/>
                <w:b w:val="0"/>
                <w:color w:val="FFFFFF"/>
                <w:sz w:val="16"/>
                <w:szCs w:val="16"/>
                <w:lang w:val="en-US" w:eastAsia="en-AU"/>
              </w:rPr>
              <w:t>Peak</w:t>
            </w:r>
          </w:p>
        </w:tc>
      </w:tr>
      <w:tr w:rsidR="002D28D8" w:rsidRPr="00964938" w14:paraId="344E83A7" w14:textId="77777777" w:rsidTr="000A0C8F">
        <w:trPr>
          <w:cnfStyle w:val="000000100000" w:firstRow="0" w:lastRow="0" w:firstColumn="0" w:lastColumn="0" w:oddVBand="0" w:evenVBand="0" w:oddHBand="1" w:evenHBand="0" w:firstRowFirstColumn="0" w:firstRowLastColumn="0" w:lastRowFirstColumn="0" w:lastRowLastColumn="0"/>
          <w:trHeight w:val="300"/>
          <w:jc w:val="center"/>
        </w:trPr>
        <w:tc>
          <w:tcPr>
            <w:tcW w:w="777" w:type="pct"/>
            <w:hideMark/>
          </w:tcPr>
          <w:p w14:paraId="257F5F24" w14:textId="77777777" w:rsidR="002D28D8" w:rsidRPr="00964938" w:rsidRDefault="002D28D8">
            <w:pPr>
              <w:spacing w:before="0" w:line="240" w:lineRule="auto"/>
              <w:textAlignment w:val="baseline"/>
              <w:rPr>
                <w:rFonts w:ascii="Arial" w:eastAsia="Times New Roman" w:hAnsi="Arial" w:cs="Arial"/>
                <w:sz w:val="16"/>
                <w:szCs w:val="16"/>
                <w:lang w:eastAsia="en-AU"/>
              </w:rPr>
            </w:pPr>
            <w:r w:rsidRPr="00964938">
              <w:rPr>
                <w:rFonts w:ascii="Arial" w:eastAsia="Times New Roman" w:hAnsi="Arial" w:cs="Arial"/>
                <w:b/>
                <w:bCs/>
                <w:sz w:val="16"/>
                <w:szCs w:val="16"/>
                <w:lang w:eastAsia="en-AU"/>
              </w:rPr>
              <w:t>A</w:t>
            </w:r>
            <w:r w:rsidRPr="00964938">
              <w:rPr>
                <w:rFonts w:ascii="Arial" w:eastAsia="Times New Roman" w:hAnsi="Arial" w:cs="Arial"/>
                <w:sz w:val="16"/>
                <w:szCs w:val="16"/>
                <w:lang w:eastAsia="en-AU"/>
              </w:rPr>
              <w:t>: </w:t>
            </w:r>
            <w:r>
              <w:rPr>
                <w:rFonts w:ascii="Arial" w:eastAsia="Times New Roman" w:hAnsi="Arial" w:cs="Arial"/>
                <w:sz w:val="16"/>
                <w:szCs w:val="16"/>
                <w:lang w:eastAsia="en-AU"/>
              </w:rPr>
              <w:t>Solar weighted w</w:t>
            </w:r>
            <w:r w:rsidRPr="00964938">
              <w:rPr>
                <w:rFonts w:ascii="Arial" w:eastAsia="Times New Roman" w:hAnsi="Arial" w:cs="Arial"/>
                <w:sz w:val="16"/>
                <w:szCs w:val="16"/>
                <w:lang w:eastAsia="en-AU"/>
              </w:rPr>
              <w:t>holesale electricity prices </w:t>
            </w:r>
          </w:p>
        </w:tc>
        <w:tc>
          <w:tcPr>
            <w:tcW w:w="1118" w:type="pct"/>
          </w:tcPr>
          <w:p w14:paraId="2271AE96" w14:textId="77777777" w:rsidR="002D28D8" w:rsidRPr="00964938" w:rsidRDefault="002D28D8">
            <w:pPr>
              <w:spacing w:before="0" w:line="240" w:lineRule="auto"/>
              <w:rPr>
                <w:rFonts w:ascii="Arial" w:eastAsia="Times New Roman" w:hAnsi="Arial" w:cs="Arial"/>
                <w:sz w:val="16"/>
                <w:szCs w:val="16"/>
                <w:lang w:val="en-US" w:eastAsia="en-AU"/>
              </w:rPr>
            </w:pPr>
            <w:r w:rsidRPr="00964938">
              <w:rPr>
                <w:rFonts w:ascii="Arial" w:eastAsia="Times New Roman" w:hAnsi="Arial" w:cs="Arial"/>
                <w:sz w:val="16"/>
                <w:szCs w:val="16"/>
                <w:lang w:val="en-US" w:eastAsia="en-AU"/>
              </w:rPr>
              <w:t>Solar export-weighted average price</w:t>
            </w:r>
            <w:r>
              <w:rPr>
                <w:rFonts w:ascii="Arial" w:eastAsia="Times New Roman" w:hAnsi="Arial" w:cs="Arial"/>
                <w:sz w:val="16"/>
                <w:szCs w:val="16"/>
                <w:lang w:val="en-US" w:eastAsia="en-AU"/>
              </w:rPr>
              <w:t xml:space="preserve"> </w:t>
            </w:r>
            <w:r w:rsidRPr="00964938">
              <w:rPr>
                <w:rFonts w:ascii="Arial" w:eastAsia="Times New Roman" w:hAnsi="Arial" w:cs="Arial"/>
                <w:sz w:val="16"/>
                <w:szCs w:val="16"/>
                <w:lang w:val="en-US" w:eastAsia="en-AU"/>
              </w:rPr>
              <w:t>forecast</w:t>
            </w:r>
            <w:r>
              <w:rPr>
                <w:rFonts w:ascii="Arial" w:eastAsia="Times New Roman" w:hAnsi="Arial" w:cs="Arial"/>
                <w:sz w:val="16"/>
                <w:szCs w:val="16"/>
                <w:lang w:val="en-US" w:eastAsia="en-AU"/>
              </w:rPr>
              <w:t xml:space="preserve"> </w:t>
            </w:r>
            <w:r w:rsidRPr="00964938">
              <w:rPr>
                <w:rFonts w:ascii="Arial" w:eastAsia="Times New Roman" w:hAnsi="Arial" w:cs="Arial"/>
                <w:sz w:val="16"/>
                <w:szCs w:val="16"/>
                <w:lang w:val="en-US" w:eastAsia="en-AU"/>
              </w:rPr>
              <w:t xml:space="preserve">(cents per </w:t>
            </w:r>
            <w:r w:rsidRPr="001D01E3">
              <w:rPr>
                <w:rFonts w:ascii="Arial" w:eastAsia="Times New Roman" w:hAnsi="Arial" w:cs="Arial"/>
                <w:sz w:val="16"/>
                <w:szCs w:val="16"/>
                <w:lang w:val="en-US" w:eastAsia="en-AU"/>
              </w:rPr>
              <w:t>kWh</w:t>
            </w:r>
            <w:r w:rsidRPr="009E2015">
              <w:rPr>
                <w:rFonts w:ascii="Arial" w:hAnsi="Arial" w:cs="Arial"/>
                <w:sz w:val="16"/>
                <w:szCs w:val="16"/>
                <w:lang w:val="en-US" w:eastAsia="en-AU"/>
              </w:rPr>
              <w:t>)</w:t>
            </w:r>
            <w:r w:rsidRPr="00964938">
              <w:rPr>
                <w:rFonts w:ascii="Arial" w:eastAsia="Times New Roman" w:hAnsi="Arial" w:cs="Arial"/>
                <w:sz w:val="16"/>
                <w:szCs w:val="16"/>
                <w:lang w:val="en-US" w:eastAsia="en-AU"/>
              </w:rPr>
              <w:t> </w:t>
            </w:r>
          </w:p>
        </w:tc>
        <w:tc>
          <w:tcPr>
            <w:tcW w:w="453" w:type="pct"/>
            <w:hideMark/>
          </w:tcPr>
          <w:p w14:paraId="7E438768" w14:textId="542D8885" w:rsidR="002D28D8" w:rsidRPr="00964938" w:rsidRDefault="00831691">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0.64</w:t>
            </w:r>
          </w:p>
        </w:tc>
        <w:tc>
          <w:tcPr>
            <w:tcW w:w="444" w:type="pct"/>
          </w:tcPr>
          <w:p w14:paraId="7FAE9597" w14:textId="3BFD0B06" w:rsidR="002D28D8" w:rsidRPr="00964938" w:rsidRDefault="00831691">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4.74</w:t>
            </w:r>
          </w:p>
        </w:tc>
        <w:tc>
          <w:tcPr>
            <w:tcW w:w="444" w:type="pct"/>
          </w:tcPr>
          <w:p w14:paraId="67ADC8F3" w14:textId="759CCA1B" w:rsidR="002D28D8" w:rsidRPr="00964938" w:rsidRDefault="00831691">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0.20</w:t>
            </w:r>
          </w:p>
        </w:tc>
        <w:tc>
          <w:tcPr>
            <w:tcW w:w="446" w:type="pct"/>
          </w:tcPr>
          <w:p w14:paraId="1102FF4D" w14:textId="1B02615A" w:rsidR="002D28D8" w:rsidRPr="00964938" w:rsidRDefault="006E28B1">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4.19</w:t>
            </w:r>
          </w:p>
        </w:tc>
        <w:tc>
          <w:tcPr>
            <w:tcW w:w="444" w:type="pct"/>
            <w:hideMark/>
          </w:tcPr>
          <w:p w14:paraId="3B08EB77" w14:textId="455D70C5" w:rsidR="002D28D8" w:rsidRPr="00964938" w:rsidRDefault="009D6AFB">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1.41</w:t>
            </w:r>
          </w:p>
        </w:tc>
        <w:tc>
          <w:tcPr>
            <w:tcW w:w="444" w:type="pct"/>
          </w:tcPr>
          <w:p w14:paraId="603DFA70" w14:textId="0173A432" w:rsidR="002D28D8" w:rsidRPr="00964938" w:rsidRDefault="000A0C8F">
            <w:pPr>
              <w:spacing w:before="0" w:line="240" w:lineRule="auto"/>
              <w:jc w:val="right"/>
              <w:textAlignment w:val="baseline"/>
              <w:rPr>
                <w:rFonts w:ascii="Arial" w:eastAsia="Times New Roman" w:hAnsi="Arial" w:cs="Arial"/>
                <w:sz w:val="16"/>
                <w:szCs w:val="16"/>
                <w:lang w:eastAsia="en-AU"/>
              </w:rPr>
            </w:pPr>
            <w:r w:rsidRPr="000E786D">
              <w:rPr>
                <w:rFonts w:ascii="Arial" w:hAnsi="Arial" w:cs="Arial"/>
                <w:sz w:val="16"/>
                <w:szCs w:val="16"/>
              </w:rPr>
              <w:t>-0.4</w:t>
            </w:r>
            <w:r>
              <w:rPr>
                <w:rFonts w:ascii="Arial" w:hAnsi="Arial" w:cs="Arial"/>
                <w:sz w:val="16"/>
                <w:szCs w:val="16"/>
              </w:rPr>
              <w:t>1</w:t>
            </w:r>
          </w:p>
        </w:tc>
        <w:tc>
          <w:tcPr>
            <w:tcW w:w="432" w:type="pct"/>
          </w:tcPr>
          <w:p w14:paraId="44BD7C18" w14:textId="2CBBFC73" w:rsidR="002D28D8" w:rsidRPr="00964938" w:rsidRDefault="000A0C8F">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5.48</w:t>
            </w:r>
          </w:p>
        </w:tc>
      </w:tr>
      <w:tr w:rsidR="002D28D8" w:rsidRPr="00964938" w14:paraId="0C182EE0" w14:textId="77777777" w:rsidTr="000A0C8F">
        <w:trPr>
          <w:cnfStyle w:val="000000010000" w:firstRow="0" w:lastRow="0" w:firstColumn="0" w:lastColumn="0" w:oddVBand="0" w:evenVBand="0" w:oddHBand="0" w:evenHBand="1" w:firstRowFirstColumn="0" w:firstRowLastColumn="0" w:lastRowFirstColumn="0" w:lastRowLastColumn="0"/>
          <w:trHeight w:val="300"/>
          <w:jc w:val="center"/>
        </w:trPr>
        <w:tc>
          <w:tcPr>
            <w:tcW w:w="777" w:type="pct"/>
            <w:hideMark/>
          </w:tcPr>
          <w:p w14:paraId="431D7CD4" w14:textId="384D59CB" w:rsidR="002D28D8" w:rsidRPr="00964938" w:rsidRDefault="002D28D8">
            <w:pPr>
              <w:spacing w:before="0" w:line="240" w:lineRule="auto"/>
              <w:textAlignment w:val="baseline"/>
              <w:rPr>
                <w:rFonts w:ascii="Arial" w:eastAsia="Times New Roman" w:hAnsi="Arial" w:cs="Arial"/>
                <w:sz w:val="16"/>
                <w:szCs w:val="16"/>
                <w:lang w:eastAsia="en-AU"/>
              </w:rPr>
            </w:pPr>
            <w:r w:rsidRPr="00964938">
              <w:rPr>
                <w:rFonts w:ascii="Arial" w:eastAsia="Times New Roman" w:hAnsi="Arial" w:cs="Arial"/>
                <w:b/>
                <w:bCs/>
                <w:sz w:val="16"/>
                <w:szCs w:val="16"/>
                <w:lang w:eastAsia="en-AU"/>
              </w:rPr>
              <w:t>B</w:t>
            </w:r>
            <w:r w:rsidRPr="00964938">
              <w:rPr>
                <w:rFonts w:ascii="Arial" w:eastAsia="Times New Roman" w:hAnsi="Arial" w:cs="Arial"/>
                <w:sz w:val="16"/>
                <w:szCs w:val="16"/>
                <w:lang w:eastAsia="en-AU"/>
              </w:rPr>
              <w:t xml:space="preserve">: Avoided </w:t>
            </w:r>
            <w:r w:rsidR="00421DBD">
              <w:rPr>
                <w:rFonts w:ascii="Arial" w:eastAsia="Times New Roman" w:hAnsi="Arial" w:cs="Arial"/>
                <w:sz w:val="16"/>
                <w:szCs w:val="16"/>
                <w:lang w:eastAsia="en-AU"/>
              </w:rPr>
              <w:t xml:space="preserve">AEMO </w:t>
            </w:r>
            <w:r w:rsidRPr="00964938">
              <w:rPr>
                <w:rFonts w:ascii="Arial" w:eastAsia="Times New Roman" w:hAnsi="Arial" w:cs="Arial"/>
                <w:sz w:val="16"/>
                <w:szCs w:val="16"/>
                <w:lang w:eastAsia="en-AU"/>
              </w:rPr>
              <w:t>market fees and ancillary service charges </w:t>
            </w:r>
          </w:p>
        </w:tc>
        <w:tc>
          <w:tcPr>
            <w:tcW w:w="1118" w:type="pct"/>
          </w:tcPr>
          <w:p w14:paraId="5D4A9EB7" w14:textId="593D2F41" w:rsidR="002D28D8" w:rsidRPr="00964938" w:rsidRDefault="002D28D8">
            <w:pPr>
              <w:spacing w:before="0" w:line="240" w:lineRule="auto"/>
              <w:textAlignment w:val="baseline"/>
              <w:rPr>
                <w:rFonts w:ascii="Arial" w:eastAsia="Times New Roman" w:hAnsi="Arial" w:cs="Arial"/>
                <w:sz w:val="16"/>
                <w:szCs w:val="16"/>
                <w:lang w:eastAsia="en-AU"/>
              </w:rPr>
            </w:pPr>
            <w:r w:rsidRPr="00964938">
              <w:rPr>
                <w:rFonts w:ascii="Arial" w:eastAsia="Times New Roman" w:hAnsi="Arial" w:cs="Arial"/>
                <w:sz w:val="16"/>
                <w:szCs w:val="16"/>
                <w:lang w:eastAsia="en-AU"/>
              </w:rPr>
              <w:t xml:space="preserve">Budget National Electricity Market </w:t>
            </w:r>
            <w:r w:rsidRPr="000E786D">
              <w:rPr>
                <w:rFonts w:ascii="Arial" w:eastAsia="Times New Roman" w:hAnsi="Arial" w:cs="Arial"/>
                <w:sz w:val="16"/>
                <w:szCs w:val="16"/>
                <w:lang w:eastAsia="en-AU"/>
              </w:rPr>
              <w:t>fees</w:t>
            </w:r>
            <w:r w:rsidRPr="00964938">
              <w:rPr>
                <w:rFonts w:ascii="Arial" w:eastAsia="Times New Roman" w:hAnsi="Arial" w:cs="Arial"/>
                <w:sz w:val="16"/>
                <w:szCs w:val="16"/>
                <w:lang w:eastAsia="en-AU"/>
              </w:rPr>
              <w:t xml:space="preserve"> for </w:t>
            </w:r>
            <w:r w:rsidRPr="000E786D">
              <w:rPr>
                <w:rFonts w:ascii="Arial" w:eastAsia="Times New Roman" w:hAnsi="Arial" w:cs="Arial"/>
                <w:sz w:val="16"/>
                <w:szCs w:val="16"/>
                <w:lang w:eastAsia="en-AU"/>
              </w:rPr>
              <w:t>2023</w:t>
            </w:r>
            <w:r>
              <w:rPr>
                <w:rFonts w:ascii="Arial" w:eastAsia="Times New Roman" w:hAnsi="Arial" w:cs="Arial"/>
                <w:sz w:val="16"/>
                <w:szCs w:val="16"/>
                <w:lang w:eastAsia="en-AU"/>
              </w:rPr>
              <w:t>–</w:t>
            </w:r>
            <w:r w:rsidRPr="000E786D">
              <w:rPr>
                <w:rFonts w:ascii="Arial" w:eastAsia="Times New Roman" w:hAnsi="Arial" w:cs="Arial"/>
                <w:sz w:val="16"/>
                <w:szCs w:val="16"/>
                <w:lang w:eastAsia="en-AU"/>
              </w:rPr>
              <w:t>24</w:t>
            </w:r>
            <w:r w:rsidRPr="00964938">
              <w:rPr>
                <w:rFonts w:ascii="Arial" w:eastAsia="Times New Roman" w:hAnsi="Arial" w:cs="Arial"/>
                <w:sz w:val="16"/>
                <w:szCs w:val="16"/>
                <w:lang w:eastAsia="en-AU"/>
              </w:rPr>
              <w:t xml:space="preserve"> for </w:t>
            </w:r>
            <w:r w:rsidRPr="000E786D">
              <w:rPr>
                <w:rFonts w:ascii="Arial" w:eastAsia="Times New Roman" w:hAnsi="Arial" w:cs="Arial"/>
                <w:sz w:val="16"/>
                <w:szCs w:val="16"/>
                <w:lang w:eastAsia="en-AU"/>
              </w:rPr>
              <w:t>2024</w:t>
            </w:r>
            <w:r>
              <w:rPr>
                <w:rFonts w:ascii="Arial" w:eastAsia="Times New Roman" w:hAnsi="Arial" w:cs="Arial"/>
                <w:sz w:val="16"/>
                <w:szCs w:val="16"/>
                <w:lang w:eastAsia="en-AU"/>
              </w:rPr>
              <w:t>–</w:t>
            </w:r>
            <w:r w:rsidRPr="000E786D">
              <w:rPr>
                <w:rFonts w:ascii="Arial" w:eastAsia="Times New Roman" w:hAnsi="Arial" w:cs="Arial"/>
                <w:sz w:val="16"/>
                <w:szCs w:val="16"/>
                <w:lang w:eastAsia="en-AU"/>
              </w:rPr>
              <w:t>25</w:t>
            </w:r>
            <w:r w:rsidRPr="00964938">
              <w:rPr>
                <w:rFonts w:ascii="Arial" w:eastAsia="Times New Roman" w:hAnsi="Arial" w:cs="Arial"/>
                <w:sz w:val="16"/>
                <w:szCs w:val="16"/>
                <w:lang w:eastAsia="en-AU"/>
              </w:rPr>
              <w:t xml:space="preserve"> + Average of the ancillary service charges </w:t>
            </w:r>
            <w:r w:rsidR="009E2015">
              <w:rPr>
                <w:rFonts w:ascii="Arial" w:eastAsia="Times New Roman" w:hAnsi="Arial" w:cs="Arial"/>
                <w:sz w:val="16"/>
                <w:szCs w:val="16"/>
                <w:lang w:eastAsia="en-AU"/>
              </w:rPr>
              <w:t xml:space="preserve">between </w:t>
            </w:r>
            <w:r w:rsidR="00C56ECF">
              <w:rPr>
                <w:rFonts w:ascii="Arial" w:eastAsia="Times New Roman" w:hAnsi="Arial" w:cs="Arial"/>
                <w:sz w:val="16"/>
                <w:szCs w:val="16"/>
                <w:lang w:eastAsia="en-AU"/>
              </w:rPr>
              <w:t>1Jan 2023 to 31 Dec 2023</w:t>
            </w:r>
            <w:r w:rsidRPr="00964938">
              <w:rPr>
                <w:rFonts w:ascii="Arial" w:eastAsia="Times New Roman" w:hAnsi="Arial" w:cs="Arial"/>
                <w:sz w:val="16"/>
                <w:szCs w:val="16"/>
                <w:lang w:eastAsia="en-AU"/>
              </w:rPr>
              <w:t xml:space="preserve"> (cents per kWh) </w:t>
            </w:r>
          </w:p>
        </w:tc>
        <w:tc>
          <w:tcPr>
            <w:tcW w:w="453" w:type="pct"/>
            <w:hideMark/>
          </w:tcPr>
          <w:p w14:paraId="12B7BA2F" w14:textId="48A3B1B1" w:rsidR="002D28D8" w:rsidRPr="00964938" w:rsidRDefault="00C87A1D">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0.08</w:t>
            </w:r>
          </w:p>
        </w:tc>
        <w:tc>
          <w:tcPr>
            <w:tcW w:w="444" w:type="pct"/>
          </w:tcPr>
          <w:p w14:paraId="2D6E5F89" w14:textId="552D1660" w:rsidR="002D28D8" w:rsidRPr="00964938" w:rsidRDefault="00C87A1D">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0.08</w:t>
            </w:r>
          </w:p>
        </w:tc>
        <w:tc>
          <w:tcPr>
            <w:tcW w:w="444" w:type="pct"/>
          </w:tcPr>
          <w:p w14:paraId="7E53E907" w14:textId="05C87190" w:rsidR="002D28D8" w:rsidRPr="00964938" w:rsidRDefault="00C87A1D">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0.08</w:t>
            </w:r>
          </w:p>
        </w:tc>
        <w:tc>
          <w:tcPr>
            <w:tcW w:w="446" w:type="pct"/>
          </w:tcPr>
          <w:p w14:paraId="741F9EB6" w14:textId="421DB504" w:rsidR="002D28D8" w:rsidRPr="00964938" w:rsidRDefault="00C87A1D">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0.08</w:t>
            </w:r>
          </w:p>
        </w:tc>
        <w:tc>
          <w:tcPr>
            <w:tcW w:w="444" w:type="pct"/>
            <w:hideMark/>
          </w:tcPr>
          <w:p w14:paraId="7C189EFB" w14:textId="6D6CC2EB" w:rsidR="002D28D8" w:rsidRPr="00964938" w:rsidRDefault="00C87A1D">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0.08</w:t>
            </w:r>
          </w:p>
        </w:tc>
        <w:tc>
          <w:tcPr>
            <w:tcW w:w="444" w:type="pct"/>
          </w:tcPr>
          <w:p w14:paraId="5797EE8E" w14:textId="779E7657" w:rsidR="002D28D8" w:rsidRPr="00964938" w:rsidRDefault="00C87A1D">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0.08</w:t>
            </w:r>
          </w:p>
        </w:tc>
        <w:tc>
          <w:tcPr>
            <w:tcW w:w="432" w:type="pct"/>
          </w:tcPr>
          <w:p w14:paraId="7AA7A2A9" w14:textId="774E43E3" w:rsidR="002D28D8" w:rsidRPr="00964938" w:rsidRDefault="000A0C8F">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0.08</w:t>
            </w:r>
          </w:p>
        </w:tc>
      </w:tr>
      <w:tr w:rsidR="002D28D8" w:rsidRPr="00964938" w14:paraId="64F02054" w14:textId="77777777" w:rsidTr="000A0C8F">
        <w:trPr>
          <w:cnfStyle w:val="000000100000" w:firstRow="0" w:lastRow="0" w:firstColumn="0" w:lastColumn="0" w:oddVBand="0" w:evenVBand="0" w:oddHBand="1" w:evenHBand="0" w:firstRowFirstColumn="0" w:firstRowLastColumn="0" w:lastRowFirstColumn="0" w:lastRowLastColumn="0"/>
          <w:trHeight w:val="300"/>
          <w:jc w:val="center"/>
        </w:trPr>
        <w:tc>
          <w:tcPr>
            <w:tcW w:w="777" w:type="pct"/>
            <w:hideMark/>
          </w:tcPr>
          <w:p w14:paraId="16CAF60F" w14:textId="77777777" w:rsidR="002D28D8" w:rsidRPr="00964938" w:rsidRDefault="002D28D8">
            <w:pPr>
              <w:spacing w:before="0" w:line="240" w:lineRule="auto"/>
              <w:textAlignment w:val="baseline"/>
              <w:rPr>
                <w:rFonts w:ascii="Arial" w:eastAsia="Times New Roman" w:hAnsi="Arial" w:cs="Arial"/>
                <w:sz w:val="16"/>
                <w:szCs w:val="16"/>
                <w:lang w:eastAsia="en-AU"/>
              </w:rPr>
            </w:pPr>
            <w:r w:rsidRPr="00964938">
              <w:rPr>
                <w:rFonts w:ascii="Arial" w:eastAsia="Times New Roman" w:hAnsi="Arial" w:cs="Arial"/>
                <w:b/>
                <w:bCs/>
                <w:sz w:val="16"/>
                <w:szCs w:val="16"/>
                <w:lang w:eastAsia="en-AU"/>
              </w:rPr>
              <w:t>C</w:t>
            </w:r>
            <w:r w:rsidRPr="00964938">
              <w:rPr>
                <w:rFonts w:ascii="Arial" w:eastAsia="Times New Roman" w:hAnsi="Arial" w:cs="Arial"/>
                <w:sz w:val="16"/>
                <w:szCs w:val="16"/>
                <w:lang w:eastAsia="en-AU"/>
              </w:rPr>
              <w:t>: Transmission and distribution</w:t>
            </w:r>
            <w:r>
              <w:rPr>
                <w:rFonts w:ascii="Arial" w:eastAsia="Times New Roman" w:hAnsi="Arial" w:cs="Arial"/>
                <w:sz w:val="16"/>
                <w:szCs w:val="16"/>
                <w:lang w:eastAsia="en-AU"/>
              </w:rPr>
              <w:t xml:space="preserve"> </w:t>
            </w:r>
            <w:r w:rsidRPr="00964938">
              <w:rPr>
                <w:rFonts w:ascii="Arial" w:eastAsia="Times New Roman" w:hAnsi="Arial" w:cs="Arial"/>
                <w:sz w:val="16"/>
                <w:szCs w:val="16"/>
                <w:lang w:eastAsia="en-AU"/>
              </w:rPr>
              <w:t>loss adjustment</w:t>
            </w:r>
          </w:p>
        </w:tc>
        <w:tc>
          <w:tcPr>
            <w:tcW w:w="1118" w:type="pct"/>
          </w:tcPr>
          <w:p w14:paraId="034E5726" w14:textId="67C1D600" w:rsidR="002D28D8" w:rsidRPr="00964938" w:rsidRDefault="00E300D9">
            <w:pPr>
              <w:spacing w:before="0" w:line="240" w:lineRule="auto"/>
              <w:textAlignment w:val="baseline"/>
              <w:rPr>
                <w:rFonts w:ascii="Arial" w:eastAsia="Times New Roman" w:hAnsi="Arial" w:cs="Arial"/>
                <w:sz w:val="16"/>
                <w:szCs w:val="16"/>
                <w:lang w:eastAsia="en-AU"/>
              </w:rPr>
            </w:pPr>
            <w:r>
              <w:rPr>
                <w:rFonts w:ascii="Arial" w:eastAsia="Times New Roman" w:hAnsi="Arial" w:cs="Arial"/>
                <w:sz w:val="16"/>
                <w:szCs w:val="16"/>
                <w:lang w:eastAsia="en-AU"/>
              </w:rPr>
              <w:t>Customer weighted average</w:t>
            </w:r>
            <w:r w:rsidR="002D28D8" w:rsidRPr="00964938">
              <w:rPr>
                <w:rFonts w:ascii="Arial" w:eastAsia="Times New Roman" w:hAnsi="Arial" w:cs="Arial"/>
                <w:sz w:val="16"/>
                <w:szCs w:val="16"/>
                <w:lang w:eastAsia="en-AU"/>
              </w:rPr>
              <w:t xml:space="preserve"> losses </w:t>
            </w:r>
            <w:r w:rsidR="005254C5">
              <w:rPr>
                <w:rFonts w:ascii="Arial" w:eastAsia="Times New Roman" w:hAnsi="Arial" w:cs="Arial"/>
                <w:sz w:val="16"/>
                <w:szCs w:val="16"/>
                <w:lang w:eastAsia="en-AU"/>
              </w:rPr>
              <w:t>across</w:t>
            </w:r>
            <w:r w:rsidR="002D28D8" w:rsidRPr="00964938">
              <w:rPr>
                <w:rFonts w:ascii="Arial" w:eastAsia="Times New Roman" w:hAnsi="Arial" w:cs="Arial"/>
                <w:sz w:val="16"/>
                <w:szCs w:val="16"/>
                <w:lang w:eastAsia="en-AU"/>
              </w:rPr>
              <w:t xml:space="preserve"> </w:t>
            </w:r>
            <w:r w:rsidR="005254C5">
              <w:rPr>
                <w:rFonts w:ascii="Arial" w:eastAsia="Times New Roman" w:hAnsi="Arial" w:cs="Arial"/>
                <w:sz w:val="16"/>
                <w:szCs w:val="16"/>
                <w:lang w:eastAsia="en-AU"/>
              </w:rPr>
              <w:t xml:space="preserve">all </w:t>
            </w:r>
            <w:r w:rsidR="002D28D8" w:rsidRPr="00964938">
              <w:rPr>
                <w:rFonts w:ascii="Arial" w:eastAsia="Times New Roman" w:hAnsi="Arial" w:cs="Arial"/>
                <w:sz w:val="16"/>
                <w:szCs w:val="16"/>
                <w:lang w:eastAsia="en-AU"/>
              </w:rPr>
              <w:t xml:space="preserve">distribution </w:t>
            </w:r>
            <w:r w:rsidR="005254C5">
              <w:rPr>
                <w:rFonts w:ascii="Arial" w:eastAsia="Times New Roman" w:hAnsi="Arial" w:cs="Arial"/>
                <w:sz w:val="16"/>
                <w:szCs w:val="16"/>
                <w:lang w:eastAsia="en-AU"/>
              </w:rPr>
              <w:t>zones</w:t>
            </w:r>
          </w:p>
        </w:tc>
        <w:tc>
          <w:tcPr>
            <w:tcW w:w="453" w:type="pct"/>
            <w:hideMark/>
          </w:tcPr>
          <w:p w14:paraId="6F71FB08" w14:textId="5BA5A3CF" w:rsidR="002D28D8" w:rsidRPr="00964938" w:rsidRDefault="00C87A1D">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6.36%</w:t>
            </w:r>
          </w:p>
        </w:tc>
        <w:tc>
          <w:tcPr>
            <w:tcW w:w="444" w:type="pct"/>
          </w:tcPr>
          <w:p w14:paraId="02B864E3" w14:textId="2E31DFAC" w:rsidR="002D28D8" w:rsidRPr="00964938" w:rsidRDefault="00C87A1D">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6.36%</w:t>
            </w:r>
          </w:p>
        </w:tc>
        <w:tc>
          <w:tcPr>
            <w:tcW w:w="444" w:type="pct"/>
          </w:tcPr>
          <w:p w14:paraId="77031022" w14:textId="46DB5F41" w:rsidR="002D28D8" w:rsidRPr="00964938" w:rsidRDefault="00C87A1D">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6.36%</w:t>
            </w:r>
          </w:p>
        </w:tc>
        <w:tc>
          <w:tcPr>
            <w:tcW w:w="446" w:type="pct"/>
          </w:tcPr>
          <w:p w14:paraId="4B8EE6FB" w14:textId="285C7321" w:rsidR="002D28D8" w:rsidRPr="00964938" w:rsidRDefault="00C87A1D">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6.36%</w:t>
            </w:r>
          </w:p>
        </w:tc>
        <w:tc>
          <w:tcPr>
            <w:tcW w:w="444" w:type="pct"/>
            <w:hideMark/>
          </w:tcPr>
          <w:p w14:paraId="44401B0D" w14:textId="6987E2DA" w:rsidR="002D28D8" w:rsidRPr="00964938" w:rsidRDefault="00C87A1D">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6.36%</w:t>
            </w:r>
          </w:p>
        </w:tc>
        <w:tc>
          <w:tcPr>
            <w:tcW w:w="444" w:type="pct"/>
          </w:tcPr>
          <w:p w14:paraId="6A5AA2D4" w14:textId="7F1F4D0A" w:rsidR="002D28D8" w:rsidRPr="00964938" w:rsidRDefault="00C87A1D">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6.36%</w:t>
            </w:r>
          </w:p>
        </w:tc>
        <w:tc>
          <w:tcPr>
            <w:tcW w:w="432" w:type="pct"/>
          </w:tcPr>
          <w:p w14:paraId="32258871" w14:textId="56C9B9C2" w:rsidR="002D28D8" w:rsidRPr="00964938" w:rsidRDefault="000A0C8F">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6.36%</w:t>
            </w:r>
          </w:p>
        </w:tc>
      </w:tr>
      <w:tr w:rsidR="002D28D8" w:rsidRPr="00964938" w14:paraId="6D9BEDFE" w14:textId="77777777" w:rsidTr="000A0C8F">
        <w:trPr>
          <w:cnfStyle w:val="000000010000" w:firstRow="0" w:lastRow="0" w:firstColumn="0" w:lastColumn="0" w:oddVBand="0" w:evenVBand="0" w:oddHBand="0" w:evenHBand="1" w:firstRowFirstColumn="0" w:firstRowLastColumn="0" w:lastRowFirstColumn="0" w:lastRowLastColumn="0"/>
          <w:trHeight w:val="300"/>
          <w:jc w:val="center"/>
        </w:trPr>
        <w:tc>
          <w:tcPr>
            <w:tcW w:w="777" w:type="pct"/>
            <w:hideMark/>
          </w:tcPr>
          <w:p w14:paraId="6B152914" w14:textId="77777777" w:rsidR="002D28D8" w:rsidRPr="00964938" w:rsidRDefault="002D28D8">
            <w:pPr>
              <w:spacing w:before="0" w:line="240" w:lineRule="auto"/>
              <w:textAlignment w:val="baseline"/>
              <w:rPr>
                <w:rFonts w:ascii="Arial" w:eastAsia="Times New Roman" w:hAnsi="Arial" w:cs="Arial"/>
                <w:sz w:val="16"/>
                <w:szCs w:val="16"/>
                <w:lang w:eastAsia="en-AU"/>
              </w:rPr>
            </w:pPr>
            <w:r w:rsidRPr="00964938">
              <w:rPr>
                <w:rFonts w:ascii="Arial" w:eastAsia="Times New Roman" w:hAnsi="Arial" w:cs="Arial"/>
                <w:b/>
                <w:bCs/>
                <w:sz w:val="16"/>
                <w:szCs w:val="16"/>
                <w:lang w:eastAsia="en-AU"/>
              </w:rPr>
              <w:t>D</w:t>
            </w:r>
            <w:r w:rsidRPr="00964938">
              <w:rPr>
                <w:rFonts w:ascii="Arial" w:eastAsia="Times New Roman" w:hAnsi="Arial" w:cs="Arial"/>
                <w:sz w:val="16"/>
                <w:szCs w:val="16"/>
                <w:lang w:eastAsia="en-AU"/>
              </w:rPr>
              <w:t>: Value of avoided transmission and distribution losses </w:t>
            </w:r>
          </w:p>
        </w:tc>
        <w:tc>
          <w:tcPr>
            <w:tcW w:w="1118" w:type="pct"/>
          </w:tcPr>
          <w:p w14:paraId="25D5DA0E" w14:textId="77777777" w:rsidR="002D28D8" w:rsidRPr="00964938" w:rsidRDefault="002D28D8">
            <w:pPr>
              <w:spacing w:before="0" w:line="240" w:lineRule="auto"/>
              <w:textAlignment w:val="baseline"/>
              <w:rPr>
                <w:rFonts w:ascii="Arial" w:eastAsia="Times New Roman" w:hAnsi="Arial" w:cs="Arial"/>
                <w:sz w:val="16"/>
                <w:szCs w:val="16"/>
                <w:lang w:eastAsia="en-AU"/>
              </w:rPr>
            </w:pPr>
            <w:r w:rsidRPr="00964938">
              <w:rPr>
                <w:rFonts w:ascii="Arial" w:eastAsia="Times New Roman" w:hAnsi="Arial" w:cs="Arial"/>
                <w:sz w:val="16"/>
                <w:szCs w:val="16"/>
                <w:lang w:eastAsia="en-AU"/>
              </w:rPr>
              <w:t>Multiply (A + B) by C </w:t>
            </w:r>
          </w:p>
        </w:tc>
        <w:tc>
          <w:tcPr>
            <w:tcW w:w="453" w:type="pct"/>
            <w:hideMark/>
          </w:tcPr>
          <w:p w14:paraId="181B133F" w14:textId="77777777" w:rsidR="002D28D8" w:rsidRPr="00964938" w:rsidRDefault="002D28D8">
            <w:pPr>
              <w:spacing w:before="0" w:line="240" w:lineRule="auto"/>
              <w:jc w:val="right"/>
              <w:textAlignment w:val="baseline"/>
              <w:rPr>
                <w:rFonts w:ascii="Arial" w:eastAsia="Times New Roman" w:hAnsi="Arial" w:cs="Arial"/>
                <w:sz w:val="16"/>
                <w:szCs w:val="16"/>
                <w:lang w:eastAsia="en-AU"/>
              </w:rPr>
            </w:pPr>
            <w:r w:rsidRPr="000E786D">
              <w:rPr>
                <w:rFonts w:ascii="Arial" w:hAnsi="Arial" w:cs="Arial"/>
                <w:sz w:val="16"/>
                <w:szCs w:val="16"/>
              </w:rPr>
              <w:t>0.05</w:t>
            </w:r>
          </w:p>
        </w:tc>
        <w:tc>
          <w:tcPr>
            <w:tcW w:w="444" w:type="pct"/>
          </w:tcPr>
          <w:p w14:paraId="61BE084A" w14:textId="4130BABB" w:rsidR="002D28D8" w:rsidRPr="00964938" w:rsidRDefault="00DB27D0">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0.31</w:t>
            </w:r>
          </w:p>
        </w:tc>
        <w:tc>
          <w:tcPr>
            <w:tcW w:w="444" w:type="pct"/>
          </w:tcPr>
          <w:p w14:paraId="5250E5C2" w14:textId="77777777" w:rsidR="002D28D8" w:rsidRPr="00964938" w:rsidRDefault="002D28D8">
            <w:pPr>
              <w:spacing w:before="0" w:line="240" w:lineRule="auto"/>
              <w:jc w:val="right"/>
              <w:textAlignment w:val="baseline"/>
              <w:rPr>
                <w:rFonts w:ascii="Arial" w:eastAsia="Times New Roman" w:hAnsi="Arial" w:cs="Arial"/>
                <w:sz w:val="16"/>
                <w:szCs w:val="16"/>
                <w:lang w:eastAsia="en-AU"/>
              </w:rPr>
            </w:pPr>
            <w:r w:rsidRPr="000E786D">
              <w:rPr>
                <w:rFonts w:ascii="Arial" w:hAnsi="Arial" w:cs="Arial"/>
                <w:sz w:val="16"/>
                <w:szCs w:val="16"/>
              </w:rPr>
              <w:t>0.02</w:t>
            </w:r>
          </w:p>
        </w:tc>
        <w:tc>
          <w:tcPr>
            <w:tcW w:w="446" w:type="pct"/>
          </w:tcPr>
          <w:p w14:paraId="048B2C61" w14:textId="5B351D00" w:rsidR="002D28D8" w:rsidRPr="00964938" w:rsidRDefault="00E121A7">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0.27</w:t>
            </w:r>
          </w:p>
        </w:tc>
        <w:tc>
          <w:tcPr>
            <w:tcW w:w="444" w:type="pct"/>
            <w:hideMark/>
          </w:tcPr>
          <w:p w14:paraId="6A32441A" w14:textId="47E38752" w:rsidR="002D28D8" w:rsidRPr="00964938" w:rsidRDefault="0048012F">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0.09</w:t>
            </w:r>
          </w:p>
        </w:tc>
        <w:tc>
          <w:tcPr>
            <w:tcW w:w="444" w:type="pct"/>
          </w:tcPr>
          <w:p w14:paraId="256B827F" w14:textId="77C42948" w:rsidR="002D28D8" w:rsidRPr="00964938" w:rsidRDefault="000A0C8F">
            <w:pPr>
              <w:spacing w:before="0" w:line="240" w:lineRule="auto"/>
              <w:jc w:val="right"/>
              <w:textAlignment w:val="baseline"/>
              <w:rPr>
                <w:rFonts w:ascii="Arial" w:eastAsia="Times New Roman" w:hAnsi="Arial" w:cs="Arial"/>
                <w:sz w:val="16"/>
                <w:szCs w:val="16"/>
                <w:lang w:eastAsia="en-AU"/>
              </w:rPr>
            </w:pPr>
            <w:r w:rsidRPr="000E786D">
              <w:rPr>
                <w:rFonts w:ascii="Arial" w:hAnsi="Arial" w:cs="Arial"/>
                <w:sz w:val="16"/>
                <w:szCs w:val="16"/>
              </w:rPr>
              <w:t>-</w:t>
            </w:r>
            <w:r w:rsidR="002D28D8" w:rsidRPr="000E786D">
              <w:rPr>
                <w:rFonts w:ascii="Arial" w:hAnsi="Arial" w:cs="Arial"/>
                <w:sz w:val="16"/>
                <w:szCs w:val="16"/>
              </w:rPr>
              <w:t>0.</w:t>
            </w:r>
            <w:r w:rsidRPr="000E786D">
              <w:rPr>
                <w:rFonts w:ascii="Arial" w:hAnsi="Arial" w:cs="Arial"/>
                <w:sz w:val="16"/>
                <w:szCs w:val="16"/>
              </w:rPr>
              <w:t>02</w:t>
            </w:r>
          </w:p>
        </w:tc>
        <w:tc>
          <w:tcPr>
            <w:tcW w:w="432" w:type="pct"/>
          </w:tcPr>
          <w:p w14:paraId="287A0EF1" w14:textId="18D5BEBE" w:rsidR="002D28D8" w:rsidRPr="00964938" w:rsidRDefault="000A0C8F">
            <w:pPr>
              <w:spacing w:before="0" w:line="240" w:lineRule="auto"/>
              <w:jc w:val="right"/>
              <w:textAlignment w:val="baseline"/>
              <w:rPr>
                <w:rFonts w:ascii="Arial" w:eastAsia="Times New Roman" w:hAnsi="Arial" w:cs="Arial"/>
                <w:sz w:val="16"/>
                <w:szCs w:val="16"/>
                <w:lang w:eastAsia="en-AU"/>
              </w:rPr>
            </w:pPr>
            <w:r>
              <w:rPr>
                <w:rFonts w:ascii="Arial" w:hAnsi="Arial" w:cs="Arial"/>
                <w:sz w:val="16"/>
                <w:szCs w:val="16"/>
              </w:rPr>
              <w:t>0.35</w:t>
            </w:r>
          </w:p>
        </w:tc>
      </w:tr>
      <w:tr w:rsidR="002D28D8" w:rsidRPr="00964938" w14:paraId="54593D47" w14:textId="77777777" w:rsidTr="000A0C8F">
        <w:trPr>
          <w:cnfStyle w:val="000000100000" w:firstRow="0" w:lastRow="0" w:firstColumn="0" w:lastColumn="0" w:oddVBand="0" w:evenVBand="0" w:oddHBand="1" w:evenHBand="0" w:firstRowFirstColumn="0" w:firstRowLastColumn="0" w:lastRowFirstColumn="0" w:lastRowLastColumn="0"/>
          <w:trHeight w:val="300"/>
          <w:jc w:val="center"/>
        </w:trPr>
        <w:tc>
          <w:tcPr>
            <w:tcW w:w="777" w:type="pct"/>
            <w:hideMark/>
          </w:tcPr>
          <w:p w14:paraId="12061D31" w14:textId="77777777" w:rsidR="002D28D8" w:rsidRPr="00964938" w:rsidRDefault="002D28D8">
            <w:pPr>
              <w:spacing w:before="0" w:line="240" w:lineRule="auto"/>
              <w:textAlignment w:val="baseline"/>
              <w:rPr>
                <w:rFonts w:ascii="Arial" w:eastAsia="Times New Roman" w:hAnsi="Arial" w:cs="Arial"/>
                <w:sz w:val="16"/>
                <w:szCs w:val="16"/>
                <w:lang w:eastAsia="en-AU"/>
              </w:rPr>
            </w:pPr>
            <w:r w:rsidRPr="00964938">
              <w:rPr>
                <w:rFonts w:ascii="Arial" w:eastAsia="Times New Roman" w:hAnsi="Arial" w:cs="Arial"/>
                <w:b/>
                <w:bCs/>
                <w:sz w:val="16"/>
                <w:szCs w:val="16"/>
                <w:lang w:eastAsia="en-AU"/>
              </w:rPr>
              <w:t>E</w:t>
            </w:r>
            <w:r w:rsidRPr="00964938">
              <w:rPr>
                <w:rFonts w:ascii="Arial" w:eastAsia="Times New Roman" w:hAnsi="Arial" w:cs="Arial"/>
                <w:sz w:val="16"/>
                <w:szCs w:val="16"/>
                <w:lang w:eastAsia="en-AU"/>
              </w:rPr>
              <w:t>: Value of avoided social cost of carbon </w:t>
            </w:r>
          </w:p>
        </w:tc>
        <w:tc>
          <w:tcPr>
            <w:tcW w:w="1118" w:type="pct"/>
          </w:tcPr>
          <w:p w14:paraId="0F9A9448" w14:textId="7F16588B" w:rsidR="002D28D8" w:rsidRPr="00964938" w:rsidRDefault="002D28D8">
            <w:pPr>
              <w:spacing w:before="0" w:line="240" w:lineRule="auto"/>
              <w:textAlignment w:val="baseline"/>
              <w:rPr>
                <w:rFonts w:ascii="Arial" w:eastAsia="Times New Roman" w:hAnsi="Arial" w:cs="Arial"/>
                <w:sz w:val="16"/>
                <w:szCs w:val="16"/>
                <w:lang w:eastAsia="en-AU"/>
              </w:rPr>
            </w:pPr>
            <w:r>
              <w:rPr>
                <w:rFonts w:ascii="Arial" w:eastAsia="Times New Roman" w:hAnsi="Arial" w:cs="Arial"/>
                <w:sz w:val="16"/>
                <w:szCs w:val="16"/>
                <w:lang w:eastAsia="en-AU"/>
              </w:rPr>
              <w:t xml:space="preserve">Based on the amount specified in the </w:t>
            </w:r>
            <w:r w:rsidR="00DB0112">
              <w:rPr>
                <w:rFonts w:ascii="Arial" w:eastAsia="Times New Roman" w:hAnsi="Arial" w:cs="Arial"/>
                <w:sz w:val="16"/>
                <w:szCs w:val="16"/>
                <w:lang w:eastAsia="en-AU"/>
              </w:rPr>
              <w:t>O</w:t>
            </w:r>
            <w:r w:rsidRPr="00D03D91">
              <w:rPr>
                <w:rFonts w:ascii="Arial" w:eastAsia="Times New Roman" w:hAnsi="Arial" w:cs="Arial"/>
                <w:sz w:val="16"/>
                <w:szCs w:val="16"/>
                <w:lang w:eastAsia="en-AU"/>
              </w:rPr>
              <w:t>rder</w:t>
            </w:r>
            <w:r>
              <w:rPr>
                <w:rFonts w:ascii="Arial" w:eastAsia="Times New Roman" w:hAnsi="Arial" w:cs="Arial"/>
                <w:sz w:val="16"/>
                <w:szCs w:val="16"/>
                <w:lang w:eastAsia="en-AU"/>
              </w:rPr>
              <w:t xml:space="preserve"> in </w:t>
            </w:r>
            <w:r w:rsidR="00DB0112">
              <w:rPr>
                <w:rFonts w:ascii="Arial" w:eastAsia="Times New Roman" w:hAnsi="Arial" w:cs="Arial"/>
                <w:sz w:val="16"/>
                <w:szCs w:val="16"/>
                <w:lang w:eastAsia="en-AU"/>
              </w:rPr>
              <w:t>C</w:t>
            </w:r>
            <w:r>
              <w:rPr>
                <w:rFonts w:ascii="Arial" w:eastAsia="Times New Roman" w:hAnsi="Arial" w:cs="Arial"/>
                <w:sz w:val="16"/>
                <w:szCs w:val="16"/>
                <w:lang w:eastAsia="en-AU"/>
              </w:rPr>
              <w:t>ouncil</w:t>
            </w:r>
            <w:r w:rsidRPr="00D03D91">
              <w:rPr>
                <w:rFonts w:ascii="Arial" w:eastAsia="Times New Roman" w:hAnsi="Arial" w:cs="Arial"/>
                <w:sz w:val="16"/>
                <w:szCs w:val="16"/>
                <w:lang w:eastAsia="en-AU"/>
              </w:rPr>
              <w:t xml:space="preserve"> specifying the avoided social cost of carbo</w:t>
            </w:r>
            <w:r>
              <w:rPr>
                <w:rFonts w:ascii="Arial" w:eastAsia="Times New Roman" w:hAnsi="Arial" w:cs="Arial"/>
                <w:sz w:val="16"/>
                <w:szCs w:val="16"/>
                <w:lang w:eastAsia="en-AU"/>
              </w:rPr>
              <w:t>n.</w:t>
            </w:r>
          </w:p>
        </w:tc>
        <w:tc>
          <w:tcPr>
            <w:tcW w:w="453" w:type="pct"/>
            <w:hideMark/>
          </w:tcPr>
          <w:p w14:paraId="38373977" w14:textId="77777777" w:rsidR="002D28D8" w:rsidRPr="00964938" w:rsidRDefault="002D28D8">
            <w:pPr>
              <w:spacing w:before="0" w:line="240" w:lineRule="auto"/>
              <w:jc w:val="right"/>
              <w:textAlignment w:val="baseline"/>
              <w:rPr>
                <w:rFonts w:ascii="Arial" w:eastAsia="Times New Roman" w:hAnsi="Arial" w:cs="Arial"/>
                <w:sz w:val="16"/>
                <w:szCs w:val="16"/>
                <w:lang w:eastAsia="en-AU"/>
              </w:rPr>
            </w:pPr>
            <w:r w:rsidRPr="00964938">
              <w:rPr>
                <w:rFonts w:ascii="Arial" w:eastAsia="Times New Roman" w:hAnsi="Arial" w:cs="Arial"/>
                <w:sz w:val="16"/>
                <w:szCs w:val="16"/>
                <w:lang w:eastAsia="en-AU"/>
              </w:rPr>
              <w:t>2.49</w:t>
            </w:r>
          </w:p>
        </w:tc>
        <w:tc>
          <w:tcPr>
            <w:tcW w:w="444" w:type="pct"/>
          </w:tcPr>
          <w:p w14:paraId="39A4639F" w14:textId="77777777" w:rsidR="002D28D8" w:rsidRPr="00964938" w:rsidRDefault="002D28D8">
            <w:pPr>
              <w:spacing w:before="0" w:line="240" w:lineRule="auto"/>
              <w:jc w:val="right"/>
              <w:textAlignment w:val="baseline"/>
              <w:rPr>
                <w:rFonts w:ascii="Arial" w:eastAsia="Times New Roman" w:hAnsi="Arial" w:cs="Arial"/>
                <w:sz w:val="16"/>
                <w:szCs w:val="16"/>
                <w:lang w:eastAsia="en-AU"/>
              </w:rPr>
            </w:pPr>
            <w:r w:rsidRPr="00964938">
              <w:rPr>
                <w:rFonts w:ascii="Arial" w:eastAsia="Times New Roman" w:hAnsi="Arial" w:cs="Arial"/>
                <w:sz w:val="16"/>
                <w:szCs w:val="16"/>
                <w:lang w:eastAsia="en-AU"/>
              </w:rPr>
              <w:t>2.49</w:t>
            </w:r>
          </w:p>
        </w:tc>
        <w:tc>
          <w:tcPr>
            <w:tcW w:w="444" w:type="pct"/>
          </w:tcPr>
          <w:p w14:paraId="728E98FC" w14:textId="77777777" w:rsidR="002D28D8" w:rsidRPr="00964938" w:rsidRDefault="002D28D8">
            <w:pPr>
              <w:spacing w:before="0" w:line="240" w:lineRule="auto"/>
              <w:jc w:val="right"/>
              <w:textAlignment w:val="baseline"/>
              <w:rPr>
                <w:rFonts w:ascii="Arial" w:eastAsia="Times New Roman" w:hAnsi="Arial" w:cs="Arial"/>
                <w:sz w:val="16"/>
                <w:szCs w:val="16"/>
                <w:lang w:eastAsia="en-AU"/>
              </w:rPr>
            </w:pPr>
            <w:r w:rsidRPr="00964938">
              <w:rPr>
                <w:rFonts w:ascii="Arial" w:eastAsia="Times New Roman" w:hAnsi="Arial" w:cs="Arial"/>
                <w:sz w:val="16"/>
                <w:szCs w:val="16"/>
                <w:lang w:eastAsia="en-AU"/>
              </w:rPr>
              <w:t>2.49</w:t>
            </w:r>
          </w:p>
        </w:tc>
        <w:tc>
          <w:tcPr>
            <w:tcW w:w="446" w:type="pct"/>
          </w:tcPr>
          <w:p w14:paraId="638FEDA9" w14:textId="77777777" w:rsidR="002D28D8" w:rsidRPr="00964938" w:rsidRDefault="002D28D8">
            <w:pPr>
              <w:spacing w:before="0" w:line="240" w:lineRule="auto"/>
              <w:jc w:val="right"/>
              <w:textAlignment w:val="baseline"/>
              <w:rPr>
                <w:rFonts w:ascii="Arial" w:eastAsia="Times New Roman" w:hAnsi="Arial" w:cs="Arial"/>
                <w:sz w:val="16"/>
                <w:szCs w:val="16"/>
                <w:lang w:eastAsia="en-AU"/>
              </w:rPr>
            </w:pPr>
            <w:r w:rsidRPr="00964938">
              <w:rPr>
                <w:rFonts w:ascii="Arial" w:eastAsia="Times New Roman" w:hAnsi="Arial" w:cs="Arial"/>
                <w:sz w:val="16"/>
                <w:szCs w:val="16"/>
                <w:lang w:eastAsia="en-AU"/>
              </w:rPr>
              <w:t>2.49</w:t>
            </w:r>
          </w:p>
        </w:tc>
        <w:tc>
          <w:tcPr>
            <w:tcW w:w="444" w:type="pct"/>
            <w:hideMark/>
          </w:tcPr>
          <w:p w14:paraId="239D5ED0" w14:textId="77777777" w:rsidR="002D28D8" w:rsidRPr="00964938" w:rsidRDefault="002D28D8">
            <w:pPr>
              <w:spacing w:before="0" w:line="240" w:lineRule="auto"/>
              <w:jc w:val="right"/>
              <w:textAlignment w:val="baseline"/>
              <w:rPr>
                <w:rFonts w:ascii="Arial" w:eastAsia="Times New Roman" w:hAnsi="Arial" w:cs="Arial"/>
                <w:sz w:val="16"/>
                <w:szCs w:val="16"/>
                <w:lang w:eastAsia="en-AU"/>
              </w:rPr>
            </w:pPr>
            <w:r w:rsidRPr="00964938">
              <w:rPr>
                <w:rFonts w:ascii="Arial" w:eastAsia="Times New Roman" w:hAnsi="Arial" w:cs="Arial"/>
                <w:sz w:val="16"/>
                <w:szCs w:val="16"/>
                <w:lang w:eastAsia="en-AU"/>
              </w:rPr>
              <w:t>2.49</w:t>
            </w:r>
          </w:p>
        </w:tc>
        <w:tc>
          <w:tcPr>
            <w:tcW w:w="444" w:type="pct"/>
          </w:tcPr>
          <w:p w14:paraId="674B130C" w14:textId="3B709908" w:rsidR="002D28D8" w:rsidRPr="00964938" w:rsidRDefault="002D28D8">
            <w:pPr>
              <w:spacing w:before="0" w:line="240" w:lineRule="auto"/>
              <w:jc w:val="right"/>
              <w:textAlignment w:val="baseline"/>
              <w:rPr>
                <w:rFonts w:ascii="Arial" w:eastAsia="Times New Roman" w:hAnsi="Arial" w:cs="Arial"/>
                <w:sz w:val="16"/>
                <w:szCs w:val="16"/>
                <w:lang w:eastAsia="en-AU"/>
              </w:rPr>
            </w:pPr>
            <w:r w:rsidRPr="00964938">
              <w:rPr>
                <w:rFonts w:ascii="Arial" w:eastAsia="Times New Roman" w:hAnsi="Arial" w:cs="Arial"/>
                <w:sz w:val="16"/>
                <w:szCs w:val="16"/>
                <w:lang w:eastAsia="en-AU"/>
              </w:rPr>
              <w:t>2.49</w:t>
            </w:r>
          </w:p>
        </w:tc>
        <w:tc>
          <w:tcPr>
            <w:tcW w:w="432" w:type="pct"/>
          </w:tcPr>
          <w:p w14:paraId="4626AA1F" w14:textId="1C19471B" w:rsidR="002D28D8" w:rsidRPr="00964938" w:rsidRDefault="002D28D8">
            <w:pPr>
              <w:spacing w:before="0" w:line="240" w:lineRule="auto"/>
              <w:jc w:val="right"/>
              <w:textAlignment w:val="baseline"/>
              <w:rPr>
                <w:rFonts w:ascii="Arial" w:eastAsia="Times New Roman" w:hAnsi="Arial" w:cs="Arial"/>
                <w:sz w:val="16"/>
                <w:szCs w:val="16"/>
                <w:lang w:eastAsia="en-AU"/>
              </w:rPr>
            </w:pPr>
            <w:r w:rsidRPr="00964938">
              <w:rPr>
                <w:rFonts w:ascii="Arial" w:eastAsia="Times New Roman" w:hAnsi="Arial" w:cs="Arial"/>
                <w:sz w:val="16"/>
                <w:szCs w:val="16"/>
                <w:lang w:eastAsia="en-AU"/>
              </w:rPr>
              <w:t>2.49</w:t>
            </w:r>
          </w:p>
        </w:tc>
      </w:tr>
      <w:tr w:rsidR="002D28D8" w:rsidRPr="00964938" w14:paraId="31751A9C" w14:textId="77777777" w:rsidTr="000A0C8F">
        <w:trPr>
          <w:cnfStyle w:val="000000010000" w:firstRow="0" w:lastRow="0" w:firstColumn="0" w:lastColumn="0" w:oddVBand="0" w:evenVBand="0" w:oddHBand="0" w:evenHBand="1" w:firstRowFirstColumn="0" w:firstRowLastColumn="0" w:lastRowFirstColumn="0" w:lastRowLastColumn="0"/>
          <w:trHeight w:val="300"/>
          <w:jc w:val="center"/>
        </w:trPr>
        <w:tc>
          <w:tcPr>
            <w:tcW w:w="777" w:type="pct"/>
            <w:hideMark/>
          </w:tcPr>
          <w:p w14:paraId="7E90BAB6" w14:textId="77777777" w:rsidR="002D28D8" w:rsidRPr="00964938" w:rsidRDefault="002D28D8">
            <w:pPr>
              <w:spacing w:before="0" w:line="240" w:lineRule="auto"/>
              <w:textAlignment w:val="baseline"/>
              <w:rPr>
                <w:rFonts w:ascii="Arial" w:eastAsia="Times New Roman" w:hAnsi="Arial" w:cs="Arial"/>
                <w:sz w:val="16"/>
                <w:szCs w:val="16"/>
                <w:lang w:eastAsia="en-AU"/>
              </w:rPr>
            </w:pPr>
            <w:r>
              <w:rPr>
                <w:rFonts w:ascii="Arial" w:eastAsia="Times New Roman" w:hAnsi="Arial" w:cs="Arial"/>
                <w:b/>
                <w:bCs/>
                <w:sz w:val="16"/>
                <w:szCs w:val="16"/>
                <w:lang w:eastAsia="en-AU"/>
              </w:rPr>
              <w:lastRenderedPageBreak/>
              <w:t>F</w:t>
            </w:r>
            <w:r w:rsidRPr="00964938">
              <w:rPr>
                <w:rFonts w:ascii="Arial" w:eastAsia="Times New Roman" w:hAnsi="Arial" w:cs="Arial"/>
                <w:sz w:val="16"/>
                <w:szCs w:val="16"/>
                <w:lang w:eastAsia="en-AU"/>
              </w:rPr>
              <w:t>: Value of avoided human health costs</w:t>
            </w:r>
          </w:p>
        </w:tc>
        <w:tc>
          <w:tcPr>
            <w:tcW w:w="1118" w:type="pct"/>
          </w:tcPr>
          <w:p w14:paraId="1157C3DE" w14:textId="77777777" w:rsidR="002D28D8" w:rsidRPr="00964938" w:rsidRDefault="002D28D8">
            <w:pPr>
              <w:spacing w:before="0" w:line="240" w:lineRule="auto"/>
              <w:textAlignment w:val="baseline"/>
              <w:rPr>
                <w:rFonts w:ascii="Arial" w:eastAsia="Times New Roman" w:hAnsi="Arial" w:cs="Arial"/>
                <w:sz w:val="16"/>
                <w:szCs w:val="16"/>
                <w:lang w:eastAsia="en-AU"/>
              </w:rPr>
            </w:pPr>
            <w:r>
              <w:rPr>
                <w:rFonts w:ascii="Arial" w:eastAsia="Times New Roman" w:hAnsi="Arial" w:cs="Arial"/>
                <w:sz w:val="16"/>
                <w:szCs w:val="16"/>
                <w:lang w:eastAsia="en-AU"/>
              </w:rPr>
              <w:t xml:space="preserve">Not accounted for separately for </w:t>
            </w:r>
            <w:proofErr w:type="gramStart"/>
            <w:r>
              <w:rPr>
                <w:rFonts w:ascii="Arial" w:eastAsia="Times New Roman" w:hAnsi="Arial" w:cs="Arial"/>
                <w:sz w:val="16"/>
                <w:szCs w:val="16"/>
                <w:lang w:eastAsia="en-AU"/>
              </w:rPr>
              <w:t>a number of</w:t>
            </w:r>
            <w:proofErr w:type="gramEnd"/>
            <w:r>
              <w:rPr>
                <w:rFonts w:ascii="Arial" w:eastAsia="Times New Roman" w:hAnsi="Arial" w:cs="Arial"/>
                <w:sz w:val="16"/>
                <w:szCs w:val="16"/>
                <w:lang w:eastAsia="en-AU"/>
              </w:rPr>
              <w:t xml:space="preserve"> reasons including overlap with social cost of carbon and installation subsidies.</w:t>
            </w:r>
          </w:p>
        </w:tc>
        <w:tc>
          <w:tcPr>
            <w:tcW w:w="453" w:type="pct"/>
            <w:hideMark/>
          </w:tcPr>
          <w:p w14:paraId="6F01D6EA" w14:textId="77777777" w:rsidR="002D28D8" w:rsidRPr="00964938" w:rsidRDefault="002D28D8">
            <w:pPr>
              <w:spacing w:before="0" w:line="240" w:lineRule="auto"/>
              <w:jc w:val="right"/>
              <w:textAlignment w:val="baseline"/>
              <w:rPr>
                <w:rFonts w:ascii="Arial" w:eastAsia="Times New Roman" w:hAnsi="Arial" w:cs="Arial"/>
                <w:sz w:val="16"/>
                <w:szCs w:val="16"/>
                <w:lang w:eastAsia="en-AU"/>
              </w:rPr>
            </w:pPr>
            <w:r>
              <w:rPr>
                <w:rFonts w:ascii="Arial" w:eastAsia="Times New Roman" w:hAnsi="Arial" w:cs="Arial"/>
                <w:sz w:val="16"/>
                <w:szCs w:val="16"/>
                <w:lang w:eastAsia="en-AU"/>
              </w:rPr>
              <w:t>0.00</w:t>
            </w:r>
          </w:p>
        </w:tc>
        <w:tc>
          <w:tcPr>
            <w:tcW w:w="444" w:type="pct"/>
          </w:tcPr>
          <w:p w14:paraId="349EC2D9" w14:textId="77777777" w:rsidR="002D28D8" w:rsidRPr="00964938" w:rsidRDefault="002D28D8">
            <w:pPr>
              <w:spacing w:before="0" w:line="240" w:lineRule="auto"/>
              <w:jc w:val="right"/>
              <w:textAlignment w:val="baseline"/>
              <w:rPr>
                <w:rFonts w:ascii="Arial" w:eastAsia="Times New Roman" w:hAnsi="Arial" w:cs="Arial"/>
                <w:sz w:val="16"/>
                <w:szCs w:val="16"/>
                <w:lang w:eastAsia="en-AU"/>
              </w:rPr>
            </w:pPr>
            <w:r w:rsidRPr="008022BF">
              <w:rPr>
                <w:rFonts w:ascii="Arial" w:eastAsia="Times New Roman" w:hAnsi="Arial" w:cs="Arial"/>
                <w:sz w:val="16"/>
                <w:szCs w:val="16"/>
                <w:lang w:eastAsia="en-AU"/>
              </w:rPr>
              <w:t>0.00</w:t>
            </w:r>
          </w:p>
        </w:tc>
        <w:tc>
          <w:tcPr>
            <w:tcW w:w="444" w:type="pct"/>
          </w:tcPr>
          <w:p w14:paraId="49A5D1C7" w14:textId="77777777" w:rsidR="002D28D8" w:rsidRPr="00964938" w:rsidRDefault="002D28D8">
            <w:pPr>
              <w:spacing w:before="0" w:line="240" w:lineRule="auto"/>
              <w:jc w:val="right"/>
              <w:textAlignment w:val="baseline"/>
              <w:rPr>
                <w:rFonts w:ascii="Arial" w:eastAsia="Times New Roman" w:hAnsi="Arial" w:cs="Arial"/>
                <w:sz w:val="16"/>
                <w:szCs w:val="16"/>
                <w:lang w:eastAsia="en-AU"/>
              </w:rPr>
            </w:pPr>
            <w:r w:rsidRPr="008022BF">
              <w:rPr>
                <w:rFonts w:ascii="Arial" w:eastAsia="Times New Roman" w:hAnsi="Arial" w:cs="Arial"/>
                <w:sz w:val="16"/>
                <w:szCs w:val="16"/>
                <w:lang w:eastAsia="en-AU"/>
              </w:rPr>
              <w:t>0.00</w:t>
            </w:r>
          </w:p>
        </w:tc>
        <w:tc>
          <w:tcPr>
            <w:tcW w:w="446" w:type="pct"/>
          </w:tcPr>
          <w:p w14:paraId="796D9C0D" w14:textId="77777777" w:rsidR="002D28D8" w:rsidRPr="00964938" w:rsidRDefault="002D28D8">
            <w:pPr>
              <w:spacing w:before="0" w:line="240" w:lineRule="auto"/>
              <w:jc w:val="right"/>
              <w:textAlignment w:val="baseline"/>
              <w:rPr>
                <w:rFonts w:ascii="Arial" w:eastAsia="Times New Roman" w:hAnsi="Arial" w:cs="Arial"/>
                <w:sz w:val="16"/>
                <w:szCs w:val="16"/>
                <w:lang w:eastAsia="en-AU"/>
              </w:rPr>
            </w:pPr>
            <w:r w:rsidRPr="008022BF">
              <w:rPr>
                <w:rFonts w:ascii="Arial" w:eastAsia="Times New Roman" w:hAnsi="Arial" w:cs="Arial"/>
                <w:sz w:val="16"/>
                <w:szCs w:val="16"/>
                <w:lang w:eastAsia="en-AU"/>
              </w:rPr>
              <w:t>0.00</w:t>
            </w:r>
          </w:p>
        </w:tc>
        <w:tc>
          <w:tcPr>
            <w:tcW w:w="444" w:type="pct"/>
            <w:hideMark/>
          </w:tcPr>
          <w:p w14:paraId="7D0899FA" w14:textId="77777777" w:rsidR="002D28D8" w:rsidRPr="00964938" w:rsidRDefault="002D28D8">
            <w:pPr>
              <w:spacing w:before="0" w:line="240" w:lineRule="auto"/>
              <w:jc w:val="right"/>
              <w:textAlignment w:val="baseline"/>
              <w:rPr>
                <w:rFonts w:ascii="Arial" w:eastAsia="Times New Roman" w:hAnsi="Arial" w:cs="Arial"/>
                <w:sz w:val="16"/>
                <w:szCs w:val="16"/>
                <w:lang w:eastAsia="en-AU"/>
              </w:rPr>
            </w:pPr>
            <w:r w:rsidRPr="008022BF">
              <w:rPr>
                <w:rFonts w:ascii="Arial" w:eastAsia="Times New Roman" w:hAnsi="Arial" w:cs="Arial"/>
                <w:sz w:val="16"/>
                <w:szCs w:val="16"/>
                <w:lang w:eastAsia="en-AU"/>
              </w:rPr>
              <w:t>0.00</w:t>
            </w:r>
          </w:p>
        </w:tc>
        <w:tc>
          <w:tcPr>
            <w:tcW w:w="444" w:type="pct"/>
          </w:tcPr>
          <w:p w14:paraId="4E080461" w14:textId="69AB94B5" w:rsidR="002D28D8" w:rsidRPr="00964938" w:rsidRDefault="002D28D8">
            <w:pPr>
              <w:spacing w:before="0" w:line="240" w:lineRule="auto"/>
              <w:jc w:val="right"/>
              <w:textAlignment w:val="baseline"/>
              <w:rPr>
                <w:rFonts w:ascii="Arial" w:eastAsia="Times New Roman" w:hAnsi="Arial" w:cs="Arial"/>
                <w:sz w:val="16"/>
                <w:szCs w:val="16"/>
                <w:lang w:eastAsia="en-AU"/>
              </w:rPr>
            </w:pPr>
            <w:r w:rsidRPr="008022BF">
              <w:rPr>
                <w:rFonts w:ascii="Arial" w:eastAsia="Times New Roman" w:hAnsi="Arial" w:cs="Arial"/>
                <w:sz w:val="16"/>
                <w:szCs w:val="16"/>
                <w:lang w:eastAsia="en-AU"/>
              </w:rPr>
              <w:t>0.00</w:t>
            </w:r>
          </w:p>
        </w:tc>
        <w:tc>
          <w:tcPr>
            <w:tcW w:w="432" w:type="pct"/>
          </w:tcPr>
          <w:p w14:paraId="249CE11F" w14:textId="10C992D4" w:rsidR="002D28D8" w:rsidRPr="00964938" w:rsidRDefault="002D28D8">
            <w:pPr>
              <w:spacing w:before="0" w:line="240" w:lineRule="auto"/>
              <w:jc w:val="right"/>
              <w:textAlignment w:val="baseline"/>
              <w:rPr>
                <w:rFonts w:ascii="Arial" w:eastAsia="Times New Roman" w:hAnsi="Arial" w:cs="Arial"/>
                <w:sz w:val="16"/>
                <w:szCs w:val="16"/>
                <w:lang w:eastAsia="en-AU"/>
              </w:rPr>
            </w:pPr>
            <w:r w:rsidRPr="008022BF">
              <w:rPr>
                <w:rFonts w:ascii="Arial" w:eastAsia="Times New Roman" w:hAnsi="Arial" w:cs="Arial"/>
                <w:sz w:val="16"/>
                <w:szCs w:val="16"/>
                <w:lang w:eastAsia="en-AU"/>
              </w:rPr>
              <w:t>0.00</w:t>
            </w:r>
          </w:p>
        </w:tc>
      </w:tr>
      <w:tr w:rsidR="002D28D8" w:rsidRPr="009339C0" w14:paraId="56AC8F9A" w14:textId="77777777" w:rsidTr="000A0C8F">
        <w:trPr>
          <w:cnfStyle w:val="000000100000" w:firstRow="0" w:lastRow="0" w:firstColumn="0" w:lastColumn="0" w:oddVBand="0" w:evenVBand="0" w:oddHBand="1" w:evenHBand="0" w:firstRowFirstColumn="0" w:firstRowLastColumn="0" w:lastRowFirstColumn="0" w:lastRowLastColumn="0"/>
          <w:trHeight w:val="300"/>
          <w:jc w:val="center"/>
        </w:trPr>
        <w:tc>
          <w:tcPr>
            <w:tcW w:w="777" w:type="pct"/>
            <w:hideMark/>
          </w:tcPr>
          <w:p w14:paraId="748A9CEC" w14:textId="77777777" w:rsidR="002D28D8" w:rsidRPr="000E786D" w:rsidRDefault="002D28D8">
            <w:pPr>
              <w:spacing w:before="0" w:line="240" w:lineRule="auto"/>
              <w:textAlignment w:val="baseline"/>
              <w:rPr>
                <w:rFonts w:ascii="Arial" w:eastAsia="Times New Roman" w:hAnsi="Arial" w:cs="Arial"/>
                <w:b/>
                <w:sz w:val="16"/>
                <w:szCs w:val="16"/>
                <w:lang w:eastAsia="en-AU"/>
              </w:rPr>
            </w:pPr>
            <w:r w:rsidRPr="000E786D">
              <w:rPr>
                <w:rFonts w:ascii="Arial" w:eastAsia="Times New Roman" w:hAnsi="Arial" w:cs="Arial"/>
                <w:b/>
                <w:sz w:val="16"/>
                <w:szCs w:val="16"/>
                <w:lang w:eastAsia="en-AU"/>
              </w:rPr>
              <w:t>Total</w:t>
            </w:r>
            <w:r w:rsidRPr="00964938">
              <w:rPr>
                <w:rFonts w:ascii="Arial" w:eastAsia="Times New Roman" w:hAnsi="Arial" w:cs="Arial"/>
                <w:b/>
                <w:bCs/>
                <w:sz w:val="16"/>
                <w:szCs w:val="16"/>
                <w:lang w:eastAsia="en-AU"/>
              </w:rPr>
              <w:t> (rounded to one decimal place)</w:t>
            </w:r>
            <w:r w:rsidRPr="000E786D">
              <w:rPr>
                <w:rFonts w:ascii="Arial" w:eastAsia="Times New Roman" w:hAnsi="Arial" w:cs="Arial"/>
                <w:b/>
                <w:sz w:val="16"/>
                <w:szCs w:val="16"/>
                <w:lang w:eastAsia="en-AU"/>
              </w:rPr>
              <w:t> </w:t>
            </w:r>
          </w:p>
        </w:tc>
        <w:tc>
          <w:tcPr>
            <w:tcW w:w="1118" w:type="pct"/>
          </w:tcPr>
          <w:p w14:paraId="04B30A2A" w14:textId="77777777" w:rsidR="002D28D8" w:rsidRPr="00964938" w:rsidRDefault="002D28D8">
            <w:pPr>
              <w:spacing w:before="0" w:line="240" w:lineRule="auto"/>
              <w:textAlignment w:val="baseline"/>
              <w:rPr>
                <w:rFonts w:ascii="Arial" w:eastAsia="Times New Roman" w:hAnsi="Arial" w:cs="Arial"/>
                <w:b/>
                <w:bCs/>
                <w:sz w:val="16"/>
                <w:szCs w:val="16"/>
                <w:lang w:eastAsia="en-AU"/>
              </w:rPr>
            </w:pPr>
            <w:r w:rsidRPr="00964938">
              <w:rPr>
                <w:rFonts w:ascii="Arial" w:eastAsia="Times New Roman" w:hAnsi="Arial" w:cs="Arial"/>
                <w:b/>
                <w:bCs/>
                <w:sz w:val="16"/>
                <w:szCs w:val="16"/>
                <w:lang w:eastAsia="en-AU"/>
              </w:rPr>
              <w:t xml:space="preserve">A + B + D + E </w:t>
            </w:r>
            <w:r>
              <w:rPr>
                <w:rFonts w:ascii="Arial" w:eastAsia="Times New Roman" w:hAnsi="Arial" w:cs="Arial"/>
                <w:b/>
                <w:bCs/>
                <w:sz w:val="16"/>
                <w:szCs w:val="16"/>
                <w:lang w:eastAsia="en-AU"/>
              </w:rPr>
              <w:t>+ F</w:t>
            </w:r>
          </w:p>
        </w:tc>
        <w:tc>
          <w:tcPr>
            <w:tcW w:w="453" w:type="pct"/>
            <w:hideMark/>
          </w:tcPr>
          <w:p w14:paraId="6399AD9F" w14:textId="77777777" w:rsidR="002D28D8" w:rsidRPr="000E786D" w:rsidRDefault="002D28D8">
            <w:pPr>
              <w:spacing w:before="0" w:line="240" w:lineRule="auto"/>
              <w:jc w:val="right"/>
              <w:textAlignment w:val="baseline"/>
              <w:rPr>
                <w:rFonts w:ascii="Arial" w:eastAsia="Times New Roman" w:hAnsi="Arial" w:cs="Arial"/>
                <w:b/>
                <w:sz w:val="16"/>
                <w:szCs w:val="16"/>
                <w:lang w:eastAsia="en-AU"/>
              </w:rPr>
            </w:pPr>
            <w:r w:rsidRPr="000E786D">
              <w:rPr>
                <w:rFonts w:ascii="Arial" w:eastAsia="Times New Roman" w:hAnsi="Arial" w:cs="Arial"/>
                <w:b/>
                <w:bCs/>
                <w:sz w:val="16"/>
                <w:szCs w:val="16"/>
                <w:lang w:eastAsia="en-AU"/>
              </w:rPr>
              <w:t>3.3</w:t>
            </w:r>
          </w:p>
        </w:tc>
        <w:tc>
          <w:tcPr>
            <w:tcW w:w="444" w:type="pct"/>
          </w:tcPr>
          <w:p w14:paraId="19A687BA" w14:textId="60091E53" w:rsidR="002D28D8" w:rsidRPr="009339C0" w:rsidRDefault="00431880">
            <w:pPr>
              <w:spacing w:before="0" w:line="240" w:lineRule="auto"/>
              <w:jc w:val="right"/>
              <w:textAlignment w:val="baseline"/>
              <w:rPr>
                <w:rFonts w:ascii="Arial" w:eastAsia="Times New Roman" w:hAnsi="Arial" w:cs="Arial"/>
                <w:b/>
                <w:bCs/>
                <w:sz w:val="16"/>
                <w:szCs w:val="16"/>
                <w:lang w:eastAsia="en-AU"/>
              </w:rPr>
            </w:pPr>
            <w:r>
              <w:rPr>
                <w:rFonts w:ascii="Arial" w:eastAsia="Times New Roman" w:hAnsi="Arial" w:cs="Arial"/>
                <w:b/>
                <w:bCs/>
                <w:sz w:val="16"/>
                <w:szCs w:val="16"/>
                <w:lang w:eastAsia="en-AU"/>
              </w:rPr>
              <w:t>7.6</w:t>
            </w:r>
          </w:p>
        </w:tc>
        <w:tc>
          <w:tcPr>
            <w:tcW w:w="444" w:type="pct"/>
          </w:tcPr>
          <w:p w14:paraId="24B1B1AE" w14:textId="77777777" w:rsidR="002D28D8" w:rsidRPr="009339C0" w:rsidRDefault="002D28D8">
            <w:pPr>
              <w:spacing w:before="0" w:line="240" w:lineRule="auto"/>
              <w:jc w:val="right"/>
              <w:textAlignment w:val="baseline"/>
              <w:rPr>
                <w:rFonts w:ascii="Arial" w:eastAsia="Times New Roman" w:hAnsi="Arial" w:cs="Arial"/>
                <w:b/>
                <w:bCs/>
                <w:sz w:val="16"/>
                <w:szCs w:val="16"/>
                <w:lang w:eastAsia="en-AU"/>
              </w:rPr>
            </w:pPr>
            <w:r w:rsidRPr="000E786D">
              <w:rPr>
                <w:rFonts w:ascii="Arial" w:eastAsia="Times New Roman" w:hAnsi="Arial" w:cs="Arial"/>
                <w:b/>
                <w:bCs/>
                <w:sz w:val="16"/>
                <w:szCs w:val="16"/>
                <w:lang w:eastAsia="en-AU"/>
              </w:rPr>
              <w:t>2.8</w:t>
            </w:r>
          </w:p>
        </w:tc>
        <w:tc>
          <w:tcPr>
            <w:tcW w:w="446" w:type="pct"/>
          </w:tcPr>
          <w:p w14:paraId="4FFA2226" w14:textId="58DD3F47" w:rsidR="002D28D8" w:rsidRPr="009339C0" w:rsidRDefault="00DB4783">
            <w:pPr>
              <w:spacing w:before="0" w:line="240" w:lineRule="auto"/>
              <w:jc w:val="right"/>
              <w:textAlignment w:val="baseline"/>
              <w:rPr>
                <w:rFonts w:ascii="Arial" w:eastAsia="Times New Roman" w:hAnsi="Arial" w:cs="Arial"/>
                <w:b/>
                <w:bCs/>
                <w:sz w:val="16"/>
                <w:szCs w:val="16"/>
                <w:lang w:eastAsia="en-AU"/>
              </w:rPr>
            </w:pPr>
            <w:r>
              <w:rPr>
                <w:rFonts w:ascii="Arial" w:eastAsia="Times New Roman" w:hAnsi="Arial" w:cs="Arial"/>
                <w:b/>
                <w:bCs/>
                <w:sz w:val="16"/>
                <w:szCs w:val="16"/>
                <w:lang w:eastAsia="en-AU"/>
              </w:rPr>
              <w:t>7.0</w:t>
            </w:r>
          </w:p>
        </w:tc>
        <w:tc>
          <w:tcPr>
            <w:tcW w:w="444" w:type="pct"/>
            <w:hideMark/>
          </w:tcPr>
          <w:p w14:paraId="49FCDFA6" w14:textId="3AD15A90" w:rsidR="002D28D8" w:rsidRPr="000E786D" w:rsidRDefault="00DB4783">
            <w:pPr>
              <w:spacing w:before="0" w:line="240" w:lineRule="auto"/>
              <w:jc w:val="right"/>
              <w:textAlignment w:val="baseline"/>
              <w:rPr>
                <w:rFonts w:ascii="Arial" w:eastAsia="Times New Roman" w:hAnsi="Arial" w:cs="Arial"/>
                <w:b/>
                <w:sz w:val="16"/>
                <w:szCs w:val="16"/>
                <w:lang w:eastAsia="en-AU"/>
              </w:rPr>
            </w:pPr>
            <w:r>
              <w:rPr>
                <w:rFonts w:ascii="Arial" w:eastAsia="Times New Roman" w:hAnsi="Arial" w:cs="Arial"/>
                <w:b/>
                <w:bCs/>
                <w:sz w:val="16"/>
                <w:szCs w:val="16"/>
                <w:lang w:eastAsia="en-AU"/>
              </w:rPr>
              <w:t>4.1</w:t>
            </w:r>
          </w:p>
        </w:tc>
        <w:tc>
          <w:tcPr>
            <w:tcW w:w="444" w:type="pct"/>
          </w:tcPr>
          <w:p w14:paraId="051CC6F7" w14:textId="7674C48F" w:rsidR="002D28D8" w:rsidRPr="000E786D" w:rsidRDefault="000A0C8F">
            <w:pPr>
              <w:spacing w:before="0" w:line="240" w:lineRule="auto"/>
              <w:jc w:val="right"/>
              <w:textAlignment w:val="baseline"/>
              <w:rPr>
                <w:rFonts w:ascii="Arial" w:eastAsia="Times New Roman" w:hAnsi="Arial" w:cs="Arial"/>
                <w:b/>
                <w:sz w:val="16"/>
                <w:szCs w:val="16"/>
                <w:lang w:eastAsia="en-AU"/>
              </w:rPr>
            </w:pPr>
            <w:r w:rsidRPr="000E786D">
              <w:rPr>
                <w:rFonts w:ascii="Arial" w:eastAsia="Times New Roman" w:hAnsi="Arial" w:cs="Arial"/>
                <w:b/>
                <w:bCs/>
                <w:sz w:val="16"/>
                <w:szCs w:val="16"/>
                <w:lang w:eastAsia="en-AU"/>
              </w:rPr>
              <w:t>2.1</w:t>
            </w:r>
          </w:p>
        </w:tc>
        <w:tc>
          <w:tcPr>
            <w:tcW w:w="432" w:type="pct"/>
          </w:tcPr>
          <w:p w14:paraId="3C09952C" w14:textId="0C8C2301" w:rsidR="002D28D8" w:rsidRPr="000E786D" w:rsidRDefault="000A0C8F">
            <w:pPr>
              <w:spacing w:before="0" w:line="240" w:lineRule="auto"/>
              <w:jc w:val="right"/>
              <w:textAlignment w:val="baseline"/>
              <w:rPr>
                <w:rFonts w:ascii="Arial" w:eastAsia="Times New Roman" w:hAnsi="Arial" w:cs="Arial"/>
                <w:b/>
                <w:sz w:val="16"/>
                <w:szCs w:val="16"/>
                <w:lang w:eastAsia="en-AU"/>
              </w:rPr>
            </w:pPr>
            <w:r>
              <w:rPr>
                <w:rFonts w:ascii="Arial" w:eastAsia="Times New Roman" w:hAnsi="Arial" w:cs="Arial"/>
                <w:b/>
                <w:bCs/>
                <w:sz w:val="16"/>
                <w:szCs w:val="16"/>
                <w:lang w:eastAsia="en-AU"/>
              </w:rPr>
              <w:t>8.4</w:t>
            </w:r>
          </w:p>
        </w:tc>
      </w:tr>
    </w:tbl>
    <w:p w14:paraId="350DDFE3" w14:textId="77777777" w:rsidR="002D28D8" w:rsidRDefault="002D28D8" w:rsidP="00671513">
      <w:pPr>
        <w:pStyle w:val="Heading2numbered"/>
        <w:ind w:left="0" w:firstLine="0"/>
      </w:pPr>
      <w:bookmarkStart w:id="107" w:name="_Toc122097775"/>
      <w:bookmarkStart w:id="108" w:name="_Toc143691776"/>
      <w:bookmarkStart w:id="109" w:name="_Toc147961383"/>
      <w:bookmarkStart w:id="110" w:name="_Toc151465333"/>
      <w:bookmarkStart w:id="111" w:name="_Toc159844573"/>
      <w:r>
        <w:t>Forecasting solar weighted wholesale electricity prices</w:t>
      </w:r>
      <w:bookmarkEnd w:id="107"/>
      <w:bookmarkEnd w:id="108"/>
      <w:bookmarkEnd w:id="109"/>
      <w:bookmarkEnd w:id="110"/>
      <w:bookmarkEnd w:id="111"/>
    </w:p>
    <w:p w14:paraId="7052D23E" w14:textId="77777777" w:rsidR="002D28D8" w:rsidRDefault="002D28D8" w:rsidP="002D28D8">
      <w:r>
        <w:t xml:space="preserve">Consistent with previous feed-in tariff decisions, we have used a futures market approach to forecast solar weighted wholesale electricity prices in 2024–25. The benefits of using a futures market approach include: </w:t>
      </w:r>
    </w:p>
    <w:p w14:paraId="34587901" w14:textId="14F42E0D" w:rsidR="002D28D8" w:rsidRDefault="00944952" w:rsidP="002D28D8">
      <w:pPr>
        <w:pStyle w:val="ListBullet"/>
      </w:pPr>
      <w:r>
        <w:t>E</w:t>
      </w:r>
      <w:r w:rsidR="002D28D8">
        <w:t xml:space="preserve">nsuring our decision matches the view of ‘the market’ as represented by contract </w:t>
      </w:r>
      <w:proofErr w:type="gramStart"/>
      <w:r w:rsidR="002D28D8">
        <w:t>prices</w:t>
      </w:r>
      <w:proofErr w:type="gramEnd"/>
    </w:p>
    <w:p w14:paraId="4126E52B" w14:textId="138C9046" w:rsidR="002D28D8" w:rsidRDefault="00944952" w:rsidP="002D28D8">
      <w:pPr>
        <w:pStyle w:val="ListBullet"/>
      </w:pPr>
      <w:r>
        <w:t>P</w:t>
      </w:r>
      <w:r w:rsidR="002D28D8">
        <w:t xml:space="preserve">roviding more transparency to stakeholders than </w:t>
      </w:r>
      <w:r w:rsidR="00146297">
        <w:t>other</w:t>
      </w:r>
      <w:r w:rsidR="002D28D8">
        <w:t xml:space="preserve"> modelling approach</w:t>
      </w:r>
      <w:r w:rsidR="00146297">
        <w:t>es</w:t>
      </w:r>
      <w:r w:rsidR="002D28D8">
        <w:t xml:space="preserve">. </w:t>
      </w:r>
    </w:p>
    <w:p w14:paraId="0C32793E" w14:textId="07B0E6CC" w:rsidR="002D28D8" w:rsidRDefault="002D28D8" w:rsidP="002D28D8">
      <w:r>
        <w:t xml:space="preserve">It is in the long-term interests of Victorian </w:t>
      </w:r>
      <w:r w:rsidR="00CC681C">
        <w:t>c</w:t>
      </w:r>
      <w:r>
        <w:t>onsumers to have the benefit of a price that reflects efficient market outcomes. It also promotes competition in the energy industry by creating the right investment incentives.</w:t>
      </w:r>
    </w:p>
    <w:p w14:paraId="0761F21B" w14:textId="77777777" w:rsidR="002D28D8" w:rsidRDefault="002D28D8" w:rsidP="002D28D8">
      <w:r>
        <w:t>Transparency of the inputs for analysis is consistent with our objectives to promote protections for customers</w:t>
      </w:r>
      <w:r>
        <w:rPr>
          <w:rStyle w:val="FootnoteReference"/>
        </w:rPr>
        <w:footnoteReference w:id="53"/>
      </w:r>
      <w:r>
        <w:t xml:space="preserve"> and to promote the long-term interests of Victorian consumers.</w:t>
      </w:r>
      <w:r>
        <w:rPr>
          <w:rStyle w:val="FootnoteReference"/>
        </w:rPr>
        <w:footnoteReference w:id="54"/>
      </w:r>
      <w:r>
        <w:t xml:space="preserve"> Increased transparency gives stakeholders greater opportunities to understand and provide meaningful feedback on our decisions.</w:t>
      </w:r>
    </w:p>
    <w:p w14:paraId="53919A39" w14:textId="77777777" w:rsidR="002D28D8" w:rsidRDefault="002D28D8" w:rsidP="002D28D8">
      <w:pPr>
        <w:pStyle w:val="Heading3"/>
      </w:pPr>
      <w:bookmarkStart w:id="112" w:name="_Toc122097776"/>
      <w:bookmarkStart w:id="113" w:name="_Toc143691777"/>
      <w:bookmarkStart w:id="114" w:name="_Toc147961384"/>
      <w:bookmarkStart w:id="115" w:name="_Toc151465334"/>
      <w:bookmarkStart w:id="116" w:name="_Toc159844574"/>
      <w:r>
        <w:t>Solar weighted wholesale price forecasts for 2024–25</w:t>
      </w:r>
      <w:bookmarkEnd w:id="112"/>
      <w:bookmarkEnd w:id="113"/>
      <w:bookmarkEnd w:id="114"/>
      <w:bookmarkEnd w:id="115"/>
      <w:bookmarkEnd w:id="116"/>
    </w:p>
    <w:p w14:paraId="13D66130" w14:textId="77777777" w:rsidR="002D28D8" w:rsidRDefault="002D28D8" w:rsidP="002D28D8">
      <w:r>
        <w:t>We engaged Frontier Economics to forecast solar weighted wholesale electricity prices for 2024–25 using a futures market approach. The following section outlines the approach.</w:t>
      </w:r>
    </w:p>
    <w:p w14:paraId="225B382B" w14:textId="77777777" w:rsidR="002D28D8" w:rsidRDefault="002D28D8" w:rsidP="002D28D8">
      <w:r>
        <w:t>Forecasting the solar weighted wholesale electricity price for the flat minimum feed-in tariff involves five steps. The purpose of this is to estimate what retailers would pay for customers’ solar exports if this electricity were sold in the wholesale spot market in 2024–25 in the same way as other generators’ output. The steps we take to calculate the flat feed-in tariff are as follows:</w:t>
      </w:r>
    </w:p>
    <w:p w14:paraId="20869946" w14:textId="655F8D04" w:rsidR="002D28D8" w:rsidRDefault="002D28D8" w:rsidP="007F7B2F">
      <w:pPr>
        <w:pStyle w:val="TableListNumber"/>
        <w:numPr>
          <w:ilvl w:val="0"/>
          <w:numId w:val="8"/>
        </w:numPr>
        <w:ind w:left="567" w:hanging="567"/>
      </w:pPr>
      <w:r w:rsidRPr="004068C8">
        <w:rPr>
          <w:b/>
        </w:rPr>
        <w:lastRenderedPageBreak/>
        <w:t>Calculating the price level for 202</w:t>
      </w:r>
      <w:r>
        <w:rPr>
          <w:b/>
        </w:rPr>
        <w:t>4</w:t>
      </w:r>
      <w:r w:rsidRPr="004068C8">
        <w:rPr>
          <w:b/>
        </w:rPr>
        <w:t>–2</w:t>
      </w:r>
      <w:r>
        <w:rPr>
          <w:b/>
        </w:rPr>
        <w:t>5</w:t>
      </w:r>
      <w:r>
        <w:t xml:space="preserve">. We use the average price of 2024–25 quarterly baseload future swaps from the Australian Stock Exchange (after adjusting for an assumed contract premium of five per cent) weighted by traded volume across the most recent 12 months up to a particular date </w:t>
      </w:r>
      <w:r w:rsidRPr="00775D82">
        <w:t xml:space="preserve">(for this decision this was </w:t>
      </w:r>
      <w:r w:rsidR="00ED154D">
        <w:t>1</w:t>
      </w:r>
      <w:r w:rsidR="00E56CEF">
        <w:t>6</w:t>
      </w:r>
      <w:r w:rsidR="00ED154D">
        <w:t xml:space="preserve"> January 2024</w:t>
      </w:r>
      <w:r w:rsidRPr="00775D82">
        <w:t>).</w:t>
      </w:r>
      <w:r w:rsidR="008D488E">
        <w:rPr>
          <w:rStyle w:val="FootnoteReference"/>
        </w:rPr>
        <w:footnoteReference w:id="55"/>
      </w:r>
      <w:r>
        <w:br/>
      </w:r>
      <w:r>
        <w:br/>
      </w:r>
      <w:r w:rsidRPr="00E25A4A">
        <w:t>Frontier Economics update</w:t>
      </w:r>
      <w:r w:rsidR="00790ECA">
        <w:t>s</w:t>
      </w:r>
      <w:r w:rsidRPr="00E25A4A">
        <w:t xml:space="preserve"> these estimates </w:t>
      </w:r>
      <w:r w:rsidR="00790ECA">
        <w:t>between our draft and</w:t>
      </w:r>
      <w:r w:rsidRPr="00E25A4A">
        <w:t xml:space="preserve"> final decision</w:t>
      </w:r>
      <w:r w:rsidR="00790ECA">
        <w:t>s</w:t>
      </w:r>
      <w:r w:rsidRPr="00E25A4A">
        <w:t xml:space="preserve"> to reflect </w:t>
      </w:r>
      <w:r w:rsidR="00790ECA">
        <w:t xml:space="preserve">the most </w:t>
      </w:r>
      <w:r w:rsidR="00F2106F">
        <w:t xml:space="preserve">up to date </w:t>
      </w:r>
      <w:r w:rsidRPr="00E25A4A">
        <w:t xml:space="preserve">market expectations </w:t>
      </w:r>
      <w:r w:rsidR="00F2106F">
        <w:t>available</w:t>
      </w:r>
      <w:r w:rsidRPr="00E25A4A">
        <w:t>. These updates result</w:t>
      </w:r>
      <w:r w:rsidR="00B55D9A" w:rsidRPr="00E25A4A">
        <w:t>ed</w:t>
      </w:r>
      <w:r w:rsidRPr="00E25A4A">
        <w:t xml:space="preserve"> in a </w:t>
      </w:r>
      <w:r w:rsidR="00F2106F">
        <w:t xml:space="preserve">very small </w:t>
      </w:r>
      <w:r w:rsidRPr="00E25A4A">
        <w:t xml:space="preserve">difference between the </w:t>
      </w:r>
      <w:r w:rsidR="00F2106F">
        <w:t>solar weighted wholesale prices</w:t>
      </w:r>
      <w:r w:rsidRPr="00E25A4A">
        <w:t xml:space="preserve"> contained in our draft and final decisions.</w:t>
      </w:r>
      <w:r>
        <w:br/>
      </w:r>
    </w:p>
    <w:p w14:paraId="66B2C920" w14:textId="0B0AF16D" w:rsidR="002D28D8" w:rsidRDefault="002D28D8" w:rsidP="007F7B2F">
      <w:pPr>
        <w:pStyle w:val="TableListNumber"/>
        <w:numPr>
          <w:ilvl w:val="0"/>
          <w:numId w:val="8"/>
        </w:numPr>
        <w:ind w:left="567" w:hanging="567"/>
      </w:pPr>
      <w:r w:rsidRPr="00A0165B">
        <w:rPr>
          <w:b/>
        </w:rPr>
        <w:t>Selecting the appropriate historical prices and export profile</w:t>
      </w:r>
      <w:r w:rsidRPr="004018D6">
        <w:rPr>
          <w:b/>
        </w:rPr>
        <w:t>.</w:t>
      </w:r>
      <w:r>
        <w:t xml:space="preserve"> The commission collected half-hourly actual export data for customers from each Victorian electricity distribution network for the period from 1 July 2022 to 30 June 2023. Th</w:t>
      </w:r>
      <w:r w:rsidR="005A2DB4">
        <w:t xml:space="preserve">is is the most </w:t>
      </w:r>
      <w:r>
        <w:t xml:space="preserve">recent </w:t>
      </w:r>
      <w:r w:rsidR="00EC6D0B">
        <w:t xml:space="preserve">financial year for which </w:t>
      </w:r>
      <w:r>
        <w:t xml:space="preserve">data is </w:t>
      </w:r>
      <w:r w:rsidR="00EC6D0B">
        <w:t>available. C</w:t>
      </w:r>
      <w:r>
        <w:t>orresponding spot price data for the same period is available from the Australian Energy Market Operator.</w:t>
      </w:r>
      <w:r>
        <w:br/>
      </w:r>
    </w:p>
    <w:p w14:paraId="73DAC164" w14:textId="77777777" w:rsidR="002D28D8" w:rsidRDefault="002D28D8" w:rsidP="007F7B2F">
      <w:pPr>
        <w:pStyle w:val="TableListNumber"/>
        <w:numPr>
          <w:ilvl w:val="0"/>
          <w:numId w:val="8"/>
        </w:numPr>
        <w:ind w:left="567" w:hanging="567"/>
      </w:pPr>
      <w:r>
        <w:rPr>
          <w:b/>
        </w:rPr>
        <w:t>Calculating the s</w:t>
      </w:r>
      <w:r w:rsidRPr="00D84CEF">
        <w:rPr>
          <w:b/>
        </w:rPr>
        <w:t xml:space="preserve">caling </w:t>
      </w:r>
      <w:r>
        <w:rPr>
          <w:b/>
        </w:rPr>
        <w:t xml:space="preserve">factor </w:t>
      </w:r>
      <w:r w:rsidRPr="00D84CEF">
        <w:rPr>
          <w:b/>
        </w:rPr>
        <w:t>202</w:t>
      </w:r>
      <w:r>
        <w:rPr>
          <w:b/>
        </w:rPr>
        <w:t>4</w:t>
      </w:r>
      <w:r w:rsidRPr="00D84CEF">
        <w:rPr>
          <w:b/>
        </w:rPr>
        <w:t>–2</w:t>
      </w:r>
      <w:r>
        <w:rPr>
          <w:b/>
        </w:rPr>
        <w:t>5</w:t>
      </w:r>
      <w:r w:rsidRPr="00D84CEF">
        <w:rPr>
          <w:b/>
        </w:rPr>
        <w:t>.</w:t>
      </w:r>
      <w:r>
        <w:t xml:space="preserve"> After averaging prices for each quarter for the relevant historical year, they are compared to the quarterly futures prices in step 1 to determine a scaling factor for each quarter.</w:t>
      </w:r>
      <w:r>
        <w:br/>
      </w:r>
    </w:p>
    <w:p w14:paraId="2A3A0155" w14:textId="77777777" w:rsidR="002D28D8" w:rsidRDefault="002D28D8" w:rsidP="007F7B2F">
      <w:pPr>
        <w:pStyle w:val="TableListNumber"/>
        <w:numPr>
          <w:ilvl w:val="0"/>
          <w:numId w:val="8"/>
        </w:numPr>
        <w:ind w:left="567" w:hanging="567"/>
      </w:pPr>
      <w:r w:rsidRPr="00D84CEF">
        <w:rPr>
          <w:b/>
        </w:rPr>
        <w:t>Apply the scaling factor to the historical prices.</w:t>
      </w:r>
      <w:r>
        <w:t xml:space="preserve"> Each half-hourly price in the base year is scaled by the relevant factor calculated in step 3 to forecast the half-hourly prices expected in 2024–25.</w:t>
      </w:r>
      <w:r>
        <w:br/>
      </w:r>
    </w:p>
    <w:p w14:paraId="0E51D1DB" w14:textId="77777777" w:rsidR="002D28D8" w:rsidRDefault="002D28D8" w:rsidP="007F7B2F">
      <w:pPr>
        <w:pStyle w:val="TableListNumber"/>
        <w:numPr>
          <w:ilvl w:val="0"/>
          <w:numId w:val="8"/>
        </w:numPr>
        <w:ind w:left="567" w:hanging="567"/>
      </w:pPr>
      <w:r w:rsidRPr="004018D6">
        <w:rPr>
          <w:b/>
        </w:rPr>
        <w:t xml:space="preserve">Calculate the </w:t>
      </w:r>
      <w:r>
        <w:rPr>
          <w:b/>
        </w:rPr>
        <w:t xml:space="preserve">solar weighted </w:t>
      </w:r>
      <w:r>
        <w:rPr>
          <w:b/>
          <w:bCs/>
        </w:rPr>
        <w:t>wholesale price</w:t>
      </w:r>
      <w:r w:rsidRPr="00D84CEF">
        <w:rPr>
          <w:b/>
          <w:bCs/>
        </w:rPr>
        <w:t>.</w:t>
      </w:r>
      <w:r>
        <w:t xml:space="preserve"> The solar weighted wholesale electricity component of the flat feed-in tariff is calculated by averaging the half-hourly prices from step 4, weighted by the volume of solar exports from step 2. The formula for this is:</w:t>
      </w:r>
    </w:p>
    <w:tbl>
      <w:tblPr>
        <w:tblStyle w:val="TwoColumnImage"/>
        <w:tblW w:w="0" w:type="auto"/>
        <w:tblLook w:val="04A0" w:firstRow="1" w:lastRow="0" w:firstColumn="1" w:lastColumn="0" w:noHBand="0" w:noVBand="1"/>
      </w:tblPr>
      <w:tblGrid>
        <w:gridCol w:w="2977"/>
        <w:gridCol w:w="1317"/>
        <w:gridCol w:w="5344"/>
      </w:tblGrid>
      <w:tr w:rsidR="002D28D8" w:rsidRPr="006129B7" w14:paraId="2951ED01" w14:textId="77777777">
        <w:tc>
          <w:tcPr>
            <w:tcW w:w="2977" w:type="dxa"/>
            <w:vMerge w:val="restart"/>
            <w:vAlign w:val="center"/>
          </w:tcPr>
          <w:p w14:paraId="73EC65F8" w14:textId="77777777" w:rsidR="002D28D8" w:rsidRPr="002E067A" w:rsidRDefault="002D28D8">
            <w:pPr>
              <w:jc w:val="center"/>
              <w:rPr>
                <w:rFonts w:ascii="Cambria Math" w:hAnsi="Cambria Math"/>
              </w:rPr>
            </w:pPr>
            <w:r w:rsidRPr="002E067A">
              <w:rPr>
                <w:rFonts w:ascii="Cambria Math" w:hAnsi="Cambria Math"/>
              </w:rPr>
              <w:t xml:space="preserve">Flat feed-in tariff </w:t>
            </w:r>
            <w:r>
              <w:rPr>
                <w:rFonts w:ascii="Cambria Math" w:hAnsi="Cambria Math"/>
              </w:rPr>
              <w:t>solar</w:t>
            </w:r>
            <w:r w:rsidRPr="002E067A">
              <w:rPr>
                <w:rFonts w:ascii="Cambria Math" w:hAnsi="Cambria Math"/>
              </w:rPr>
              <w:t xml:space="preserve"> </w:t>
            </w:r>
            <w:r w:rsidRPr="002E067A">
              <w:rPr>
                <w:rFonts w:ascii="Cambria Math" w:eastAsiaTheme="minorEastAsia" w:hAnsi="Cambria Math"/>
              </w:rPr>
              <w:t xml:space="preserve">weighted wholesale electricity </w:t>
            </w:r>
            <w:r w:rsidRPr="002E067A">
              <w:rPr>
                <w:rFonts w:ascii="Cambria Math" w:hAnsi="Cambria Math"/>
              </w:rPr>
              <w:t>price</w:t>
            </w:r>
          </w:p>
        </w:tc>
        <w:tc>
          <w:tcPr>
            <w:tcW w:w="1317" w:type="dxa"/>
            <w:vAlign w:val="center"/>
          </w:tcPr>
          <w:p w14:paraId="4F10C9C3" w14:textId="77777777" w:rsidR="002D28D8" w:rsidRPr="006129B7" w:rsidRDefault="002D28D8"/>
        </w:tc>
        <w:tc>
          <w:tcPr>
            <w:tcW w:w="5344" w:type="dxa"/>
            <w:vMerge w:val="restart"/>
            <w:vAlign w:val="center"/>
          </w:tcPr>
          <w:p w14:paraId="5219229E" w14:textId="4FFF58BC" w:rsidR="002D28D8" w:rsidRPr="006129B7" w:rsidRDefault="00000000">
            <w:pPr>
              <w:rPr>
                <w:rFonts w:ascii="Calibri" w:hAnsi="Calibri"/>
              </w:rPr>
            </w:pPr>
            <m:oMathPara>
              <m:oMath>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t=1</m:t>
                        </m:r>
                      </m:sub>
                      <m:sup>
                        <m:r>
                          <w:rPr>
                            <w:rFonts w:ascii="Cambria Math" w:hAnsi="Cambria Math"/>
                          </w:rPr>
                          <m:t>17,472</m:t>
                        </m:r>
                      </m:sup>
                      <m:e>
                        <m:r>
                          <w:rPr>
                            <w:rFonts w:ascii="Cambria Math" w:hAnsi="Cambria Math"/>
                          </w:rPr>
                          <m:t>(expected price 2024</m:t>
                        </m:r>
                        <m:r>
                          <m:rPr>
                            <m:sty m:val="p"/>
                          </m:rPr>
                          <w:rPr>
                            <w:rFonts w:ascii="Cambria Math" w:hAnsi="Cambria Math"/>
                          </w:rPr>
                          <w:noBreakHyphen/>
                        </m:r>
                        <m:sSub>
                          <m:sSubPr>
                            <m:ctrlPr>
                              <w:rPr>
                                <w:rFonts w:ascii="Cambria Math" w:hAnsi="Cambria Math"/>
                              </w:rPr>
                            </m:ctrlPr>
                          </m:sSubPr>
                          <m:e>
                            <m:r>
                              <w:rPr>
                                <w:rFonts w:ascii="Cambria Math" w:hAnsi="Cambria Math"/>
                              </w:rPr>
                              <m:t>25</m:t>
                            </m:r>
                          </m:e>
                          <m:sub>
                            <m:r>
                              <w:rPr>
                                <w:rFonts w:ascii="Cambria Math" w:hAnsi="Cambria Math"/>
                              </w:rPr>
                              <m:t>t</m:t>
                            </m:r>
                          </m:sub>
                        </m:sSub>
                        <m:r>
                          <w:rPr>
                            <w:rFonts w:ascii="Cambria Math" w:hAnsi="Cambria Math"/>
                          </w:rPr>
                          <m:t xml:space="preserve"> ×solar export</m:t>
                        </m:r>
                        <m:sSub>
                          <m:sSubPr>
                            <m:ctrlPr>
                              <w:rPr>
                                <w:rFonts w:ascii="Cambria Math" w:hAnsi="Cambria Math"/>
                              </w:rPr>
                            </m:ctrlPr>
                          </m:sSubPr>
                          <m:e>
                            <m:r>
                              <w:rPr>
                                <w:rFonts w:ascii="Cambria Math" w:hAnsi="Cambria Math"/>
                              </w:rPr>
                              <m:t>s</m:t>
                            </m:r>
                          </m:e>
                          <m:sub>
                            <m:r>
                              <w:rPr>
                                <w:rFonts w:ascii="Cambria Math" w:hAnsi="Cambria Math"/>
                              </w:rPr>
                              <m:t>t</m:t>
                            </m:r>
                          </m:sub>
                        </m:sSub>
                        <m:r>
                          <w:rPr>
                            <w:rFonts w:ascii="Cambria Math" w:hAnsi="Cambria Math"/>
                          </w:rPr>
                          <m:t>)</m:t>
                        </m:r>
                      </m:e>
                    </m:nary>
                  </m:num>
                  <m:den>
                    <m:r>
                      <w:rPr>
                        <w:rFonts w:ascii="Cambria Math" w:hAnsi="Cambria Math"/>
                      </w:rPr>
                      <m:t>Total solar exports</m:t>
                    </m:r>
                  </m:den>
                </m:f>
              </m:oMath>
            </m:oMathPara>
          </w:p>
        </w:tc>
      </w:tr>
      <w:tr w:rsidR="002D28D8" w:rsidRPr="006129B7" w14:paraId="5C90D16E" w14:textId="77777777">
        <w:tc>
          <w:tcPr>
            <w:tcW w:w="2977" w:type="dxa"/>
            <w:vMerge/>
            <w:vAlign w:val="center"/>
          </w:tcPr>
          <w:p w14:paraId="46FDFE87" w14:textId="77777777" w:rsidR="002D28D8" w:rsidRPr="006129B7" w:rsidRDefault="002D28D8" w:rsidP="007F7B2F">
            <w:pPr>
              <w:pStyle w:val="TableListNumber"/>
              <w:numPr>
                <w:ilvl w:val="0"/>
                <w:numId w:val="8"/>
              </w:numPr>
              <w:ind w:left="0"/>
              <w:jc w:val="center"/>
              <w:rPr>
                <w:rFonts w:ascii="Calibri" w:hAnsi="Calibri" w:cs="Calibri"/>
              </w:rPr>
            </w:pPr>
          </w:p>
        </w:tc>
        <w:tc>
          <w:tcPr>
            <w:tcW w:w="1317" w:type="dxa"/>
            <w:vAlign w:val="center"/>
          </w:tcPr>
          <w:p w14:paraId="191A5F9B" w14:textId="77777777" w:rsidR="002D28D8" w:rsidRPr="006129B7" w:rsidRDefault="002D28D8">
            <w:pPr>
              <w:rPr>
                <w:rFonts w:ascii="Calibri" w:hAnsi="Calibri" w:cs="Calibri"/>
              </w:rPr>
            </w:pPr>
            <w:r>
              <w:rPr>
                <w:rFonts w:ascii="Calibri" w:hAnsi="Calibri" w:cs="Calibri"/>
              </w:rPr>
              <w:t xml:space="preserve">           </w:t>
            </w:r>
            <w:r w:rsidRPr="006129B7">
              <w:rPr>
                <w:rFonts w:ascii="Calibri" w:hAnsi="Calibri" w:cs="Calibri"/>
              </w:rPr>
              <w:t>=</w:t>
            </w:r>
          </w:p>
        </w:tc>
        <w:tc>
          <w:tcPr>
            <w:tcW w:w="5344" w:type="dxa"/>
            <w:vMerge/>
            <w:vAlign w:val="center"/>
          </w:tcPr>
          <w:p w14:paraId="23D279A1" w14:textId="77777777" w:rsidR="002D28D8" w:rsidRPr="006129B7" w:rsidRDefault="002D28D8" w:rsidP="007F7B2F">
            <w:pPr>
              <w:pStyle w:val="TableListNumber"/>
              <w:numPr>
                <w:ilvl w:val="0"/>
                <w:numId w:val="8"/>
              </w:numPr>
              <w:ind w:left="0" w:firstLine="0"/>
              <w:jc w:val="center"/>
              <w:rPr>
                <w:rFonts w:ascii="Calibri" w:hAnsi="Calibri" w:cs="Calibri"/>
              </w:rPr>
            </w:pPr>
          </w:p>
        </w:tc>
      </w:tr>
      <w:tr w:rsidR="002D28D8" w:rsidRPr="006129B7" w14:paraId="22C2D20C" w14:textId="77777777">
        <w:tc>
          <w:tcPr>
            <w:tcW w:w="2977" w:type="dxa"/>
            <w:vMerge/>
            <w:vAlign w:val="center"/>
          </w:tcPr>
          <w:p w14:paraId="3ABF4ECA" w14:textId="77777777" w:rsidR="002D28D8" w:rsidRPr="006129B7" w:rsidRDefault="002D28D8" w:rsidP="007F7B2F">
            <w:pPr>
              <w:pStyle w:val="TableListNumber"/>
              <w:numPr>
                <w:ilvl w:val="0"/>
                <w:numId w:val="8"/>
              </w:numPr>
              <w:ind w:left="0" w:firstLine="0"/>
              <w:jc w:val="center"/>
              <w:rPr>
                <w:rFonts w:ascii="Calibri" w:hAnsi="Calibri" w:cs="Calibri"/>
              </w:rPr>
            </w:pPr>
          </w:p>
        </w:tc>
        <w:tc>
          <w:tcPr>
            <w:tcW w:w="1317" w:type="dxa"/>
            <w:vAlign w:val="center"/>
          </w:tcPr>
          <w:p w14:paraId="583E6F74" w14:textId="77777777" w:rsidR="002D28D8" w:rsidRPr="006129B7" w:rsidRDefault="002D28D8"/>
        </w:tc>
        <w:tc>
          <w:tcPr>
            <w:tcW w:w="5344" w:type="dxa"/>
            <w:vMerge/>
            <w:vAlign w:val="center"/>
          </w:tcPr>
          <w:p w14:paraId="6E468756" w14:textId="77777777" w:rsidR="002D28D8" w:rsidRPr="006129B7" w:rsidRDefault="002D28D8" w:rsidP="007F7B2F">
            <w:pPr>
              <w:pStyle w:val="TableListNumber"/>
              <w:numPr>
                <w:ilvl w:val="0"/>
                <w:numId w:val="8"/>
              </w:numPr>
              <w:ind w:left="0" w:firstLine="0"/>
              <w:jc w:val="center"/>
              <w:rPr>
                <w:rFonts w:ascii="Calibri" w:hAnsi="Calibri" w:cs="Calibri"/>
              </w:rPr>
            </w:pPr>
          </w:p>
        </w:tc>
      </w:tr>
    </w:tbl>
    <w:p w14:paraId="7E5567ED" w14:textId="77777777" w:rsidR="00BD203C" w:rsidRDefault="00BD203C" w:rsidP="00BD203C">
      <w:r>
        <w:t>Note that:</w:t>
      </w:r>
    </w:p>
    <w:p w14:paraId="2D80F8AB" w14:textId="04DCA4C3" w:rsidR="00BD203C" w:rsidRDefault="00BD203C" w:rsidP="00BD203C">
      <w:r w:rsidRPr="00530B99">
        <w:rPr>
          <w:b/>
          <w:bCs/>
          <w:i/>
          <w:iCs/>
        </w:rPr>
        <w:lastRenderedPageBreak/>
        <w:t>expected price 2024-25</w:t>
      </w:r>
      <w:r w:rsidRPr="00530B99">
        <w:rPr>
          <w:b/>
          <w:bCs/>
          <w:i/>
          <w:iCs/>
          <w:vertAlign w:val="subscript"/>
        </w:rPr>
        <w:t>t</w:t>
      </w:r>
      <w:r w:rsidRPr="00530B99">
        <w:rPr>
          <w:b/>
          <w:bCs/>
        </w:rPr>
        <w:t xml:space="preserve"> </w:t>
      </w:r>
      <w:r w:rsidR="00DD5401">
        <w:t>=</w:t>
      </w:r>
      <w:r>
        <w:t xml:space="preserve"> </w:t>
      </w:r>
      <w:r w:rsidR="007F0C2A">
        <w:t>expected</w:t>
      </w:r>
      <w:r>
        <w:t xml:space="preserve"> spot price</w:t>
      </w:r>
      <w:r w:rsidR="007F0C2A">
        <w:t>s</w:t>
      </w:r>
      <w:r>
        <w:t xml:space="preserve"> </w:t>
      </w:r>
      <w:r w:rsidR="007F0C2A">
        <w:t xml:space="preserve">for </w:t>
      </w:r>
      <w:r w:rsidR="00667ED0">
        <w:t>trading</w:t>
      </w:r>
      <w:r w:rsidR="007F0C2A">
        <w:t xml:space="preserve"> interval t</w:t>
      </w:r>
      <w:r w:rsidR="003C1ADA">
        <w:t xml:space="preserve"> in 2024-25.</w:t>
      </w:r>
      <w:r>
        <w:t xml:space="preserve"> </w:t>
      </w:r>
    </w:p>
    <w:p w14:paraId="47D07E7B" w14:textId="683A9A84" w:rsidR="00BD203C" w:rsidRDefault="00BD203C" w:rsidP="00BD203C">
      <w:r w:rsidRPr="00530B99">
        <w:rPr>
          <w:b/>
          <w:bCs/>
          <w:i/>
          <w:iCs/>
        </w:rPr>
        <w:t xml:space="preserve">solar </w:t>
      </w:r>
      <w:r w:rsidR="006747CA" w:rsidRPr="00530B99">
        <w:rPr>
          <w:b/>
          <w:bCs/>
          <w:i/>
          <w:iCs/>
        </w:rPr>
        <w:t>exports</w:t>
      </w:r>
      <w:r>
        <w:t xml:space="preserve"> </w:t>
      </w:r>
      <w:r w:rsidR="003C1ADA">
        <w:t xml:space="preserve">= </w:t>
      </w:r>
      <w:r>
        <w:t xml:space="preserve">the </w:t>
      </w:r>
      <w:r w:rsidR="003C1ADA">
        <w:t xml:space="preserve">expected </w:t>
      </w:r>
      <w:r>
        <w:t>half-hourly solar export</w:t>
      </w:r>
      <w:r w:rsidR="00615C35">
        <w:t>s</w:t>
      </w:r>
      <w:r>
        <w:t xml:space="preserve"> </w:t>
      </w:r>
      <w:r w:rsidR="00615C35">
        <w:t xml:space="preserve">for </w:t>
      </w:r>
      <w:r w:rsidR="00667ED0">
        <w:t>trading</w:t>
      </w:r>
      <w:r w:rsidR="00615C35">
        <w:t xml:space="preserve"> interval t in 2024-25.</w:t>
      </w:r>
    </w:p>
    <w:p w14:paraId="69603973" w14:textId="5171F872" w:rsidR="00BD203C" w:rsidRDefault="00BD203C" w:rsidP="00530B99">
      <w:r w:rsidRPr="00530B99">
        <w:rPr>
          <w:b/>
          <w:bCs/>
          <w:i/>
          <w:iCs/>
        </w:rPr>
        <w:t xml:space="preserve">Total solar </w:t>
      </w:r>
      <w:r w:rsidR="00667ED0">
        <w:t xml:space="preserve">= </w:t>
      </w:r>
      <w:r>
        <w:t xml:space="preserve">the sum of </w:t>
      </w:r>
      <w:r w:rsidR="00667ED0">
        <w:t xml:space="preserve">all </w:t>
      </w:r>
      <w:r w:rsidRPr="00B560DA">
        <w:rPr>
          <w:b/>
          <w:bCs/>
          <w:i/>
          <w:iCs/>
        </w:rPr>
        <w:t xml:space="preserve">solar </w:t>
      </w:r>
      <w:r w:rsidR="006747CA" w:rsidRPr="00B560DA">
        <w:rPr>
          <w:b/>
          <w:bCs/>
          <w:i/>
          <w:iCs/>
        </w:rPr>
        <w:t>exports</w:t>
      </w:r>
      <w:r>
        <w:t xml:space="preserve"> </w:t>
      </w:r>
      <w:r w:rsidR="00530B99">
        <w:t>for 2024-25.</w:t>
      </w:r>
    </w:p>
    <w:p w14:paraId="2700EE1A" w14:textId="5D396F05" w:rsidR="002D28D8" w:rsidRDefault="002D28D8" w:rsidP="002D28D8">
      <w:pPr>
        <w:pStyle w:val="Heading4"/>
      </w:pPr>
      <w:r>
        <w:t xml:space="preserve">Solar weighted wholesale price forecast for the time-varying minimum feed-in tariffs </w:t>
      </w:r>
    </w:p>
    <w:p w14:paraId="69BB29D1" w14:textId="77777777" w:rsidR="002D28D8" w:rsidRDefault="002D28D8" w:rsidP="002D28D8">
      <w:r>
        <w:t>Steps 1 to 4 of forecasting the time-varying feed-in tariffs are the same for forecasting the flat feed-in tariff. Like the flat feed-in tariff approach, the commission has set the time-varying feed-in tariffs using weighting based on solar export profiles. For step 5, the only difference is that the above weighting is done three times, once for each time-block, using only the expected prices and solar exports from the relevant time-block.</w:t>
      </w:r>
    </w:p>
    <w:p w14:paraId="4C4036FA" w14:textId="77777777" w:rsidR="002D28D8" w:rsidRDefault="002D28D8" w:rsidP="002D28D8">
      <w:pPr>
        <w:pStyle w:val="Heading2"/>
      </w:pPr>
      <w:bookmarkStart w:id="117" w:name="_Toc122097778"/>
      <w:bookmarkStart w:id="118" w:name="_Toc143691779"/>
      <w:bookmarkStart w:id="119" w:name="_Toc147961387"/>
      <w:bookmarkStart w:id="120" w:name="_Toc151465335"/>
      <w:bookmarkStart w:id="121" w:name="_Toc159844575"/>
      <w:r>
        <w:t>Estimate of market fees and ancillary service charges</w:t>
      </w:r>
      <w:bookmarkEnd w:id="117"/>
      <w:bookmarkEnd w:id="118"/>
      <w:bookmarkEnd w:id="119"/>
      <w:bookmarkEnd w:id="120"/>
      <w:bookmarkEnd w:id="121"/>
      <w:r>
        <w:t xml:space="preserve"> </w:t>
      </w:r>
    </w:p>
    <w:p w14:paraId="5689FEEB" w14:textId="77777777" w:rsidR="002D28D8" w:rsidRDefault="002D28D8" w:rsidP="002D28D8">
      <w:r>
        <w:t>When retailers purchase energy from the wholesale market, they must pay market fees and ancillary service charges to the Australian Energy Market Operator (market operator). The market operator charges these fees based on the amount of electricity that retailers purchase from the wholesale market. Retailers can avoid them if they get electricity from solar customers.</w:t>
      </w:r>
    </w:p>
    <w:p w14:paraId="07055F02" w14:textId="7FCFBB15" w:rsidR="002D28D8" w:rsidRDefault="002D28D8" w:rsidP="002D28D8">
      <w:r>
        <w:t xml:space="preserve">We have included these fees and charges (shown in </w:t>
      </w:r>
      <w:r w:rsidR="00C020CF">
        <w:t>Table A.2</w:t>
      </w:r>
      <w:r>
        <w:t xml:space="preserve">) in our calculation of avoided costs. The total value of market fees and ancillary services are </w:t>
      </w:r>
      <w:r w:rsidR="00AA1C5F" w:rsidRPr="001645C8">
        <w:t>0.08</w:t>
      </w:r>
      <w:r w:rsidRPr="00497975">
        <w:t xml:space="preserve"> cents per kWh</w:t>
      </w:r>
      <w:r>
        <w:t>.</w:t>
      </w:r>
    </w:p>
    <w:p w14:paraId="741A76D6" w14:textId="3C1960A3" w:rsidR="002D28D8" w:rsidRPr="004D4E55" w:rsidRDefault="002D28D8" w:rsidP="004F7989">
      <w:pPr>
        <w:pStyle w:val="Figure-Table-BoxHeading"/>
      </w:pPr>
      <w:r w:rsidRPr="00236D88">
        <w:t xml:space="preserve">Table </w:t>
      </w:r>
      <w:r w:rsidR="005E47D1">
        <w:t>A.2</w:t>
      </w:r>
      <w:r>
        <w:t>:</w:t>
      </w:r>
      <w:r w:rsidRPr="004D4E55">
        <w:t xml:space="preserve"> </w:t>
      </w:r>
      <w:r>
        <w:t>Avoided market</w:t>
      </w:r>
      <w:r w:rsidRPr="004D4E55">
        <w:t xml:space="preserve"> fees and ancillary service </w:t>
      </w:r>
      <w:proofErr w:type="gramStart"/>
      <w:r w:rsidRPr="004D4E55">
        <w:t>charges</w:t>
      </w:r>
      <w:proofErr w:type="gramEnd"/>
    </w:p>
    <w:tbl>
      <w:tblPr>
        <w:tblStyle w:val="TableGrid"/>
        <w:tblW w:w="0" w:type="auto"/>
        <w:tblLook w:val="04A0" w:firstRow="1" w:lastRow="0" w:firstColumn="1" w:lastColumn="0" w:noHBand="0" w:noVBand="1"/>
      </w:tblPr>
      <w:tblGrid>
        <w:gridCol w:w="4815"/>
        <w:gridCol w:w="2410"/>
        <w:gridCol w:w="2403"/>
      </w:tblGrid>
      <w:tr w:rsidR="002D28D8" w14:paraId="59491635" w14:textId="77777777">
        <w:trPr>
          <w:cnfStyle w:val="100000000000" w:firstRow="1" w:lastRow="0" w:firstColumn="0" w:lastColumn="0" w:oddVBand="0" w:evenVBand="0" w:oddHBand="0" w:evenHBand="0" w:firstRowFirstColumn="0" w:firstRowLastColumn="0" w:lastRowFirstColumn="0" w:lastRowLastColumn="0"/>
          <w:trHeight w:val="401"/>
        </w:trPr>
        <w:tc>
          <w:tcPr>
            <w:tcW w:w="4815" w:type="dxa"/>
          </w:tcPr>
          <w:p w14:paraId="364DE8E7" w14:textId="77777777" w:rsidR="002D28D8" w:rsidRDefault="002D28D8">
            <w:pPr>
              <w:pStyle w:val="TableHeading"/>
            </w:pPr>
            <w:r>
              <w:t>Item</w:t>
            </w:r>
          </w:p>
        </w:tc>
        <w:tc>
          <w:tcPr>
            <w:tcW w:w="2410" w:type="dxa"/>
          </w:tcPr>
          <w:p w14:paraId="65ECB4D1" w14:textId="77777777" w:rsidR="002D28D8" w:rsidRDefault="002D28D8">
            <w:pPr>
              <w:pStyle w:val="TableHeading"/>
            </w:pPr>
            <w:r>
              <w:t xml:space="preserve">Fee </w:t>
            </w:r>
          </w:p>
          <w:p w14:paraId="44E19A08" w14:textId="77777777" w:rsidR="002D28D8" w:rsidRPr="00066EC9" w:rsidRDefault="002D28D8">
            <w:pPr>
              <w:pStyle w:val="TableHeading"/>
              <w:rPr>
                <w:b w:val="0"/>
                <w:bCs/>
              </w:rPr>
            </w:pPr>
            <w:r w:rsidRPr="00066EC9">
              <w:rPr>
                <w:b w:val="0"/>
                <w:bCs/>
              </w:rPr>
              <w:t>$</w:t>
            </w:r>
            <w:r>
              <w:rPr>
                <w:b w:val="0"/>
                <w:bCs/>
              </w:rPr>
              <w:t xml:space="preserve"> per </w:t>
            </w:r>
            <w:r w:rsidRPr="00066EC9">
              <w:rPr>
                <w:b w:val="0"/>
                <w:bCs/>
              </w:rPr>
              <w:t>MWh</w:t>
            </w:r>
          </w:p>
        </w:tc>
        <w:tc>
          <w:tcPr>
            <w:tcW w:w="2403" w:type="dxa"/>
          </w:tcPr>
          <w:p w14:paraId="1DDEF229" w14:textId="77777777" w:rsidR="002D28D8" w:rsidRDefault="002D28D8">
            <w:pPr>
              <w:pStyle w:val="TableHeading"/>
            </w:pPr>
          </w:p>
          <w:p w14:paraId="0CFCCCCA" w14:textId="77777777" w:rsidR="002D28D8" w:rsidRPr="00066EC9" w:rsidRDefault="002D28D8">
            <w:pPr>
              <w:pStyle w:val="TableHeading"/>
              <w:rPr>
                <w:b w:val="0"/>
                <w:bCs/>
              </w:rPr>
            </w:pPr>
            <w:r>
              <w:rPr>
                <w:b w:val="0"/>
                <w:bCs/>
              </w:rPr>
              <w:t>c</w:t>
            </w:r>
            <w:r w:rsidRPr="00066EC9">
              <w:rPr>
                <w:b w:val="0"/>
                <w:bCs/>
              </w:rPr>
              <w:t>ents per kWh</w:t>
            </w:r>
          </w:p>
        </w:tc>
      </w:tr>
      <w:tr w:rsidR="002D28D8" w14:paraId="0D31FEF4" w14:textId="77777777">
        <w:trPr>
          <w:cnfStyle w:val="000000100000" w:firstRow="0" w:lastRow="0" w:firstColumn="0" w:lastColumn="0" w:oddVBand="0" w:evenVBand="0" w:oddHBand="1" w:evenHBand="0" w:firstRowFirstColumn="0" w:firstRowLastColumn="0" w:lastRowFirstColumn="0" w:lastRowLastColumn="0"/>
        </w:trPr>
        <w:tc>
          <w:tcPr>
            <w:tcW w:w="0" w:type="dxa"/>
          </w:tcPr>
          <w:p w14:paraId="63E5CB44" w14:textId="77777777" w:rsidR="002D28D8" w:rsidRDefault="002D28D8">
            <w:pPr>
              <w:pStyle w:val="TableBody"/>
            </w:pPr>
            <w:r w:rsidRPr="00CC7C76">
              <w:t xml:space="preserve">National Electricity Market fees </w:t>
            </w:r>
          </w:p>
        </w:tc>
        <w:tc>
          <w:tcPr>
            <w:tcW w:w="0" w:type="dxa"/>
          </w:tcPr>
          <w:p w14:paraId="01B3CBA5" w14:textId="77777777" w:rsidR="002D28D8" w:rsidRPr="007B6053" w:rsidRDefault="002D28D8">
            <w:pPr>
              <w:pStyle w:val="TableBody"/>
            </w:pPr>
            <w:r>
              <w:t>0.41</w:t>
            </w:r>
          </w:p>
        </w:tc>
        <w:tc>
          <w:tcPr>
            <w:tcW w:w="0" w:type="dxa"/>
          </w:tcPr>
          <w:p w14:paraId="6998278B" w14:textId="77777777" w:rsidR="002D28D8" w:rsidRPr="007B6053" w:rsidRDefault="002D28D8">
            <w:pPr>
              <w:pStyle w:val="TableBody"/>
            </w:pPr>
            <w:r>
              <w:t>0.04</w:t>
            </w:r>
          </w:p>
        </w:tc>
      </w:tr>
      <w:tr w:rsidR="002D28D8" w14:paraId="4E22D965" w14:textId="77777777">
        <w:trPr>
          <w:cnfStyle w:val="000000010000" w:firstRow="0" w:lastRow="0" w:firstColumn="0" w:lastColumn="0" w:oddVBand="0" w:evenVBand="0" w:oddHBand="0" w:evenHBand="1" w:firstRowFirstColumn="0" w:firstRowLastColumn="0" w:lastRowFirstColumn="0" w:lastRowLastColumn="0"/>
          <w:trHeight w:val="174"/>
        </w:trPr>
        <w:tc>
          <w:tcPr>
            <w:tcW w:w="0" w:type="dxa"/>
          </w:tcPr>
          <w:p w14:paraId="520E9FFF" w14:textId="77777777" w:rsidR="002D28D8" w:rsidRDefault="002D28D8">
            <w:pPr>
              <w:pStyle w:val="TableBody"/>
            </w:pPr>
            <w:r w:rsidRPr="00CC7C76">
              <w:t>Ancillary service charges</w:t>
            </w:r>
          </w:p>
        </w:tc>
        <w:tc>
          <w:tcPr>
            <w:tcW w:w="0" w:type="dxa"/>
          </w:tcPr>
          <w:p w14:paraId="161CCCCF" w14:textId="5F491B6C" w:rsidR="002D28D8" w:rsidRPr="007B6053" w:rsidRDefault="00474097">
            <w:pPr>
              <w:pStyle w:val="TableBody"/>
            </w:pPr>
            <w:r>
              <w:t>0.37</w:t>
            </w:r>
          </w:p>
        </w:tc>
        <w:tc>
          <w:tcPr>
            <w:tcW w:w="0" w:type="dxa"/>
          </w:tcPr>
          <w:p w14:paraId="69E9EC80" w14:textId="12ADF5C0" w:rsidR="002D28D8" w:rsidRPr="007B6053" w:rsidRDefault="00474097">
            <w:pPr>
              <w:pStyle w:val="TableBody"/>
            </w:pPr>
            <w:r>
              <w:t>0.04</w:t>
            </w:r>
          </w:p>
        </w:tc>
      </w:tr>
      <w:tr w:rsidR="002D28D8" w14:paraId="0CA2016B" w14:textId="77777777">
        <w:trPr>
          <w:cnfStyle w:val="000000100000" w:firstRow="0" w:lastRow="0" w:firstColumn="0" w:lastColumn="0" w:oddVBand="0" w:evenVBand="0" w:oddHBand="1" w:evenHBand="0" w:firstRowFirstColumn="0" w:firstRowLastColumn="0" w:lastRowFirstColumn="0" w:lastRowLastColumn="0"/>
        </w:trPr>
        <w:tc>
          <w:tcPr>
            <w:tcW w:w="0" w:type="dxa"/>
          </w:tcPr>
          <w:p w14:paraId="29FACAF0" w14:textId="77777777" w:rsidR="002D28D8" w:rsidRPr="00366F1C" w:rsidRDefault="002D28D8">
            <w:pPr>
              <w:pStyle w:val="TableBody"/>
              <w:rPr>
                <w:b/>
                <w:bCs/>
              </w:rPr>
            </w:pPr>
            <w:r w:rsidRPr="00366F1C">
              <w:rPr>
                <w:b/>
                <w:bCs/>
              </w:rPr>
              <w:t>Total</w:t>
            </w:r>
          </w:p>
        </w:tc>
        <w:tc>
          <w:tcPr>
            <w:tcW w:w="0" w:type="dxa"/>
          </w:tcPr>
          <w:p w14:paraId="15482B76" w14:textId="36B96F5D" w:rsidR="002D28D8" w:rsidRPr="007B6053" w:rsidRDefault="00474097">
            <w:pPr>
              <w:pStyle w:val="TableBody"/>
            </w:pPr>
            <w:r>
              <w:t>0.78</w:t>
            </w:r>
          </w:p>
        </w:tc>
        <w:tc>
          <w:tcPr>
            <w:tcW w:w="0" w:type="dxa"/>
          </w:tcPr>
          <w:p w14:paraId="0CB81248" w14:textId="02F20780" w:rsidR="002D28D8" w:rsidRPr="007B6053" w:rsidRDefault="004C3B1A">
            <w:pPr>
              <w:pStyle w:val="TableBody"/>
            </w:pPr>
            <w:r>
              <w:t>0.08</w:t>
            </w:r>
          </w:p>
        </w:tc>
      </w:tr>
    </w:tbl>
    <w:p w14:paraId="3E1D0E42" w14:textId="7772A97B" w:rsidR="002D28D8" w:rsidRPr="00D1694D" w:rsidRDefault="002D28D8" w:rsidP="002D28D8">
      <w:pPr>
        <w:rPr>
          <w:iCs/>
          <w:color w:val="4986A0" w:themeColor="text2"/>
          <w:sz w:val="18"/>
          <w:szCs w:val="18"/>
        </w:rPr>
      </w:pPr>
      <w:r w:rsidRPr="00C07CED">
        <w:rPr>
          <w:iCs/>
          <w:color w:val="4986A0" w:themeColor="text2"/>
          <w:sz w:val="18"/>
          <w:szCs w:val="18"/>
        </w:rPr>
        <w:t xml:space="preserve">Source: </w:t>
      </w:r>
      <w:r w:rsidR="00614125" w:rsidRPr="00C07CED">
        <w:rPr>
          <w:iCs/>
          <w:color w:val="4986A0" w:themeColor="text2"/>
          <w:sz w:val="18"/>
          <w:szCs w:val="18"/>
        </w:rPr>
        <w:t>AEMO 2023</w:t>
      </w:r>
      <w:r w:rsidR="00614125">
        <w:rPr>
          <w:iCs/>
          <w:color w:val="4986A0" w:themeColor="text2"/>
          <w:sz w:val="18"/>
          <w:szCs w:val="18"/>
        </w:rPr>
        <w:t>–</w:t>
      </w:r>
      <w:r w:rsidR="00614125" w:rsidRPr="00C07CED">
        <w:rPr>
          <w:iCs/>
          <w:color w:val="4986A0" w:themeColor="text2"/>
          <w:sz w:val="18"/>
          <w:szCs w:val="18"/>
        </w:rPr>
        <w:t xml:space="preserve">24 </w:t>
      </w:r>
      <w:r w:rsidRPr="00C07CED">
        <w:rPr>
          <w:iCs/>
          <w:color w:val="4986A0" w:themeColor="text2"/>
          <w:sz w:val="18"/>
          <w:szCs w:val="18"/>
        </w:rPr>
        <w:t>Budget and Fees report for market fees; AEMO ancillary services recovery summaries for 2023.</w:t>
      </w:r>
    </w:p>
    <w:p w14:paraId="7BB8D024" w14:textId="77777777" w:rsidR="002D28D8" w:rsidRDefault="002D28D8" w:rsidP="002D28D8">
      <w:pPr>
        <w:pStyle w:val="Heading3"/>
      </w:pPr>
      <w:bookmarkStart w:id="122" w:name="_Toc143691780"/>
      <w:bookmarkStart w:id="123" w:name="_Toc147961388"/>
      <w:bookmarkStart w:id="124" w:name="_Toc151465336"/>
      <w:bookmarkStart w:id="125" w:name="_Toc159844576"/>
      <w:r>
        <w:t>Market fees</w:t>
      </w:r>
      <w:bookmarkEnd w:id="122"/>
      <w:bookmarkEnd w:id="123"/>
      <w:bookmarkEnd w:id="124"/>
      <w:bookmarkEnd w:id="125"/>
    </w:p>
    <w:p w14:paraId="7C15F0EE" w14:textId="77777777" w:rsidR="002D28D8" w:rsidRDefault="002D28D8" w:rsidP="002D28D8">
      <w:r w:rsidRPr="00DA1FCC">
        <w:t xml:space="preserve">The National Electricity Market </w:t>
      </w:r>
      <w:r>
        <w:t>(NEM)</w:t>
      </w:r>
      <w:r w:rsidRPr="00DA1FCC">
        <w:t xml:space="preserve"> fee</w:t>
      </w:r>
      <w:r>
        <w:t>s</w:t>
      </w:r>
      <w:r w:rsidRPr="00DA1FCC">
        <w:t xml:space="preserve"> levied by the market operator </w:t>
      </w:r>
      <w:r>
        <w:t>– core and functions – are</w:t>
      </w:r>
      <w:r w:rsidRPr="00DA1FCC">
        <w:t xml:space="preserve"> set in advance each year through its annual budgeting process. </w:t>
      </w:r>
      <w:r>
        <w:t>We</w:t>
      </w:r>
      <w:r w:rsidRPr="00DA1FCC">
        <w:t xml:space="preserve"> have used the </w:t>
      </w:r>
      <w:r>
        <w:t>market fees published in the 2023</w:t>
      </w:r>
      <w:bookmarkStart w:id="126" w:name="_Hlk150511177"/>
      <w:r>
        <w:t>–</w:t>
      </w:r>
      <w:bookmarkEnd w:id="126"/>
      <w:r>
        <w:t>24 AEMO Budget and Fees paper</w:t>
      </w:r>
      <w:r w:rsidRPr="00DA1FCC">
        <w:t xml:space="preserve"> as </w:t>
      </w:r>
      <w:r>
        <w:t>the</w:t>
      </w:r>
      <w:r w:rsidRPr="00DA1FCC">
        <w:t xml:space="preserve"> best estimate for </w:t>
      </w:r>
      <w:r>
        <w:t xml:space="preserve">fees in </w:t>
      </w:r>
      <w:r w:rsidRPr="00DA1FCC">
        <w:t>2024–</w:t>
      </w:r>
      <w:r w:rsidRPr="00DA1FCC">
        <w:lastRenderedPageBreak/>
        <w:t>2025</w:t>
      </w:r>
      <w:r>
        <w:t>.</w:t>
      </w:r>
      <w:r w:rsidRPr="00DA1FCC">
        <w:rPr>
          <w:rStyle w:val="FootnoteReference"/>
        </w:rPr>
        <w:footnoteReference w:id="56"/>
      </w:r>
      <w:r>
        <w:t xml:space="preserve"> This leads to an estimate of the total market fees avoided in the 2024–25 minimum feed-in tariffs to be </w:t>
      </w:r>
      <w:r w:rsidRPr="00916B2F">
        <w:t>0.041 cents per kWh</w:t>
      </w:r>
      <w:r>
        <w:t>.</w:t>
      </w:r>
    </w:p>
    <w:p w14:paraId="70C8E467" w14:textId="144600BE" w:rsidR="002D28D8" w:rsidRDefault="002D28D8" w:rsidP="002D28D8">
      <w:r>
        <w:t>In its 2022–23 Budget and Fees paper, the market operator approved an increase of 4.5 per cent year on year in 2023–24 and 2024–25 for fees on NEM core functions.</w:t>
      </w:r>
      <w:r>
        <w:rPr>
          <w:rStyle w:val="FootnoteReference"/>
        </w:rPr>
        <w:footnoteReference w:id="57"/>
      </w:r>
      <w:r w:rsidR="00530B99">
        <w:t xml:space="preserve"> </w:t>
      </w:r>
      <w:r>
        <w:rPr>
          <w:rStyle w:val="FootnoteReference"/>
        </w:rPr>
        <w:footnoteReference w:id="58"/>
      </w:r>
      <w:r>
        <w:t xml:space="preserve"> Therefore, we have increased the 2023</w:t>
      </w:r>
      <w:r w:rsidRPr="00DA1FCC">
        <w:t>–</w:t>
      </w:r>
      <w:r>
        <w:t>24 budget for NEM core fees by 4.5 per cent as the estimated cost for 2024</w:t>
      </w:r>
      <w:r w:rsidRPr="00DA1FCC">
        <w:t>–</w:t>
      </w:r>
      <w:r>
        <w:t xml:space="preserve">25. </w:t>
      </w:r>
    </w:p>
    <w:p w14:paraId="65EF2CB1" w14:textId="77777777" w:rsidR="002D28D8" w:rsidRDefault="002D28D8" w:rsidP="002D28D8">
      <w:r>
        <w:t>Other market fees – such as IT upgrades, five-minute settlements and global settlement compliance, and the Distributed Energy Resources integration program – do not have a clearly planned trajectory. Changes between the 2023</w:t>
      </w:r>
      <w:r w:rsidRPr="00DA1FCC">
        <w:t>–</w:t>
      </w:r>
      <w:r>
        <w:t>24 budget and the 2022</w:t>
      </w:r>
      <w:r w:rsidRPr="00DA1FCC">
        <w:t>–</w:t>
      </w:r>
      <w:r>
        <w:t>23 budget were also close to zero. Therefore, we have used the 2023</w:t>
      </w:r>
      <w:r w:rsidRPr="00DA1FCC">
        <w:t>–</w:t>
      </w:r>
      <w:r>
        <w:t>24 budget for these fees as the estimated costs for 2024</w:t>
      </w:r>
      <w:bookmarkStart w:id="127" w:name="_Hlk150511262"/>
      <w:r w:rsidRPr="00DA1FCC">
        <w:t>–</w:t>
      </w:r>
      <w:bookmarkEnd w:id="127"/>
      <w:r>
        <w:t>25.</w:t>
      </w:r>
    </w:p>
    <w:p w14:paraId="23926416" w14:textId="77777777" w:rsidR="002D28D8" w:rsidRDefault="002D28D8" w:rsidP="002D28D8">
      <w:r>
        <w:t>In the 2021 Electricity Fee Structure Final Report and Determination, the market operator also announced it would change the structures of all the fees mentioned above from financial year 2023</w:t>
      </w:r>
      <w:r w:rsidRPr="00DA1FCC">
        <w:t>–</w:t>
      </w:r>
      <w:r>
        <w:t>24.</w:t>
      </w:r>
      <w:r>
        <w:rPr>
          <w:rStyle w:val="FootnoteReference"/>
        </w:rPr>
        <w:footnoteReference w:id="59"/>
      </w:r>
      <w:r w:rsidRPr="005924CA">
        <w:t xml:space="preserve"> The new structure involves charging 50</w:t>
      </w:r>
      <w:r>
        <w:t xml:space="preserve"> per cent</w:t>
      </w:r>
      <w:r w:rsidRPr="005924CA">
        <w:t xml:space="preserve"> of the fees based on a variable rate per MWh (megawatt-hour) and the remaining 50</w:t>
      </w:r>
      <w:r>
        <w:t xml:space="preserve"> per cent </w:t>
      </w:r>
      <w:r w:rsidRPr="005924CA">
        <w:t>based on a fixed rate per connection point per week</w:t>
      </w:r>
      <w:r>
        <w:t xml:space="preserve">. Because our approach estimates the costs avoided when retailers purchase exports from solar customers, we only include the variable fees in our calculation. Fixed costs are not avoided when retailers purchase solar exports. </w:t>
      </w:r>
    </w:p>
    <w:p w14:paraId="50C7FC6E" w14:textId="6466AD5E" w:rsidR="004A41D0" w:rsidRDefault="004A41D0" w:rsidP="002D28D8">
      <w:r>
        <w:t xml:space="preserve">At the time of </w:t>
      </w:r>
      <w:r w:rsidR="00280D81">
        <w:t>this</w:t>
      </w:r>
      <w:r>
        <w:t xml:space="preserve"> decision, the market operator </w:t>
      </w:r>
      <w:r w:rsidR="00315BF7">
        <w:t>ha</w:t>
      </w:r>
      <w:r w:rsidR="00B16292">
        <w:t>d</w:t>
      </w:r>
      <w:r w:rsidR="00315BF7">
        <w:t xml:space="preserve"> not published its budget for 2024</w:t>
      </w:r>
      <w:r w:rsidR="00315BF7" w:rsidRPr="00DB7E08">
        <w:t>–</w:t>
      </w:r>
      <w:r w:rsidR="00315BF7">
        <w:t xml:space="preserve">25. </w:t>
      </w:r>
      <w:r w:rsidR="00D24E32">
        <w:t>So,</w:t>
      </w:r>
      <w:r w:rsidR="00315BF7">
        <w:t xml:space="preserve"> we have </w:t>
      </w:r>
      <w:r w:rsidR="00B16292">
        <w:t>used the same</w:t>
      </w:r>
      <w:r w:rsidR="00315BF7">
        <w:t xml:space="preserve"> market fee </w:t>
      </w:r>
      <w:r w:rsidR="00B16292">
        <w:t>amount</w:t>
      </w:r>
      <w:r w:rsidR="00DB7E08">
        <w:t xml:space="preserve"> as we used in</w:t>
      </w:r>
      <w:r w:rsidR="00FC236C">
        <w:t xml:space="preserve"> our draft decision.</w:t>
      </w:r>
    </w:p>
    <w:p w14:paraId="4216550B" w14:textId="67F7044D" w:rsidR="002D28D8" w:rsidRDefault="002D28D8" w:rsidP="002D28D8">
      <w:r w:rsidRPr="00DB7E08">
        <w:t>The rebalancing of fixed and variable fees has reduced the market fees included in the 2024–25 minimum feed-in tariffs. The NEM fees we propose in our decision for 2024–25 are 0.04 cents per kWh. The National Electricity Market fees in our 2023–24 decision were 0.11 cents per kWh.</w:t>
      </w:r>
      <w:r>
        <w:t xml:space="preserve"> </w:t>
      </w:r>
    </w:p>
    <w:p w14:paraId="6DC9518C" w14:textId="77777777" w:rsidR="002D28D8" w:rsidRDefault="002D28D8" w:rsidP="002D28D8">
      <w:pPr>
        <w:pStyle w:val="Heading3"/>
      </w:pPr>
      <w:bookmarkStart w:id="128" w:name="_Toc143691781"/>
      <w:bookmarkStart w:id="129" w:name="_Toc147961389"/>
      <w:bookmarkStart w:id="130" w:name="_Toc151465337"/>
      <w:bookmarkStart w:id="131" w:name="_Toc159844577"/>
      <w:r>
        <w:lastRenderedPageBreak/>
        <w:t>Ancillary services</w:t>
      </w:r>
      <w:bookmarkEnd w:id="128"/>
      <w:bookmarkEnd w:id="129"/>
      <w:bookmarkEnd w:id="130"/>
      <w:bookmarkEnd w:id="131"/>
    </w:p>
    <w:p w14:paraId="42FBA16A" w14:textId="7B40D024" w:rsidR="00510DCE" w:rsidRPr="00FB5E1B" w:rsidRDefault="002D28D8" w:rsidP="002D28D8">
      <w:r w:rsidRPr="00592A36">
        <w:t xml:space="preserve">The market operator recovers the cost of providing ancillary services </w:t>
      </w:r>
      <w:r w:rsidR="00D71A85" w:rsidRPr="00592A36">
        <w:t>to the N</w:t>
      </w:r>
      <w:r w:rsidR="00FB5E1B">
        <w:t xml:space="preserve">ational </w:t>
      </w:r>
      <w:r w:rsidR="00D71A85" w:rsidRPr="00592A36">
        <w:t>E</w:t>
      </w:r>
      <w:r w:rsidR="00FB5E1B">
        <w:t xml:space="preserve">lectricity </w:t>
      </w:r>
      <w:r w:rsidR="00D71A85" w:rsidRPr="00592A36">
        <w:t>M</w:t>
      </w:r>
      <w:r w:rsidR="00FB5E1B">
        <w:t>arket</w:t>
      </w:r>
      <w:r w:rsidRPr="00FB5E1B">
        <w:t xml:space="preserve"> from market participants (retailers)</w:t>
      </w:r>
      <w:r w:rsidR="00D1466E" w:rsidRPr="00FB5E1B">
        <w:t xml:space="preserve">. It </w:t>
      </w:r>
      <w:r w:rsidRPr="00FB5E1B">
        <w:t>publishes the ancillary service charges on a weekly basis</w:t>
      </w:r>
      <w:r w:rsidR="000D06B4">
        <w:t xml:space="preserve"> </w:t>
      </w:r>
      <w:r w:rsidR="000D06B4" w:rsidRPr="00FB5E1B">
        <w:t>on its website</w:t>
      </w:r>
      <w:r w:rsidRPr="00FB5E1B">
        <w:t xml:space="preserve">. </w:t>
      </w:r>
    </w:p>
    <w:p w14:paraId="42FD315A" w14:textId="13966D6B" w:rsidR="002D28D8" w:rsidRPr="002126A9" w:rsidRDefault="006F0E61" w:rsidP="002D28D8">
      <w:r w:rsidRPr="00FB5E1B">
        <w:t>We have used this data to estimate</w:t>
      </w:r>
      <w:r w:rsidR="002D28D8" w:rsidRPr="00FB5E1B">
        <w:t xml:space="preserve"> the avoided costs for ancillary services </w:t>
      </w:r>
      <w:r w:rsidR="002D28D8" w:rsidRPr="00031D0A">
        <w:t xml:space="preserve">to be </w:t>
      </w:r>
      <w:r w:rsidR="00D1304F" w:rsidRPr="00031D0A">
        <w:t>0.037</w:t>
      </w:r>
      <w:r w:rsidR="002D28D8" w:rsidRPr="00031D0A">
        <w:t xml:space="preserve"> cents per kWh.</w:t>
      </w:r>
      <w:r w:rsidR="00510DCE">
        <w:t xml:space="preserve"> </w:t>
      </w:r>
      <w:r w:rsidR="009E242F">
        <w:t xml:space="preserve">We based this estimate on </w:t>
      </w:r>
      <w:r w:rsidR="00375955">
        <w:t xml:space="preserve">the </w:t>
      </w:r>
      <w:r w:rsidR="009E242F">
        <w:t>52-week</w:t>
      </w:r>
      <w:r w:rsidR="00375955">
        <w:t>s</w:t>
      </w:r>
      <w:r w:rsidR="009E242F">
        <w:t xml:space="preserve"> </w:t>
      </w:r>
      <w:r w:rsidR="0066133D">
        <w:t>from 1 Jan 2023 to 31 Dec 2023</w:t>
      </w:r>
      <w:r w:rsidR="002D28D8">
        <w:t>.</w:t>
      </w:r>
      <w:r w:rsidR="002D28D8">
        <w:rPr>
          <w:rStyle w:val="FootnoteReference"/>
        </w:rPr>
        <w:footnoteReference w:id="60"/>
      </w:r>
      <w:r w:rsidR="002D28D8">
        <w:t xml:space="preserve"> </w:t>
      </w:r>
      <w:r w:rsidR="002D28D8">
        <w:rPr>
          <w:rStyle w:val="FootnoteReference"/>
        </w:rPr>
        <w:footnoteReference w:id="61"/>
      </w:r>
      <w:r w:rsidR="002D28D8">
        <w:t xml:space="preserve"> This is the same approach we used last year.</w:t>
      </w:r>
    </w:p>
    <w:p w14:paraId="065B2629" w14:textId="77777777" w:rsidR="002D28D8" w:rsidRDefault="002D28D8" w:rsidP="002D28D8">
      <w:pPr>
        <w:pStyle w:val="Heading2"/>
      </w:pPr>
      <w:bookmarkStart w:id="132" w:name="_Toc143691782"/>
      <w:bookmarkStart w:id="133" w:name="_Toc147961390"/>
      <w:bookmarkStart w:id="134" w:name="_Toc151465338"/>
      <w:bookmarkStart w:id="135" w:name="_Toc159844578"/>
      <w:r>
        <w:t>Estimating avoided transmission and distribution losses</w:t>
      </w:r>
      <w:bookmarkEnd w:id="132"/>
      <w:bookmarkEnd w:id="133"/>
      <w:bookmarkEnd w:id="134"/>
      <w:bookmarkEnd w:id="135"/>
      <w:r>
        <w:t xml:space="preserve"> </w:t>
      </w:r>
    </w:p>
    <w:p w14:paraId="71D3ABEA" w14:textId="77777777" w:rsidR="002D28D8" w:rsidRDefault="002D28D8" w:rsidP="002D28D8">
      <w:r>
        <w:t>Electricity supplied to the wholesale market is often produced by large generators located some distance away from the point of consumption. Electricity is transported to households and businesses via a transmission and distribution network (also known as the ‘grid’). During this process, a small portion of electricity originally exported to the grid is lost as heat and sound. This is referred to as network or line losses.</w:t>
      </w:r>
    </w:p>
    <w:p w14:paraId="6077129D" w14:textId="6C12618F" w:rsidR="002D28D8" w:rsidRDefault="002D28D8" w:rsidP="002D28D8">
      <w:r>
        <w:t>Small</w:t>
      </w:r>
      <w:r w:rsidR="00D02817">
        <w:t>-</w:t>
      </w:r>
      <w:r>
        <w:t>scale renewable generation reduces network losses because the generated electricity is transported a short distance, so line losses are minimal. The extent of the associated cost savings varies depending on the location of the generation facility (among other factors such as the quality of the line and the amount of electricity flowing through it). These cost savings are incorporated into the feed-in tariffs by applying a ‘loss factor’ to the avoided cost of purchasing electricity in the wholesale market, including market fees and ancillary service charges.</w:t>
      </w:r>
    </w:p>
    <w:p w14:paraId="5311EC5F" w14:textId="4252AF18" w:rsidR="002D28D8" w:rsidRPr="00E40CF7" w:rsidRDefault="002D28D8" w:rsidP="002D28D8">
      <w:r w:rsidRPr="00E40CF7">
        <w:t xml:space="preserve">Using the market operator’s estimates of distribution and marginal loss factors for 2023–24, we have estimated a flat customer share-weighted loss factor of </w:t>
      </w:r>
      <w:r w:rsidR="004E10BE">
        <w:t>1.0636</w:t>
      </w:r>
      <w:r w:rsidRPr="00FC434E">
        <w:t xml:space="preserve"> </w:t>
      </w:r>
      <w:r w:rsidRPr="00E40CF7">
        <w:t>for Victoria. We have then applied this loss factor to derive the value of avoided network losses used in the minimum feed-in tariff calculatio</w:t>
      </w:r>
      <w:r w:rsidRPr="004F69F2">
        <w:t xml:space="preserve">ns. </w:t>
      </w:r>
      <w:r w:rsidR="00AA2CBE" w:rsidRPr="004F69F2">
        <w:t>Table</w:t>
      </w:r>
      <w:r w:rsidR="00AA2CBE">
        <w:t xml:space="preserve"> A.3</w:t>
      </w:r>
      <w:r w:rsidRPr="00E40CF7">
        <w:t xml:space="preserve"> sets out the inputs to the loss factor calculation which are publicly available on the market operator’s website.</w:t>
      </w:r>
    </w:p>
    <w:p w14:paraId="71A5E275" w14:textId="2F975533" w:rsidR="002D28D8" w:rsidRDefault="002D28D8" w:rsidP="002D28D8">
      <w:r w:rsidRPr="00E40CF7">
        <w:t xml:space="preserve">In this review, we have used the same approach to network losses as we </w:t>
      </w:r>
      <w:r>
        <w:t>use for</w:t>
      </w:r>
      <w:r w:rsidRPr="00E40CF7">
        <w:t xml:space="preserve"> the Victorian Default Offer. </w:t>
      </w:r>
      <w:r>
        <w:t>This is the same approach we took in the last feed-in tariff review. To calculate the distribution loss factors (DLF</w:t>
      </w:r>
      <w:r w:rsidR="00B42DD6">
        <w:t xml:space="preserve">) for </w:t>
      </w:r>
      <w:r>
        <w:t xml:space="preserve">urban distribution areas we have used the short sub-transmission </w:t>
      </w:r>
      <w:r>
        <w:lastRenderedPageBreak/>
        <w:t>factor.</w:t>
      </w:r>
      <w:r w:rsidRPr="00E40CF7">
        <w:rPr>
          <w:rStyle w:val="FootnoteReference"/>
        </w:rPr>
        <w:footnoteReference w:id="62"/>
      </w:r>
      <w:r>
        <w:t xml:space="preserve"> For the Powercor and AusNet distribution zones, however, w</w:t>
      </w:r>
      <w:r w:rsidRPr="00E40CF7">
        <w:t xml:space="preserve">e took the load weighted average of the short and long sub-transmission distribution loss factors </w:t>
      </w:r>
      <w:r>
        <w:t xml:space="preserve">using data provided by Powercor and AusNet. </w:t>
      </w:r>
    </w:p>
    <w:p w14:paraId="03ED9C91" w14:textId="2636BDA2" w:rsidR="002D28D8" w:rsidRDefault="002D28D8" w:rsidP="002D28D8">
      <w:r>
        <w:t>We then</w:t>
      </w:r>
      <w:r w:rsidRPr="00E40CF7">
        <w:t xml:space="preserve"> calculated the </w:t>
      </w:r>
      <w:r>
        <w:t xml:space="preserve">marginal </w:t>
      </w:r>
      <w:r w:rsidRPr="00E40CF7">
        <w:t xml:space="preserve">transmission loss factors </w:t>
      </w:r>
      <w:r>
        <w:t xml:space="preserve">(MLF) </w:t>
      </w:r>
      <w:r w:rsidRPr="00E40CF7">
        <w:t>using the simple average of the marginal loss factors across each distribution area (removing some nodes that have no small business or residential load).</w:t>
      </w:r>
      <w:r w:rsidR="000213BD">
        <w:rPr>
          <w:rStyle w:val="FootnoteReference"/>
        </w:rPr>
        <w:footnoteReference w:id="63"/>
      </w:r>
      <w:r w:rsidRPr="00E40CF7">
        <w:t xml:space="preserve"> </w:t>
      </w:r>
      <w:r>
        <w:t xml:space="preserve">We multiply the DLFs and MLFs to derive the total loss factors. </w:t>
      </w:r>
      <w:r w:rsidRPr="00E40CF7">
        <w:t>These factors are then weighted by the number of low voltage customers in each distribution zone to develop a Victoria</w:t>
      </w:r>
      <w:r w:rsidR="00CD38A3">
        <w:t>-</w:t>
      </w:r>
      <w:r w:rsidRPr="00E40CF7">
        <w:t>wide loss factor.</w:t>
      </w:r>
      <w:r>
        <w:t xml:space="preserve"> See Table </w:t>
      </w:r>
      <w:r w:rsidR="00F66036">
        <w:t>A.3</w:t>
      </w:r>
      <w:r>
        <w:t xml:space="preserve"> for detail</w:t>
      </w:r>
      <w:r w:rsidR="00DC4ED7">
        <w:t>s</w:t>
      </w:r>
      <w:r>
        <w:t xml:space="preserve">. </w:t>
      </w:r>
    </w:p>
    <w:p w14:paraId="4D9C161B" w14:textId="2BDC74F1" w:rsidR="002D28D8" w:rsidRDefault="002D28D8" w:rsidP="00423D7D">
      <w:pPr>
        <w:pStyle w:val="Figure-Table-BoxHeading"/>
        <w:keepNext/>
      </w:pPr>
      <w:r w:rsidRPr="00236D88">
        <w:t xml:space="preserve">Table </w:t>
      </w:r>
      <w:r w:rsidR="00AA2CBE">
        <w:t>A.3</w:t>
      </w:r>
      <w:r>
        <w:t xml:space="preserve">: Inputs for calculating loss </w:t>
      </w:r>
      <w:proofErr w:type="gramStart"/>
      <w:r>
        <w:t>factors</w:t>
      </w:r>
      <w:proofErr w:type="gramEnd"/>
    </w:p>
    <w:tbl>
      <w:tblPr>
        <w:tblStyle w:val="TableGrid"/>
        <w:tblW w:w="0" w:type="auto"/>
        <w:tblLayout w:type="fixed"/>
        <w:tblLook w:val="04A0" w:firstRow="1" w:lastRow="0" w:firstColumn="1" w:lastColumn="0" w:noHBand="0" w:noVBand="1"/>
      </w:tblPr>
      <w:tblGrid>
        <w:gridCol w:w="2694"/>
        <w:gridCol w:w="1559"/>
        <w:gridCol w:w="1701"/>
        <w:gridCol w:w="1559"/>
        <w:gridCol w:w="2125"/>
      </w:tblGrid>
      <w:tr w:rsidR="002D28D8" w:rsidRPr="00C56D6C" w14:paraId="4C85CDA8" w14:textId="77777777">
        <w:trPr>
          <w:cnfStyle w:val="100000000000" w:firstRow="1" w:lastRow="0" w:firstColumn="0" w:lastColumn="0" w:oddVBand="0" w:evenVBand="0" w:oddHBand="0" w:evenHBand="0" w:firstRowFirstColumn="0" w:firstRowLastColumn="0" w:lastRowFirstColumn="0" w:lastRowLastColumn="0"/>
        </w:trPr>
        <w:tc>
          <w:tcPr>
            <w:tcW w:w="2694" w:type="dxa"/>
          </w:tcPr>
          <w:p w14:paraId="7808E2D2" w14:textId="77777777" w:rsidR="002D28D8" w:rsidRPr="00DE3BE7" w:rsidRDefault="002D28D8">
            <w:pPr>
              <w:pStyle w:val="TableHeading"/>
              <w:rPr>
                <w:sz w:val="18"/>
                <w:szCs w:val="18"/>
              </w:rPr>
            </w:pPr>
            <w:r w:rsidRPr="00DE3BE7">
              <w:rPr>
                <w:sz w:val="18"/>
                <w:szCs w:val="18"/>
              </w:rPr>
              <w:t>Distribution business</w:t>
            </w:r>
          </w:p>
        </w:tc>
        <w:tc>
          <w:tcPr>
            <w:tcW w:w="1559" w:type="dxa"/>
          </w:tcPr>
          <w:p w14:paraId="07F28A67" w14:textId="77777777" w:rsidR="002D28D8" w:rsidRPr="00DE3BE7" w:rsidRDefault="002D28D8">
            <w:pPr>
              <w:pStyle w:val="TableHeading"/>
              <w:rPr>
                <w:sz w:val="18"/>
                <w:szCs w:val="18"/>
              </w:rPr>
            </w:pPr>
            <w:r w:rsidRPr="00DE3BE7">
              <w:rPr>
                <w:sz w:val="18"/>
                <w:szCs w:val="18"/>
              </w:rPr>
              <w:t>Distribution loss factor</w:t>
            </w:r>
          </w:p>
        </w:tc>
        <w:tc>
          <w:tcPr>
            <w:tcW w:w="1701" w:type="dxa"/>
          </w:tcPr>
          <w:p w14:paraId="7EB44B7C" w14:textId="77777777" w:rsidR="002D28D8" w:rsidRPr="00DE3BE7" w:rsidRDefault="002D28D8">
            <w:pPr>
              <w:pStyle w:val="TableHeading"/>
              <w:rPr>
                <w:sz w:val="18"/>
                <w:szCs w:val="18"/>
              </w:rPr>
            </w:pPr>
            <w:r w:rsidRPr="00DE3BE7">
              <w:rPr>
                <w:sz w:val="18"/>
                <w:szCs w:val="18"/>
              </w:rPr>
              <w:t>Average marginal loss factor</w:t>
            </w:r>
          </w:p>
        </w:tc>
        <w:tc>
          <w:tcPr>
            <w:tcW w:w="1559" w:type="dxa"/>
          </w:tcPr>
          <w:p w14:paraId="65C0CB7B" w14:textId="77777777" w:rsidR="002D28D8" w:rsidRPr="00DE3BE7" w:rsidRDefault="002D28D8">
            <w:pPr>
              <w:pStyle w:val="TableHeading"/>
              <w:rPr>
                <w:sz w:val="18"/>
                <w:szCs w:val="18"/>
              </w:rPr>
            </w:pPr>
            <w:r w:rsidRPr="00DE3BE7">
              <w:rPr>
                <w:sz w:val="18"/>
                <w:szCs w:val="18"/>
              </w:rPr>
              <w:t>Total loss factor</w:t>
            </w:r>
          </w:p>
        </w:tc>
        <w:tc>
          <w:tcPr>
            <w:tcW w:w="2125" w:type="dxa"/>
          </w:tcPr>
          <w:p w14:paraId="304B1C34" w14:textId="77777777" w:rsidR="002D28D8" w:rsidRPr="00DE3BE7" w:rsidRDefault="002D28D8">
            <w:pPr>
              <w:pStyle w:val="TableHeading"/>
              <w:rPr>
                <w:sz w:val="18"/>
                <w:szCs w:val="18"/>
              </w:rPr>
            </w:pPr>
            <w:r w:rsidRPr="00DE3BE7">
              <w:rPr>
                <w:sz w:val="18"/>
                <w:szCs w:val="18"/>
              </w:rPr>
              <w:t>Number of customers</w:t>
            </w:r>
          </w:p>
        </w:tc>
      </w:tr>
      <w:tr w:rsidR="002D28D8" w:rsidRPr="00C56D6C" w14:paraId="0B96FE12" w14:textId="77777777">
        <w:trPr>
          <w:cnfStyle w:val="000000100000" w:firstRow="0" w:lastRow="0" w:firstColumn="0" w:lastColumn="0" w:oddVBand="0" w:evenVBand="0" w:oddHBand="1" w:evenHBand="0" w:firstRowFirstColumn="0" w:firstRowLastColumn="0" w:lastRowFirstColumn="0" w:lastRowLastColumn="0"/>
        </w:trPr>
        <w:tc>
          <w:tcPr>
            <w:tcW w:w="2694" w:type="dxa"/>
          </w:tcPr>
          <w:p w14:paraId="442F8CE8" w14:textId="77777777" w:rsidR="002D28D8" w:rsidRPr="00DE3BE7" w:rsidRDefault="002D28D8">
            <w:pPr>
              <w:pStyle w:val="TableBody"/>
              <w:rPr>
                <w:sz w:val="18"/>
                <w:szCs w:val="18"/>
              </w:rPr>
            </w:pPr>
            <w:r w:rsidRPr="00DE3BE7">
              <w:rPr>
                <w:sz w:val="18"/>
                <w:szCs w:val="18"/>
              </w:rPr>
              <w:t>AusNet Services</w:t>
            </w:r>
          </w:p>
        </w:tc>
        <w:tc>
          <w:tcPr>
            <w:tcW w:w="1559" w:type="dxa"/>
          </w:tcPr>
          <w:p w14:paraId="6F3D892E" w14:textId="77777777" w:rsidR="002D28D8" w:rsidRPr="00DE3BE7" w:rsidRDefault="002D28D8">
            <w:pPr>
              <w:pStyle w:val="TableBody"/>
              <w:jc w:val="right"/>
              <w:rPr>
                <w:sz w:val="18"/>
                <w:szCs w:val="18"/>
              </w:rPr>
            </w:pPr>
            <w:r w:rsidRPr="00DE3BE7">
              <w:rPr>
                <w:sz w:val="18"/>
                <w:szCs w:val="18"/>
              </w:rPr>
              <w:t>1.0810</w:t>
            </w:r>
          </w:p>
        </w:tc>
        <w:tc>
          <w:tcPr>
            <w:tcW w:w="1701" w:type="dxa"/>
          </w:tcPr>
          <w:p w14:paraId="26C48EF1" w14:textId="77777777" w:rsidR="002D28D8" w:rsidRPr="00DE3BE7" w:rsidRDefault="002D28D8">
            <w:pPr>
              <w:pStyle w:val="TableBody"/>
              <w:jc w:val="right"/>
              <w:rPr>
                <w:sz w:val="18"/>
                <w:szCs w:val="18"/>
              </w:rPr>
            </w:pPr>
            <w:r w:rsidRPr="00DE3BE7">
              <w:rPr>
                <w:sz w:val="18"/>
                <w:szCs w:val="18"/>
              </w:rPr>
              <w:t>1.0041</w:t>
            </w:r>
          </w:p>
        </w:tc>
        <w:tc>
          <w:tcPr>
            <w:tcW w:w="1559" w:type="dxa"/>
          </w:tcPr>
          <w:p w14:paraId="5DAC764F" w14:textId="77777777" w:rsidR="002D28D8" w:rsidRPr="00DE3BE7" w:rsidRDefault="002D28D8">
            <w:pPr>
              <w:pStyle w:val="TableBody"/>
              <w:jc w:val="right"/>
              <w:rPr>
                <w:sz w:val="18"/>
                <w:szCs w:val="18"/>
              </w:rPr>
            </w:pPr>
            <w:r w:rsidRPr="00DE3BE7">
              <w:rPr>
                <w:sz w:val="18"/>
                <w:szCs w:val="18"/>
              </w:rPr>
              <w:t>1.0854</w:t>
            </w:r>
          </w:p>
        </w:tc>
        <w:tc>
          <w:tcPr>
            <w:tcW w:w="2125" w:type="dxa"/>
          </w:tcPr>
          <w:p w14:paraId="3C43AED5" w14:textId="4363C7D8" w:rsidR="002D28D8" w:rsidRPr="00DE3BE7" w:rsidRDefault="002D28D8">
            <w:pPr>
              <w:pStyle w:val="TableBody"/>
              <w:jc w:val="right"/>
              <w:rPr>
                <w:sz w:val="18"/>
                <w:szCs w:val="18"/>
                <w:highlight w:val="yellow"/>
              </w:rPr>
            </w:pPr>
            <w:r w:rsidRPr="00DE3BE7">
              <w:rPr>
                <w:sz w:val="18"/>
                <w:szCs w:val="18"/>
              </w:rPr>
              <w:t xml:space="preserve"> </w:t>
            </w:r>
            <w:r w:rsidR="00D05A7F" w:rsidRPr="00DE3BE7">
              <w:rPr>
                <w:sz w:val="18"/>
                <w:szCs w:val="18"/>
              </w:rPr>
              <w:t>804,402</w:t>
            </w:r>
            <w:r w:rsidRPr="00DE3BE7">
              <w:rPr>
                <w:sz w:val="18"/>
                <w:szCs w:val="18"/>
              </w:rPr>
              <w:t xml:space="preserve"> </w:t>
            </w:r>
          </w:p>
        </w:tc>
      </w:tr>
      <w:tr w:rsidR="002D28D8" w:rsidRPr="00C56D6C" w14:paraId="62DB9695" w14:textId="77777777">
        <w:trPr>
          <w:cnfStyle w:val="000000010000" w:firstRow="0" w:lastRow="0" w:firstColumn="0" w:lastColumn="0" w:oddVBand="0" w:evenVBand="0" w:oddHBand="0" w:evenHBand="1" w:firstRowFirstColumn="0" w:firstRowLastColumn="0" w:lastRowFirstColumn="0" w:lastRowLastColumn="0"/>
        </w:trPr>
        <w:tc>
          <w:tcPr>
            <w:tcW w:w="2694" w:type="dxa"/>
          </w:tcPr>
          <w:p w14:paraId="3A9DA01A" w14:textId="77777777" w:rsidR="002D28D8" w:rsidRPr="00DE3BE7" w:rsidRDefault="002D28D8">
            <w:pPr>
              <w:pStyle w:val="TableBody"/>
              <w:rPr>
                <w:sz w:val="18"/>
                <w:szCs w:val="18"/>
              </w:rPr>
            </w:pPr>
            <w:r w:rsidRPr="00DE3BE7">
              <w:rPr>
                <w:sz w:val="18"/>
                <w:szCs w:val="18"/>
              </w:rPr>
              <w:t>CitiPower</w:t>
            </w:r>
          </w:p>
        </w:tc>
        <w:tc>
          <w:tcPr>
            <w:tcW w:w="1559" w:type="dxa"/>
          </w:tcPr>
          <w:p w14:paraId="4C13DBB0" w14:textId="77777777" w:rsidR="002D28D8" w:rsidRPr="00DE3BE7" w:rsidRDefault="002D28D8">
            <w:pPr>
              <w:pStyle w:val="TableBody"/>
              <w:jc w:val="right"/>
              <w:rPr>
                <w:sz w:val="18"/>
                <w:szCs w:val="18"/>
              </w:rPr>
            </w:pPr>
            <w:r w:rsidRPr="00DE3BE7">
              <w:rPr>
                <w:sz w:val="18"/>
                <w:szCs w:val="18"/>
              </w:rPr>
              <w:t>1.0450</w:t>
            </w:r>
          </w:p>
        </w:tc>
        <w:tc>
          <w:tcPr>
            <w:tcW w:w="1701" w:type="dxa"/>
          </w:tcPr>
          <w:p w14:paraId="30DFCB66" w14:textId="77777777" w:rsidR="002D28D8" w:rsidRPr="00DE3BE7" w:rsidRDefault="002D28D8">
            <w:pPr>
              <w:pStyle w:val="TableBody"/>
              <w:jc w:val="right"/>
              <w:rPr>
                <w:sz w:val="18"/>
                <w:szCs w:val="18"/>
              </w:rPr>
            </w:pPr>
            <w:r w:rsidRPr="00DE3BE7">
              <w:rPr>
                <w:sz w:val="18"/>
                <w:szCs w:val="18"/>
              </w:rPr>
              <w:t>1.0000</w:t>
            </w:r>
          </w:p>
        </w:tc>
        <w:tc>
          <w:tcPr>
            <w:tcW w:w="1559" w:type="dxa"/>
          </w:tcPr>
          <w:p w14:paraId="148AE771" w14:textId="77777777" w:rsidR="002D28D8" w:rsidRPr="00DE3BE7" w:rsidRDefault="002D28D8">
            <w:pPr>
              <w:pStyle w:val="TableBody"/>
              <w:jc w:val="right"/>
              <w:rPr>
                <w:sz w:val="18"/>
                <w:szCs w:val="18"/>
              </w:rPr>
            </w:pPr>
            <w:r w:rsidRPr="00DE3BE7">
              <w:rPr>
                <w:sz w:val="18"/>
                <w:szCs w:val="18"/>
              </w:rPr>
              <w:t>1.0450</w:t>
            </w:r>
          </w:p>
        </w:tc>
        <w:tc>
          <w:tcPr>
            <w:tcW w:w="2125" w:type="dxa"/>
          </w:tcPr>
          <w:p w14:paraId="2FDD964B" w14:textId="666231BC" w:rsidR="002D28D8" w:rsidRPr="00DE3BE7" w:rsidRDefault="00D05A7F">
            <w:pPr>
              <w:pStyle w:val="TableBody"/>
              <w:jc w:val="right"/>
              <w:rPr>
                <w:sz w:val="18"/>
                <w:szCs w:val="18"/>
                <w:highlight w:val="yellow"/>
              </w:rPr>
            </w:pPr>
            <w:r w:rsidRPr="00DE3BE7">
              <w:rPr>
                <w:sz w:val="18"/>
                <w:szCs w:val="18"/>
              </w:rPr>
              <w:t>344,206</w:t>
            </w:r>
          </w:p>
        </w:tc>
      </w:tr>
      <w:tr w:rsidR="002D28D8" w:rsidRPr="00C56D6C" w14:paraId="56765A6D" w14:textId="77777777">
        <w:trPr>
          <w:cnfStyle w:val="000000100000" w:firstRow="0" w:lastRow="0" w:firstColumn="0" w:lastColumn="0" w:oddVBand="0" w:evenVBand="0" w:oddHBand="1" w:evenHBand="0" w:firstRowFirstColumn="0" w:firstRowLastColumn="0" w:lastRowFirstColumn="0" w:lastRowLastColumn="0"/>
        </w:trPr>
        <w:tc>
          <w:tcPr>
            <w:tcW w:w="2694" w:type="dxa"/>
          </w:tcPr>
          <w:p w14:paraId="1D2CBC14" w14:textId="77777777" w:rsidR="002D28D8" w:rsidRPr="00DE3BE7" w:rsidRDefault="002D28D8">
            <w:pPr>
              <w:pStyle w:val="TableBody"/>
              <w:rPr>
                <w:sz w:val="18"/>
                <w:szCs w:val="18"/>
              </w:rPr>
            </w:pPr>
            <w:r w:rsidRPr="00DE3BE7">
              <w:rPr>
                <w:sz w:val="18"/>
                <w:szCs w:val="18"/>
              </w:rPr>
              <w:t>Jemena</w:t>
            </w:r>
          </w:p>
        </w:tc>
        <w:tc>
          <w:tcPr>
            <w:tcW w:w="1559" w:type="dxa"/>
          </w:tcPr>
          <w:p w14:paraId="58381EF6" w14:textId="77777777" w:rsidR="002D28D8" w:rsidRPr="00DE3BE7" w:rsidRDefault="002D28D8">
            <w:pPr>
              <w:pStyle w:val="TableBody"/>
              <w:jc w:val="right"/>
              <w:rPr>
                <w:sz w:val="18"/>
                <w:szCs w:val="18"/>
              </w:rPr>
            </w:pPr>
            <w:r w:rsidRPr="00DE3BE7">
              <w:rPr>
                <w:sz w:val="18"/>
                <w:szCs w:val="18"/>
              </w:rPr>
              <w:t>1.0447</w:t>
            </w:r>
          </w:p>
        </w:tc>
        <w:tc>
          <w:tcPr>
            <w:tcW w:w="1701" w:type="dxa"/>
          </w:tcPr>
          <w:p w14:paraId="7C089915" w14:textId="77777777" w:rsidR="002D28D8" w:rsidRPr="00DE3BE7" w:rsidRDefault="002D28D8">
            <w:pPr>
              <w:pStyle w:val="TableBody"/>
              <w:jc w:val="right"/>
              <w:rPr>
                <w:sz w:val="18"/>
                <w:szCs w:val="18"/>
              </w:rPr>
            </w:pPr>
            <w:r w:rsidRPr="00DE3BE7">
              <w:rPr>
                <w:sz w:val="18"/>
                <w:szCs w:val="18"/>
              </w:rPr>
              <w:t>1.0006</w:t>
            </w:r>
          </w:p>
        </w:tc>
        <w:tc>
          <w:tcPr>
            <w:tcW w:w="1559" w:type="dxa"/>
          </w:tcPr>
          <w:p w14:paraId="70E5B309" w14:textId="77777777" w:rsidR="002D28D8" w:rsidRPr="00DE3BE7" w:rsidRDefault="002D28D8">
            <w:pPr>
              <w:pStyle w:val="TableBody"/>
              <w:jc w:val="right"/>
              <w:rPr>
                <w:sz w:val="18"/>
                <w:szCs w:val="18"/>
              </w:rPr>
            </w:pPr>
            <w:r w:rsidRPr="00DE3BE7">
              <w:rPr>
                <w:sz w:val="18"/>
                <w:szCs w:val="18"/>
              </w:rPr>
              <w:t>1.0454</w:t>
            </w:r>
          </w:p>
        </w:tc>
        <w:tc>
          <w:tcPr>
            <w:tcW w:w="2125" w:type="dxa"/>
          </w:tcPr>
          <w:p w14:paraId="37125C94" w14:textId="2914E746" w:rsidR="002D28D8" w:rsidRPr="00DE3BE7" w:rsidRDefault="00F564EA">
            <w:pPr>
              <w:pStyle w:val="TableBody"/>
              <w:jc w:val="right"/>
              <w:rPr>
                <w:sz w:val="18"/>
                <w:szCs w:val="18"/>
                <w:highlight w:val="yellow"/>
              </w:rPr>
            </w:pPr>
            <w:r w:rsidRPr="00DE3BE7">
              <w:rPr>
                <w:sz w:val="18"/>
                <w:szCs w:val="18"/>
              </w:rPr>
              <w:t>375,395</w:t>
            </w:r>
          </w:p>
        </w:tc>
      </w:tr>
      <w:tr w:rsidR="002D28D8" w:rsidRPr="00C56D6C" w14:paraId="639D0EA2" w14:textId="77777777">
        <w:trPr>
          <w:cnfStyle w:val="000000010000" w:firstRow="0" w:lastRow="0" w:firstColumn="0" w:lastColumn="0" w:oddVBand="0" w:evenVBand="0" w:oddHBand="0" w:evenHBand="1" w:firstRowFirstColumn="0" w:firstRowLastColumn="0" w:lastRowFirstColumn="0" w:lastRowLastColumn="0"/>
        </w:trPr>
        <w:tc>
          <w:tcPr>
            <w:tcW w:w="2694" w:type="dxa"/>
          </w:tcPr>
          <w:p w14:paraId="1577FE70" w14:textId="77777777" w:rsidR="002D28D8" w:rsidRPr="00DE3BE7" w:rsidRDefault="002D28D8">
            <w:pPr>
              <w:pStyle w:val="TableBody"/>
              <w:rPr>
                <w:sz w:val="18"/>
                <w:szCs w:val="18"/>
              </w:rPr>
            </w:pPr>
            <w:r w:rsidRPr="00DE3BE7">
              <w:rPr>
                <w:sz w:val="18"/>
                <w:szCs w:val="18"/>
              </w:rPr>
              <w:t>Powercor</w:t>
            </w:r>
          </w:p>
        </w:tc>
        <w:tc>
          <w:tcPr>
            <w:tcW w:w="1559" w:type="dxa"/>
          </w:tcPr>
          <w:p w14:paraId="3768C550" w14:textId="77777777" w:rsidR="002D28D8" w:rsidRPr="00DE3BE7" w:rsidRDefault="002D28D8">
            <w:pPr>
              <w:pStyle w:val="TableBody"/>
              <w:jc w:val="right"/>
              <w:rPr>
                <w:sz w:val="18"/>
                <w:szCs w:val="18"/>
              </w:rPr>
            </w:pPr>
            <w:r w:rsidRPr="00DE3BE7">
              <w:rPr>
                <w:sz w:val="18"/>
                <w:szCs w:val="18"/>
              </w:rPr>
              <w:t>1.0738</w:t>
            </w:r>
          </w:p>
        </w:tc>
        <w:tc>
          <w:tcPr>
            <w:tcW w:w="1701" w:type="dxa"/>
          </w:tcPr>
          <w:p w14:paraId="4966517F" w14:textId="77777777" w:rsidR="002D28D8" w:rsidRPr="00DE3BE7" w:rsidRDefault="002D28D8">
            <w:pPr>
              <w:pStyle w:val="TableBody"/>
              <w:jc w:val="right"/>
              <w:rPr>
                <w:sz w:val="18"/>
                <w:szCs w:val="18"/>
              </w:rPr>
            </w:pPr>
            <w:r w:rsidRPr="00DE3BE7">
              <w:rPr>
                <w:sz w:val="18"/>
                <w:szCs w:val="18"/>
              </w:rPr>
              <w:t>0.9980</w:t>
            </w:r>
          </w:p>
        </w:tc>
        <w:tc>
          <w:tcPr>
            <w:tcW w:w="1559" w:type="dxa"/>
          </w:tcPr>
          <w:p w14:paraId="75516141" w14:textId="77777777" w:rsidR="002D28D8" w:rsidRPr="00DE3BE7" w:rsidRDefault="002D28D8">
            <w:pPr>
              <w:pStyle w:val="TableBody"/>
              <w:jc w:val="right"/>
              <w:rPr>
                <w:sz w:val="18"/>
                <w:szCs w:val="18"/>
              </w:rPr>
            </w:pPr>
            <w:r w:rsidRPr="00DE3BE7">
              <w:rPr>
                <w:sz w:val="18"/>
                <w:szCs w:val="18"/>
              </w:rPr>
              <w:t>1.0717</w:t>
            </w:r>
          </w:p>
        </w:tc>
        <w:tc>
          <w:tcPr>
            <w:tcW w:w="2125" w:type="dxa"/>
          </w:tcPr>
          <w:p w14:paraId="4E0CFEF0" w14:textId="1CC314E8" w:rsidR="002D28D8" w:rsidRPr="00DE3BE7" w:rsidRDefault="00F564EA">
            <w:pPr>
              <w:pStyle w:val="TableBody"/>
              <w:jc w:val="right"/>
              <w:rPr>
                <w:sz w:val="18"/>
                <w:szCs w:val="18"/>
                <w:highlight w:val="yellow"/>
              </w:rPr>
            </w:pPr>
            <w:r w:rsidRPr="00DE3BE7">
              <w:rPr>
                <w:sz w:val="18"/>
                <w:szCs w:val="18"/>
              </w:rPr>
              <w:t>911,648</w:t>
            </w:r>
          </w:p>
        </w:tc>
      </w:tr>
      <w:tr w:rsidR="002D28D8" w:rsidRPr="00C56D6C" w14:paraId="3A6EE6A1" w14:textId="77777777">
        <w:trPr>
          <w:cnfStyle w:val="000000100000" w:firstRow="0" w:lastRow="0" w:firstColumn="0" w:lastColumn="0" w:oddVBand="0" w:evenVBand="0" w:oddHBand="1" w:evenHBand="0" w:firstRowFirstColumn="0" w:firstRowLastColumn="0" w:lastRowFirstColumn="0" w:lastRowLastColumn="0"/>
        </w:trPr>
        <w:tc>
          <w:tcPr>
            <w:tcW w:w="2694" w:type="dxa"/>
          </w:tcPr>
          <w:p w14:paraId="1B4747B4" w14:textId="77777777" w:rsidR="002D28D8" w:rsidRPr="00DE3BE7" w:rsidRDefault="002D28D8">
            <w:pPr>
              <w:pStyle w:val="TableBody"/>
              <w:rPr>
                <w:sz w:val="18"/>
                <w:szCs w:val="18"/>
              </w:rPr>
            </w:pPr>
            <w:r w:rsidRPr="00DE3BE7">
              <w:rPr>
                <w:sz w:val="18"/>
                <w:szCs w:val="18"/>
              </w:rPr>
              <w:t>United Energy</w:t>
            </w:r>
          </w:p>
        </w:tc>
        <w:tc>
          <w:tcPr>
            <w:tcW w:w="1559" w:type="dxa"/>
          </w:tcPr>
          <w:p w14:paraId="1896789E" w14:textId="77777777" w:rsidR="002D28D8" w:rsidRPr="00DE3BE7" w:rsidRDefault="002D28D8">
            <w:pPr>
              <w:pStyle w:val="TableBody"/>
              <w:jc w:val="right"/>
              <w:rPr>
                <w:sz w:val="18"/>
                <w:szCs w:val="18"/>
              </w:rPr>
            </w:pPr>
            <w:r w:rsidRPr="00DE3BE7">
              <w:rPr>
                <w:sz w:val="18"/>
                <w:szCs w:val="18"/>
              </w:rPr>
              <w:t>1.0483</w:t>
            </w:r>
          </w:p>
        </w:tc>
        <w:tc>
          <w:tcPr>
            <w:tcW w:w="1701" w:type="dxa"/>
          </w:tcPr>
          <w:p w14:paraId="5F9E1007" w14:textId="77777777" w:rsidR="002D28D8" w:rsidRPr="00DE3BE7" w:rsidRDefault="002D28D8">
            <w:pPr>
              <w:pStyle w:val="TableBody"/>
              <w:jc w:val="right"/>
              <w:rPr>
                <w:sz w:val="18"/>
                <w:szCs w:val="18"/>
              </w:rPr>
            </w:pPr>
            <w:r w:rsidRPr="00DE3BE7">
              <w:rPr>
                <w:sz w:val="18"/>
                <w:szCs w:val="18"/>
              </w:rPr>
              <w:t>0.9987</w:t>
            </w:r>
          </w:p>
        </w:tc>
        <w:tc>
          <w:tcPr>
            <w:tcW w:w="1559" w:type="dxa"/>
          </w:tcPr>
          <w:p w14:paraId="4DD9B316" w14:textId="77777777" w:rsidR="002D28D8" w:rsidRPr="00DE3BE7" w:rsidRDefault="002D28D8">
            <w:pPr>
              <w:pStyle w:val="TableBody"/>
              <w:jc w:val="right"/>
              <w:rPr>
                <w:sz w:val="18"/>
                <w:szCs w:val="18"/>
              </w:rPr>
            </w:pPr>
            <w:r w:rsidRPr="00DE3BE7">
              <w:rPr>
                <w:sz w:val="18"/>
                <w:szCs w:val="18"/>
              </w:rPr>
              <w:t>1.0469</w:t>
            </w:r>
          </w:p>
        </w:tc>
        <w:tc>
          <w:tcPr>
            <w:tcW w:w="2125" w:type="dxa"/>
          </w:tcPr>
          <w:p w14:paraId="33B824F7" w14:textId="14E5E612" w:rsidR="002D28D8" w:rsidRPr="00DE3BE7" w:rsidRDefault="00F564EA">
            <w:pPr>
              <w:pStyle w:val="TableBody"/>
              <w:jc w:val="right"/>
              <w:rPr>
                <w:sz w:val="18"/>
                <w:szCs w:val="18"/>
                <w:highlight w:val="yellow"/>
              </w:rPr>
            </w:pPr>
            <w:r w:rsidRPr="00DE3BE7">
              <w:rPr>
                <w:sz w:val="18"/>
                <w:szCs w:val="18"/>
              </w:rPr>
              <w:t>707</w:t>
            </w:r>
            <w:r w:rsidR="006C0024" w:rsidRPr="00DE3BE7">
              <w:rPr>
                <w:sz w:val="18"/>
                <w:szCs w:val="18"/>
              </w:rPr>
              <w:t>,561</w:t>
            </w:r>
          </w:p>
        </w:tc>
      </w:tr>
      <w:tr w:rsidR="002D28D8" w:rsidRPr="00C56D6C" w14:paraId="5B9E7105" w14:textId="77777777">
        <w:trPr>
          <w:cnfStyle w:val="000000010000" w:firstRow="0" w:lastRow="0" w:firstColumn="0" w:lastColumn="0" w:oddVBand="0" w:evenVBand="0" w:oddHBand="0" w:evenHBand="1" w:firstRowFirstColumn="0" w:firstRowLastColumn="0" w:lastRowFirstColumn="0" w:lastRowLastColumn="0"/>
        </w:trPr>
        <w:tc>
          <w:tcPr>
            <w:tcW w:w="5954" w:type="dxa"/>
            <w:gridSpan w:val="3"/>
          </w:tcPr>
          <w:p w14:paraId="4B929298" w14:textId="534D8646" w:rsidR="002D28D8" w:rsidRPr="00DE3BE7" w:rsidRDefault="002D28D8">
            <w:pPr>
              <w:pStyle w:val="TableBody"/>
              <w:rPr>
                <w:sz w:val="18"/>
                <w:szCs w:val="18"/>
              </w:rPr>
            </w:pPr>
            <w:r w:rsidRPr="00DE3BE7">
              <w:rPr>
                <w:sz w:val="18"/>
                <w:szCs w:val="18"/>
              </w:rPr>
              <w:t>Customer share-weighted</w:t>
            </w:r>
            <w:r w:rsidR="00844720">
              <w:rPr>
                <w:sz w:val="18"/>
                <w:szCs w:val="18"/>
              </w:rPr>
              <w:t xml:space="preserve"> average</w:t>
            </w:r>
          </w:p>
        </w:tc>
        <w:tc>
          <w:tcPr>
            <w:tcW w:w="1559" w:type="dxa"/>
          </w:tcPr>
          <w:p w14:paraId="510E9E78" w14:textId="1B123B44" w:rsidR="002D28D8" w:rsidRPr="00DE3BE7" w:rsidRDefault="0097728A">
            <w:pPr>
              <w:pStyle w:val="TableBody"/>
              <w:jc w:val="right"/>
              <w:rPr>
                <w:sz w:val="18"/>
                <w:szCs w:val="18"/>
              </w:rPr>
            </w:pPr>
            <w:r w:rsidRPr="00DE3BE7">
              <w:rPr>
                <w:sz w:val="18"/>
                <w:szCs w:val="18"/>
              </w:rPr>
              <w:t>1.0636</w:t>
            </w:r>
          </w:p>
        </w:tc>
        <w:tc>
          <w:tcPr>
            <w:tcW w:w="2125" w:type="dxa"/>
          </w:tcPr>
          <w:p w14:paraId="38E245D9" w14:textId="77777777" w:rsidR="002D28D8" w:rsidRPr="00DE3BE7" w:rsidRDefault="002D28D8">
            <w:pPr>
              <w:pStyle w:val="TableBody"/>
              <w:rPr>
                <w:sz w:val="18"/>
                <w:szCs w:val="18"/>
              </w:rPr>
            </w:pPr>
          </w:p>
        </w:tc>
      </w:tr>
    </w:tbl>
    <w:p w14:paraId="27263906" w14:textId="2ADB34CC" w:rsidR="00BB6258" w:rsidRPr="00DE3BE7" w:rsidRDefault="00F66036" w:rsidP="00BB6258">
      <w:pPr>
        <w:rPr>
          <w:iCs/>
          <w:color w:val="4986A0" w:themeColor="text2"/>
          <w:sz w:val="14"/>
          <w:szCs w:val="14"/>
        </w:rPr>
      </w:pPr>
      <w:bookmarkStart w:id="136" w:name="_Toc122097782"/>
      <w:bookmarkStart w:id="137" w:name="_Toc143691783"/>
      <w:bookmarkStart w:id="138" w:name="_Toc147961391"/>
      <w:bookmarkStart w:id="139" w:name="_Toc151465339"/>
      <w:r w:rsidRPr="00DE3BE7">
        <w:rPr>
          <w:iCs/>
          <w:color w:val="4986A0" w:themeColor="text2"/>
          <w:sz w:val="14"/>
          <w:szCs w:val="14"/>
        </w:rPr>
        <w:t>Data sources</w:t>
      </w:r>
      <w:r w:rsidR="00FF4A4E">
        <w:rPr>
          <w:color w:val="4986A0" w:themeColor="text2"/>
          <w:sz w:val="14"/>
          <w:szCs w:val="14"/>
        </w:rPr>
        <w:t>:</w:t>
      </w:r>
      <w:r w:rsidRPr="00DE3BE7">
        <w:rPr>
          <w:color w:val="4986A0" w:themeColor="text2"/>
          <w:sz w:val="14"/>
          <w:szCs w:val="14"/>
        </w:rPr>
        <w:br/>
      </w:r>
      <w:r w:rsidR="004E46F7" w:rsidRPr="00DE3BE7">
        <w:rPr>
          <w:color w:val="4986A0" w:themeColor="text2"/>
          <w:sz w:val="14"/>
          <w:szCs w:val="14"/>
        </w:rPr>
        <w:t>Distribution loss factor &amp; Marginal</w:t>
      </w:r>
      <w:r w:rsidRPr="00DE3BE7">
        <w:rPr>
          <w:color w:val="4986A0" w:themeColor="text2"/>
          <w:sz w:val="14"/>
          <w:szCs w:val="14"/>
        </w:rPr>
        <w:t xml:space="preserve"> transmission</w:t>
      </w:r>
      <w:r w:rsidR="004E46F7" w:rsidRPr="00DE3BE7">
        <w:rPr>
          <w:color w:val="4986A0" w:themeColor="text2"/>
          <w:sz w:val="14"/>
          <w:szCs w:val="14"/>
        </w:rPr>
        <w:t xml:space="preserve"> loss factor</w:t>
      </w:r>
      <w:r w:rsidRPr="00DE3BE7">
        <w:rPr>
          <w:color w:val="4986A0" w:themeColor="text2"/>
          <w:sz w:val="14"/>
          <w:szCs w:val="14"/>
        </w:rPr>
        <w:t>: AEMO</w:t>
      </w:r>
      <w:r w:rsidR="00511462" w:rsidRPr="00DE3BE7">
        <w:rPr>
          <w:color w:val="4986A0" w:themeColor="text2"/>
          <w:sz w:val="14"/>
          <w:szCs w:val="14"/>
        </w:rPr>
        <w:t xml:space="preserve">, published factors for </w:t>
      </w:r>
      <w:r w:rsidR="00502A00" w:rsidRPr="00DE3BE7">
        <w:rPr>
          <w:color w:val="4986A0" w:themeColor="text2"/>
          <w:sz w:val="14"/>
          <w:szCs w:val="14"/>
        </w:rPr>
        <w:t>2023</w:t>
      </w:r>
      <w:r w:rsidR="00502A00">
        <w:rPr>
          <w:color w:val="4986A0" w:themeColor="text2"/>
          <w:sz w:val="14"/>
          <w:szCs w:val="14"/>
        </w:rPr>
        <w:t>–</w:t>
      </w:r>
      <w:proofErr w:type="gramStart"/>
      <w:r w:rsidR="00502A00" w:rsidRPr="00DE3BE7">
        <w:rPr>
          <w:color w:val="4986A0" w:themeColor="text2"/>
          <w:sz w:val="14"/>
          <w:szCs w:val="14"/>
        </w:rPr>
        <w:t xml:space="preserve">24 </w:t>
      </w:r>
      <w:r w:rsidR="00511462" w:rsidRPr="00DE3BE7">
        <w:rPr>
          <w:color w:val="4986A0" w:themeColor="text2"/>
          <w:sz w:val="14"/>
          <w:szCs w:val="14"/>
        </w:rPr>
        <w:t xml:space="preserve"> financial</w:t>
      </w:r>
      <w:proofErr w:type="gramEnd"/>
      <w:r w:rsidR="00511462" w:rsidRPr="00DE3BE7">
        <w:rPr>
          <w:color w:val="4986A0" w:themeColor="text2"/>
          <w:sz w:val="14"/>
          <w:szCs w:val="14"/>
        </w:rPr>
        <w:t xml:space="preserve"> year</w:t>
      </w:r>
      <w:r w:rsidR="00BB6258" w:rsidRPr="00DE3BE7">
        <w:rPr>
          <w:iCs/>
          <w:color w:val="4986A0" w:themeColor="text2"/>
          <w:sz w:val="14"/>
          <w:szCs w:val="14"/>
        </w:rPr>
        <w:t xml:space="preserve">; </w:t>
      </w:r>
      <w:r w:rsidR="00511462" w:rsidRPr="00DE3BE7">
        <w:rPr>
          <w:iCs/>
          <w:color w:val="4986A0" w:themeColor="text2"/>
          <w:sz w:val="14"/>
          <w:szCs w:val="14"/>
        </w:rPr>
        <w:br/>
        <w:t xml:space="preserve">Load volume as averaging weights </w:t>
      </w:r>
      <w:r w:rsidR="005515E3" w:rsidRPr="00DE3BE7">
        <w:rPr>
          <w:iCs/>
          <w:color w:val="4986A0" w:themeColor="text2"/>
          <w:sz w:val="14"/>
          <w:szCs w:val="14"/>
        </w:rPr>
        <w:t xml:space="preserve">over short sub-transmission lines and long sub-transmission lines: data request AusNet Services and </w:t>
      </w:r>
      <w:r w:rsidR="009623AB" w:rsidRPr="00DE3BE7">
        <w:rPr>
          <w:iCs/>
          <w:color w:val="4986A0" w:themeColor="text2"/>
          <w:sz w:val="14"/>
          <w:szCs w:val="14"/>
        </w:rPr>
        <w:t xml:space="preserve">Powercor, </w:t>
      </w:r>
      <w:r w:rsidR="00DE3BE7" w:rsidRPr="00DE3BE7">
        <w:rPr>
          <w:iCs/>
          <w:color w:val="4986A0" w:themeColor="text2"/>
          <w:sz w:val="14"/>
          <w:szCs w:val="14"/>
        </w:rPr>
        <w:t xml:space="preserve">over financial year </w:t>
      </w:r>
      <w:r w:rsidR="004A7B75" w:rsidRPr="00DE3BE7">
        <w:rPr>
          <w:iCs/>
          <w:color w:val="4986A0" w:themeColor="text2"/>
          <w:sz w:val="14"/>
          <w:szCs w:val="14"/>
        </w:rPr>
        <w:t>2022</w:t>
      </w:r>
      <w:r w:rsidR="004A7B75">
        <w:rPr>
          <w:color w:val="4986A0" w:themeColor="text2"/>
          <w:sz w:val="14"/>
          <w:szCs w:val="14"/>
        </w:rPr>
        <w:t>–</w:t>
      </w:r>
      <w:r w:rsidR="004A7B75" w:rsidRPr="00DE3BE7">
        <w:rPr>
          <w:iCs/>
          <w:color w:val="4986A0" w:themeColor="text2"/>
          <w:sz w:val="14"/>
          <w:szCs w:val="14"/>
        </w:rPr>
        <w:t>23</w:t>
      </w:r>
      <w:r w:rsidR="009623AB" w:rsidRPr="00DE3BE7">
        <w:rPr>
          <w:iCs/>
          <w:color w:val="4986A0" w:themeColor="text2"/>
          <w:sz w:val="14"/>
          <w:szCs w:val="14"/>
        </w:rPr>
        <w:t>;</w:t>
      </w:r>
      <w:r w:rsidR="009623AB" w:rsidRPr="00DE3BE7">
        <w:rPr>
          <w:iCs/>
          <w:color w:val="4986A0" w:themeColor="text2"/>
          <w:sz w:val="14"/>
          <w:szCs w:val="14"/>
        </w:rPr>
        <w:br/>
      </w:r>
      <w:r w:rsidR="00F564EA" w:rsidRPr="00DE3BE7">
        <w:rPr>
          <w:iCs/>
          <w:color w:val="4986A0" w:themeColor="text2"/>
          <w:sz w:val="14"/>
          <w:szCs w:val="14"/>
        </w:rPr>
        <w:t xml:space="preserve">Number of customers - </w:t>
      </w:r>
      <w:r w:rsidR="00BB6258" w:rsidRPr="00DE3BE7">
        <w:rPr>
          <w:iCs/>
          <w:color w:val="4986A0" w:themeColor="text2"/>
          <w:sz w:val="14"/>
          <w:szCs w:val="14"/>
        </w:rPr>
        <w:t xml:space="preserve">AER, </w:t>
      </w:r>
      <w:r w:rsidR="000C0C50" w:rsidRPr="00DE3BE7">
        <w:rPr>
          <w:iCs/>
          <w:color w:val="4986A0" w:themeColor="text2"/>
          <w:sz w:val="14"/>
          <w:szCs w:val="14"/>
        </w:rPr>
        <w:t xml:space="preserve">RIN response, </w:t>
      </w:r>
      <w:r w:rsidR="00694392" w:rsidRPr="00DE3BE7">
        <w:rPr>
          <w:iCs/>
          <w:color w:val="4986A0" w:themeColor="text2"/>
          <w:sz w:val="14"/>
          <w:szCs w:val="14"/>
        </w:rPr>
        <w:t xml:space="preserve">electricity networks proposals, </w:t>
      </w:r>
      <w:r w:rsidR="006A4F6E" w:rsidRPr="00DE3BE7">
        <w:rPr>
          <w:iCs/>
          <w:color w:val="4986A0" w:themeColor="text2"/>
          <w:sz w:val="14"/>
          <w:szCs w:val="14"/>
        </w:rPr>
        <w:t>31 October 2023.</w:t>
      </w:r>
    </w:p>
    <w:p w14:paraId="3960E56A" w14:textId="77777777" w:rsidR="00BB6258" w:rsidRDefault="00BB6258" w:rsidP="00402793"/>
    <w:p w14:paraId="6862A8D4" w14:textId="7AB62972" w:rsidR="002D28D8" w:rsidRDefault="002D28D8" w:rsidP="002D28D8">
      <w:pPr>
        <w:pStyle w:val="Heading2"/>
      </w:pPr>
      <w:bookmarkStart w:id="140" w:name="_Toc159844579"/>
      <w:r>
        <w:t>Estimate of the avoided social cost of carbon</w:t>
      </w:r>
      <w:bookmarkEnd w:id="136"/>
      <w:bookmarkEnd w:id="137"/>
      <w:bookmarkEnd w:id="138"/>
      <w:r>
        <w:t xml:space="preserve"> and human health costs</w:t>
      </w:r>
      <w:bookmarkEnd w:id="139"/>
      <w:bookmarkEnd w:id="140"/>
    </w:p>
    <w:p w14:paraId="2BF3A8F4" w14:textId="77777777" w:rsidR="002D28D8" w:rsidRDefault="002D28D8" w:rsidP="002D28D8">
      <w:r>
        <w:t>In February 2017, the Victorian Government issued an Order in Council (‘Order’) specifying a methodology for determining the social cost of carbon and the factors we must consider when applying this methodology.</w:t>
      </w:r>
      <w:r>
        <w:rPr>
          <w:rStyle w:val="FootnoteReference"/>
        </w:rPr>
        <w:footnoteReference w:id="64"/>
      </w:r>
    </w:p>
    <w:p w14:paraId="3DA56D9C" w14:textId="77777777" w:rsidR="002D28D8" w:rsidRDefault="002D28D8" w:rsidP="002D28D8">
      <w:r>
        <w:lastRenderedPageBreak/>
        <w:t>It defines the avoided social cost of carbon as the avoided ‘cost per kilowatt-hour (kWh) of small renewable energy generation electricity purchased by a relevant licensee’ (e.g., retailer), determined in accordance with the following methodology and factors:</w:t>
      </w:r>
    </w:p>
    <w:p w14:paraId="0E6AD2C4" w14:textId="77777777" w:rsidR="002D28D8" w:rsidRDefault="002D28D8" w:rsidP="002D28D8">
      <m:oMathPara>
        <m:oMath>
          <m:r>
            <w:rPr>
              <w:rFonts w:ascii="Cambria Math" w:hAnsi="Cambria Math"/>
            </w:rPr>
            <m:t>Avoided social cost of carbon=Volume factor×Price factor</m:t>
          </m:r>
        </m:oMath>
      </m:oMathPara>
    </w:p>
    <w:p w14:paraId="33245B8E" w14:textId="77777777" w:rsidR="002D28D8" w:rsidRDefault="002D28D8" w:rsidP="002D28D8">
      <w:r>
        <w:t>The volume factor, in the Order is an emissions intensity coefficient factor of 1.27 kilograms (kg) of carbon dioxide equivalent (CO2e) per kWh of electricity exported by a small renewable energy generator. This means that 1.27 kg (or 0.00127 tonne) of CO2e is assumed to be avoided for each kWh of electricity exported by a small renewable energy generator.</w:t>
      </w:r>
    </w:p>
    <w:p w14:paraId="14D932D3" w14:textId="77777777" w:rsidR="002D28D8" w:rsidRDefault="002D28D8" w:rsidP="002D28D8">
      <w:r>
        <w:t>For the price factor, we have used the method specified in the Order to determine the value of a tonne of CO2e. It results in a value of $19.63 per tonne of CO2e. The resulting avoided social cost of carbon is 2.5 cents per kWh.</w:t>
      </w:r>
    </w:p>
    <w:p w14:paraId="6B7F9321" w14:textId="77777777" w:rsidR="002D28D8" w:rsidRDefault="002D28D8" w:rsidP="002D28D8">
      <w:pPr>
        <w:pStyle w:val="Heading3"/>
      </w:pPr>
      <w:bookmarkStart w:id="141" w:name="_Toc122097783"/>
      <w:bookmarkStart w:id="142" w:name="_Toc143691784"/>
      <w:bookmarkStart w:id="143" w:name="_Toc147961392"/>
      <w:bookmarkStart w:id="144" w:name="_Toc151465340"/>
      <w:bookmarkStart w:id="145" w:name="_Toc159844580"/>
      <w:r>
        <w:t>Human health costs</w:t>
      </w:r>
      <w:bookmarkEnd w:id="141"/>
      <w:bookmarkEnd w:id="142"/>
      <w:bookmarkEnd w:id="143"/>
      <w:bookmarkEnd w:id="144"/>
      <w:bookmarkEnd w:id="145"/>
    </w:p>
    <w:p w14:paraId="183C47F6" w14:textId="77777777" w:rsidR="002D28D8" w:rsidRPr="006F526B" w:rsidRDefault="002D28D8" w:rsidP="002D28D8">
      <w:r w:rsidRPr="006F526B">
        <w:t xml:space="preserve">The Victorian Government has not made a separate Order in Council that specifies a factor or method for determining avoided human health costs attributable to a reduction in air pollution. </w:t>
      </w:r>
    </w:p>
    <w:p w14:paraId="5BA15C4B" w14:textId="7DCB374E" w:rsidR="002D28D8" w:rsidRPr="006F526B" w:rsidRDefault="002D28D8" w:rsidP="002D28D8">
      <w:r w:rsidRPr="006F526B">
        <w:t>We reviewed the associated health benefits as part of our inquiry into the value of distributed generation in 2016.</w:t>
      </w:r>
      <w:r w:rsidRPr="006F526B">
        <w:rPr>
          <w:rStyle w:val="FootnoteReference"/>
        </w:rPr>
        <w:footnoteReference w:id="65"/>
      </w:r>
      <w:r w:rsidRPr="006F526B">
        <w:t xml:space="preserve"> We have re-examined this matter </w:t>
      </w:r>
      <w:proofErr w:type="gramStart"/>
      <w:r w:rsidRPr="006F526B">
        <w:t>a number of</w:t>
      </w:r>
      <w:proofErr w:type="gramEnd"/>
      <w:r w:rsidRPr="006F526B">
        <w:t xml:space="preserve"> times since. However, due to a lack of sufficient evidence and data, we have not been able to reliably place a separate monetary value on the avoided human health costs.</w:t>
      </w:r>
    </w:p>
    <w:p w14:paraId="585E7E5D" w14:textId="781FE394" w:rsidR="002D28D8" w:rsidRPr="002126A9" w:rsidRDefault="002D28D8" w:rsidP="002D28D8">
      <w:r w:rsidRPr="006F526B">
        <w:t xml:space="preserve">We note that there is evidence that the avoided human health costs </w:t>
      </w:r>
      <w:r>
        <w:t xml:space="preserve">are </w:t>
      </w:r>
      <w:r w:rsidRPr="006F526B">
        <w:t xml:space="preserve">already accounted for through the avoided social cost of carbon </w:t>
      </w:r>
      <w:r>
        <w:t>and/</w:t>
      </w:r>
      <w:r w:rsidRPr="006F526B">
        <w:t xml:space="preserve">or subsidies provided for solar installations. </w:t>
      </w:r>
      <w:r>
        <w:t xml:space="preserve">We have adopted this view. </w:t>
      </w:r>
      <w:r w:rsidRPr="006F526B">
        <w:t>As a result, our decision is to set the stand-alone avoided human health costs at 0 cents per kWh.</w:t>
      </w:r>
    </w:p>
    <w:p w14:paraId="3C229CD0" w14:textId="5CDA25B7" w:rsidR="002D28D8" w:rsidRDefault="002D28D8" w:rsidP="002D28D8">
      <w:r>
        <w:t>There is a variety of methodologies to price the avoided human health costs attributable to the reduction in air pollution, with no approach widely accepted. These methodologies fall into two broad categories:</w:t>
      </w:r>
    </w:p>
    <w:p w14:paraId="16E6A80A" w14:textId="36F1CC9E" w:rsidR="002D28D8" w:rsidRDefault="001C0464" w:rsidP="002D28D8">
      <w:pPr>
        <w:pStyle w:val="ListBullet"/>
      </w:pPr>
      <w:r>
        <w:t xml:space="preserve">Damages costs: </w:t>
      </w:r>
      <w:r w:rsidR="002D28D8">
        <w:t>damages caused by the pollution</w:t>
      </w:r>
      <w:r w:rsidR="00B147EE">
        <w:t>.</w:t>
      </w:r>
    </w:p>
    <w:p w14:paraId="29C93E42" w14:textId="6EB644D0" w:rsidR="002D28D8" w:rsidRDefault="00B147EE" w:rsidP="002D28D8">
      <w:pPr>
        <w:pStyle w:val="ListBullet"/>
      </w:pPr>
      <w:r>
        <w:t xml:space="preserve">Abatement costs: </w:t>
      </w:r>
      <w:r w:rsidR="002D28D8">
        <w:t>costs of avoiding the pollution.</w:t>
      </w:r>
    </w:p>
    <w:p w14:paraId="28662D6A" w14:textId="77777777" w:rsidR="002D28D8" w:rsidRDefault="002D28D8" w:rsidP="002D28D8">
      <w:pPr>
        <w:pStyle w:val="Heading3"/>
      </w:pPr>
      <w:bookmarkStart w:id="146" w:name="_Toc147961393"/>
      <w:bookmarkStart w:id="147" w:name="_Toc151465341"/>
      <w:bookmarkStart w:id="148" w:name="_Toc159844581"/>
      <w:r>
        <w:lastRenderedPageBreak/>
        <w:t>Damages costs</w:t>
      </w:r>
      <w:bookmarkEnd w:id="146"/>
      <w:bookmarkEnd w:id="147"/>
      <w:bookmarkEnd w:id="148"/>
      <w:r>
        <w:t xml:space="preserve"> </w:t>
      </w:r>
    </w:p>
    <w:p w14:paraId="72E90143" w14:textId="77777777" w:rsidR="002D28D8" w:rsidRDefault="002D28D8" w:rsidP="002D28D8">
      <w:r>
        <w:t>Under the damages cost approach, the avoided human health costs are calculated using estimated health costs of pollution from electricity generation. The costs of the damages vary significantly according to where the generation, and therefore pollution, occurs. The dispersion of pollutants depends heavily on local conditions.</w:t>
      </w:r>
    </w:p>
    <w:p w14:paraId="6FE26BA9" w14:textId="77777777" w:rsidR="002D28D8" w:rsidRDefault="002D28D8" w:rsidP="002D28D8">
      <w:r>
        <w:t>If generators are in a densely populated area, the pollution will affect more people and the human health costs will be higher. In contrast, if the generation occurs in a low population area, there will be lower health costs.</w:t>
      </w:r>
    </w:p>
    <w:p w14:paraId="5C492A34" w14:textId="46710889" w:rsidR="002D28D8" w:rsidRDefault="002D28D8" w:rsidP="002D28D8">
      <w:r>
        <w:t>There is no detailed research on the dispersion of pollutants in Victoria. The state’s coal</w:t>
      </w:r>
      <w:r w:rsidR="007F22DA">
        <w:t>-</w:t>
      </w:r>
      <w:r>
        <w:t>fired generation is in the Latrobe Valley. This is a relatively long distance from Victoria’s larger population centres. In many other parts of the world, the distance between generation and consumption is not as large. While there is some gas generation within Melbourne, it accounts for only a small share of total generation.</w:t>
      </w:r>
    </w:p>
    <w:p w14:paraId="7DE4F7CF" w14:textId="77777777" w:rsidR="002D28D8" w:rsidRDefault="002D28D8" w:rsidP="002D28D8">
      <w:r>
        <w:t xml:space="preserve">To calculate the damages costs and total avoided human health costs, it would be necessary to establish the unit health costs of fossil fuel generation and then assess how solar exports displaces this generation.  </w:t>
      </w:r>
    </w:p>
    <w:p w14:paraId="5403C81E" w14:textId="77777777" w:rsidR="002D28D8" w:rsidRDefault="002D28D8" w:rsidP="002D28D8">
      <w:pPr>
        <w:pStyle w:val="Heading3"/>
      </w:pPr>
      <w:bookmarkStart w:id="149" w:name="_Toc147961394"/>
      <w:bookmarkStart w:id="150" w:name="_Toc151465342"/>
      <w:bookmarkStart w:id="151" w:name="_Toc159844582"/>
      <w:r>
        <w:t>Abatement costs</w:t>
      </w:r>
      <w:bookmarkEnd w:id="149"/>
      <w:bookmarkEnd w:id="150"/>
      <w:bookmarkEnd w:id="151"/>
    </w:p>
    <w:p w14:paraId="302113EC" w14:textId="77777777" w:rsidR="002D28D8" w:rsidRDefault="002D28D8" w:rsidP="002D28D8">
      <w:r>
        <w:t>An alternative is to use the cost of avoiding pollution. Under this method, we measure the cost of preventing pollution to get the value of avoided human health costs. This approach can be especially helpful when abatement costs are known but damages costs are not.</w:t>
      </w:r>
    </w:p>
    <w:p w14:paraId="0006033B" w14:textId="77777777" w:rsidR="002D28D8" w:rsidRDefault="002D28D8" w:rsidP="002D28D8">
      <w:r>
        <w:t xml:space="preserve">Some other jurisdictions have adopted abatement costs as a possible way of measuring environmental externalities (such as the cost of carbon) when damages costs are unknown or uncertain. The Order in Council uses an abatement cost approach for determining the avoided cost of carbon. </w:t>
      </w:r>
    </w:p>
    <w:p w14:paraId="01B68E48" w14:textId="77777777" w:rsidR="002D28D8" w:rsidRDefault="002D28D8" w:rsidP="002D28D8">
      <w:r>
        <w:t>When using an abatement cost approach there may be an overlap between the avoided health costs and the social cost of carbon.</w:t>
      </w:r>
    </w:p>
    <w:p w14:paraId="537D1B33" w14:textId="77777777" w:rsidR="002D28D8" w:rsidRDefault="002D28D8" w:rsidP="002D28D8">
      <w:r>
        <w:t>Abatement of fossil fuel generation is paid for through the social cost of carbon. Both carbon emissions and other harmful pollutants are avoided when this abatement takes place. If we pay to avoid carbon pollution, it follows that we also avoid other types of pollution.</w:t>
      </w:r>
    </w:p>
    <w:p w14:paraId="23A8FC64" w14:textId="04084A55" w:rsidR="005326B9" w:rsidRPr="00C70248" w:rsidRDefault="005326B9" w:rsidP="005326B9">
      <w:r w:rsidRPr="00996AC4">
        <w:lastRenderedPageBreak/>
        <w:t>Th</w:t>
      </w:r>
      <w:r w:rsidR="00B10394">
        <w:t xml:space="preserve">e </w:t>
      </w:r>
      <w:r w:rsidR="00956CFB">
        <w:t xml:space="preserve">potential </w:t>
      </w:r>
      <w:r w:rsidRPr="00996AC4">
        <w:t>overlap between the avoided human health costs attributable to a reduction in air pollution and the avoided social cost of carbon was noted at the time these avoided costs were introduced into the minimum feed-in tariff.</w:t>
      </w:r>
      <w:r>
        <w:rPr>
          <w:rStyle w:val="FootnoteReference"/>
        </w:rPr>
        <w:footnoteReference w:id="66"/>
      </w:r>
      <w:r>
        <w:t xml:space="preserve"> </w:t>
      </w:r>
    </w:p>
    <w:p w14:paraId="0189601F" w14:textId="77777777" w:rsidR="002D28D8" w:rsidRDefault="002D28D8" w:rsidP="00423D7D">
      <w:pPr>
        <w:pStyle w:val="Heading3numbered"/>
      </w:pPr>
      <w:bookmarkStart w:id="152" w:name="_Toc147961395"/>
      <w:bookmarkStart w:id="153" w:name="_Toc151465343"/>
      <w:bookmarkStart w:id="154" w:name="_Toc159844583"/>
      <w:r>
        <w:t>Solar panel installation subsidies</w:t>
      </w:r>
      <w:bookmarkEnd w:id="152"/>
      <w:bookmarkEnd w:id="153"/>
      <w:bookmarkEnd w:id="154"/>
    </w:p>
    <w:p w14:paraId="0E393871" w14:textId="77777777" w:rsidR="002D28D8" w:rsidRDefault="002D28D8" w:rsidP="002D28D8">
      <w:r>
        <w:t>To encourage solar installations, and acknowledging the associated social benefits, customers receive government subsidies when they install solar systems. These include both state (Victorian solar panel rebate scheme) and federal programs (small scale renewable energy scheme).</w:t>
      </w:r>
    </w:p>
    <w:p w14:paraId="4436FCDA" w14:textId="77777777" w:rsidR="002D28D8" w:rsidRPr="0051591C" w:rsidRDefault="002D28D8" w:rsidP="002D28D8">
      <w:r>
        <w:t>As the main social benefits of solar installation are reductions in carbon emissions and noxious pollutants, there may be some overlap between these subsidies and the avoided cost of carbon and avoided health costs.</w:t>
      </w:r>
    </w:p>
    <w:bookmarkEnd w:id="29"/>
    <w:bookmarkEnd w:id="30"/>
    <w:bookmarkEnd w:id="31"/>
    <w:p w14:paraId="679AB148" w14:textId="375C6874" w:rsidR="001C750A" w:rsidRPr="001C750A" w:rsidRDefault="001C750A" w:rsidP="001C750A"/>
    <w:sectPr w:rsidR="001C750A" w:rsidRPr="001C750A" w:rsidSect="00000778">
      <w:footerReference w:type="default" r:id="rId32"/>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4416" w14:textId="77777777" w:rsidR="00000778" w:rsidRDefault="00000778" w:rsidP="00AE03FA">
      <w:pPr>
        <w:spacing w:after="0"/>
      </w:pPr>
      <w:r>
        <w:separator/>
      </w:r>
    </w:p>
    <w:p w14:paraId="382CE2AC" w14:textId="77777777" w:rsidR="00000778" w:rsidRDefault="00000778"/>
  </w:endnote>
  <w:endnote w:type="continuationSeparator" w:id="0">
    <w:p w14:paraId="113DA537" w14:textId="77777777" w:rsidR="00000778" w:rsidRDefault="00000778" w:rsidP="00AE03FA">
      <w:pPr>
        <w:spacing w:after="0"/>
      </w:pPr>
      <w:r>
        <w:continuationSeparator/>
      </w:r>
    </w:p>
    <w:p w14:paraId="04F7DCB1" w14:textId="77777777" w:rsidR="00000778" w:rsidRDefault="00000778"/>
  </w:endnote>
  <w:endnote w:type="continuationNotice" w:id="1">
    <w:p w14:paraId="51C2E228" w14:textId="77777777" w:rsidR="00000778" w:rsidRDefault="000007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D70" w14:textId="77777777" w:rsidR="003A30F3" w:rsidRDefault="003A30F3" w:rsidP="00F44D5E">
    <w:pPr>
      <w:pStyle w:val="FooterSpace"/>
      <w:ind w:right="707"/>
    </w:pPr>
    <w:r>
      <w:t>Preface</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3F442098"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77F71F9"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33A33778" w14:textId="7DF4B936" w:rsidR="003A30F3" w:rsidRPr="002C2ADF" w:rsidRDefault="003A30F3" w:rsidP="00F6196C">
    <w:pPr>
      <w:pStyle w:val="Footer"/>
      <w:ind w:right="707"/>
      <w:rPr>
        <w:b/>
      </w:rPr>
    </w:pPr>
    <w:r>
      <w:t xml:space="preserve">Essential Services Commission </w:t>
    </w:r>
    <w:sdt>
      <w:sdtPr>
        <w:rPr>
          <w:b/>
        </w:rPr>
        <w:alias w:val="Title"/>
        <w:tag w:val=""/>
        <w:id w:val="779065399"/>
        <w:placeholder>
          <w:docPart w:val="BF4EF17F94AD4C4E9E743AE3E9C1BD61"/>
        </w:placeholder>
        <w:dataBinding w:prefixMappings="xmlns:ns0='http://purl.org/dc/elements/1.1/' xmlns:ns1='http://schemas.openxmlformats.org/package/2006/metadata/core-properties' " w:xpath="/ns1:coreProperties[1]/ns0:title[1]" w:storeItemID="{6C3C8BC8-F283-45AE-878A-BAB7291924A1}"/>
        <w:text/>
      </w:sdtPr>
      <w:sdtContent>
        <w:r w:rsidR="00960722">
          <w:rPr>
            <w:b/>
          </w:rPr>
          <w:t>Minimum Electricity Feed-in Tariffs from 1 July 2024</w:t>
        </w:r>
      </w:sdtContent>
    </w:sdt>
    <w:r>
      <w:rPr>
        <w:b/>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B46A" w14:textId="2663F1B4" w:rsidR="00740BDD" w:rsidRDefault="00DD1BA0" w:rsidP="00F44D5E">
    <w:pPr>
      <w:pStyle w:val="FooterSpace"/>
      <w:ind w:right="707"/>
    </w:pPr>
    <w:r>
      <w:t xml:space="preserve">Appendix A – Technical methodology </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740BDD" w14:paraId="5C6CCC16"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1BD0B71" w14:textId="77777777" w:rsidR="00740BDD" w:rsidRPr="009E15D6" w:rsidRDefault="00740BDD"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54DE4042" w14:textId="77777777" w:rsidR="00740BDD" w:rsidRPr="002C2ADF" w:rsidRDefault="00740BDD" w:rsidP="00F44D5E">
    <w:pPr>
      <w:pStyle w:val="Footer"/>
      <w:ind w:right="707"/>
      <w:rPr>
        <w:b/>
      </w:rPr>
    </w:pPr>
    <w:r>
      <w:t xml:space="preserve">Essential Services Commission </w:t>
    </w:r>
    <w:r>
      <w:rPr>
        <w:b/>
      </w:rPr>
      <w:t xml:space="preserve">Minimum Feed-in Tariff rates to apply from 1 July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AE7A" w14:textId="77777777" w:rsidR="003A30F3" w:rsidRPr="00707B2F" w:rsidRDefault="003A30F3"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5374C426"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75F70BC"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iii</w:t>
          </w:r>
          <w:r w:rsidRPr="009E15D6">
            <w:rPr>
              <w:rStyle w:val="PageNumber"/>
            </w:rPr>
            <w:fldChar w:fldCharType="end"/>
          </w:r>
        </w:p>
      </w:tc>
    </w:tr>
  </w:tbl>
  <w:p w14:paraId="4195B634" w14:textId="476C2708" w:rsidR="003A30F3" w:rsidRPr="002C2ADF" w:rsidRDefault="003A30F3" w:rsidP="00F44D5E">
    <w:pPr>
      <w:pStyle w:val="Footer"/>
      <w:ind w:right="707"/>
      <w:rPr>
        <w:b/>
      </w:rPr>
    </w:pPr>
    <w:r>
      <w:t xml:space="preserve">Essential Services Commission </w:t>
    </w:r>
    <w:sdt>
      <w:sdtPr>
        <w:rPr>
          <w:b/>
        </w:rPr>
        <w:alias w:val="Title"/>
        <w:tag w:val=""/>
        <w:id w:val="233746944"/>
        <w:placeholder>
          <w:docPart w:val="8A242777EE684D85AE4CB9C85A9668F3"/>
        </w:placeholder>
        <w:dataBinding w:prefixMappings="xmlns:ns0='http://purl.org/dc/elements/1.1/' xmlns:ns1='http://schemas.openxmlformats.org/package/2006/metadata/core-properties' " w:xpath="/ns1:coreProperties[1]/ns0:title[1]" w:storeItemID="{6C3C8BC8-F283-45AE-878A-BAB7291924A1}"/>
        <w:text/>
      </w:sdtPr>
      <w:sdtContent>
        <w:r w:rsidR="00960722">
          <w:rPr>
            <w:b/>
          </w:rPr>
          <w:t>Minimum Electricity Feed-in Tariffs from 1 July 2024</w:t>
        </w:r>
      </w:sdtContent>
    </w:sdt>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B4A1" w14:textId="16128DF9" w:rsidR="003A30F3" w:rsidRDefault="00C17EFC" w:rsidP="00F44D5E">
    <w:pPr>
      <w:pStyle w:val="Footer"/>
      <w:ind w:right="707"/>
    </w:pPr>
    <w:r>
      <w:t>Summary</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2CAF3C58"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248F68AB" w14:textId="77777777" w:rsidR="003A30F3" w:rsidRPr="009E15D6" w:rsidRDefault="003A30F3"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v</w:t>
          </w:r>
          <w:r w:rsidRPr="009E15D6">
            <w:rPr>
              <w:rStyle w:val="PageNumber"/>
            </w:rPr>
            <w:fldChar w:fldCharType="end"/>
          </w:r>
        </w:p>
      </w:tc>
    </w:tr>
  </w:tbl>
  <w:p w14:paraId="59AAB5BD" w14:textId="565E202C" w:rsidR="003A30F3" w:rsidRPr="002C2ADF" w:rsidRDefault="003A30F3" w:rsidP="00F44D5E">
    <w:pPr>
      <w:pStyle w:val="Footer"/>
      <w:ind w:right="707"/>
      <w:rPr>
        <w:b/>
      </w:rPr>
    </w:pPr>
    <w:r>
      <w:t xml:space="preserve">Essential Services Commission </w:t>
    </w:r>
    <w:sdt>
      <w:sdtPr>
        <w:rPr>
          <w:b/>
        </w:rPr>
        <w:alias w:val="Title"/>
        <w:tag w:val=""/>
        <w:id w:val="463464720"/>
        <w:placeholder>
          <w:docPart w:val="FB739D6C14934A1A8E7F7D867AC0912E"/>
        </w:placeholder>
        <w:dataBinding w:prefixMappings="xmlns:ns0='http://purl.org/dc/elements/1.1/' xmlns:ns1='http://schemas.openxmlformats.org/package/2006/metadata/core-properties' " w:xpath="/ns1:coreProperties[1]/ns0:title[1]" w:storeItemID="{6C3C8BC8-F283-45AE-878A-BAB7291924A1}"/>
        <w:text/>
      </w:sdtPr>
      <w:sdtContent>
        <w:r w:rsidR="00960722">
          <w:rPr>
            <w:b/>
          </w:rPr>
          <w:t>Minimum Electricity Feed-in Tariffs from 1 July 2024</w:t>
        </w:r>
      </w:sdtContent>
    </w:sdt>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3633" w14:textId="6D89BECA" w:rsidR="003A30F3" w:rsidRDefault="00243A5A" w:rsidP="00F44D5E">
    <w:pPr>
      <w:pStyle w:val="FooterSpace"/>
      <w:ind w:right="707"/>
    </w:pPr>
    <w:r>
      <w:t xml:space="preserve">Our </w:t>
    </w:r>
    <w:r w:rsidR="00751A71">
      <w:t>minimum feed-in tariff decision</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054B13C5"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79409DB"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6</w:t>
          </w:r>
          <w:r w:rsidRPr="009E15D6">
            <w:rPr>
              <w:rStyle w:val="PageNumber"/>
            </w:rPr>
            <w:fldChar w:fldCharType="end"/>
          </w:r>
        </w:p>
      </w:tc>
    </w:tr>
  </w:tbl>
  <w:p w14:paraId="2C420DC3" w14:textId="468F6DDD" w:rsidR="003A30F3" w:rsidRPr="00E5390E" w:rsidRDefault="003A30F3" w:rsidP="00F44D5E">
    <w:pPr>
      <w:pStyle w:val="Footer"/>
      <w:ind w:right="707"/>
      <w:rPr>
        <w:b/>
      </w:rPr>
    </w:pPr>
    <w:r>
      <w:t xml:space="preserve">Essential Services Commission </w:t>
    </w:r>
    <w:sdt>
      <w:sdtPr>
        <w:rPr>
          <w:b/>
        </w:rPr>
        <w:alias w:val="Title"/>
        <w:tag w:val=""/>
        <w:id w:val="-1236005415"/>
        <w:placeholder>
          <w:docPart w:val="80FE518C65974B1A944C95F671D1B468"/>
        </w:placeholder>
        <w:dataBinding w:prefixMappings="xmlns:ns0='http://purl.org/dc/elements/1.1/' xmlns:ns1='http://schemas.openxmlformats.org/package/2006/metadata/core-properties' " w:xpath="/ns1:coreProperties[1]/ns0:title[1]" w:storeItemID="{6C3C8BC8-F283-45AE-878A-BAB7291924A1}"/>
        <w:text/>
      </w:sdtPr>
      <w:sdtContent>
        <w:r w:rsidR="00960722">
          <w:rPr>
            <w:b/>
          </w:rPr>
          <w:t>Minimum Electricity Feed-in Tariffs from 1 July 2024</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FD2A" w14:textId="77777777" w:rsidR="00725A53" w:rsidRDefault="00725A53" w:rsidP="00F44D5E">
    <w:pPr>
      <w:pStyle w:val="FooterSpace"/>
      <w:ind w:right="707"/>
    </w:pPr>
    <w:r>
      <w:t>How we set the minimum feed-in tariffs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725A53" w14:paraId="28B3D770"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721046E" w14:textId="77777777" w:rsidR="00725A53" w:rsidRPr="009E15D6" w:rsidRDefault="00725A5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165CB79C" w14:textId="77777777" w:rsidR="00725A53" w:rsidRPr="002C2ADF" w:rsidRDefault="00725A53" w:rsidP="00F44D5E">
    <w:pPr>
      <w:pStyle w:val="Footer"/>
      <w:ind w:right="707"/>
      <w:rPr>
        <w:b/>
      </w:rPr>
    </w:pPr>
    <w:r>
      <w:t xml:space="preserve">Essential Services Commission </w:t>
    </w:r>
    <w:r>
      <w:rPr>
        <w:b/>
      </w:rPr>
      <w:t xml:space="preserve">Minimum Feed-in Tariff rates to apply from 1 July 2024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055F" w14:textId="4AED52FE" w:rsidR="006779BF" w:rsidRDefault="006779BF" w:rsidP="00F44D5E">
    <w:pPr>
      <w:pStyle w:val="FooterSpace"/>
      <w:ind w:right="707"/>
    </w:pPr>
    <w:r>
      <w:t>The wholesale value of solar energy</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6779BF" w14:paraId="40E8B7A5"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2E0B0BA" w14:textId="77777777" w:rsidR="006779BF" w:rsidRPr="009E15D6" w:rsidRDefault="006779BF"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3ADA1A3F" w14:textId="77777777" w:rsidR="006779BF" w:rsidRPr="002C2ADF" w:rsidRDefault="006779BF" w:rsidP="00F44D5E">
    <w:pPr>
      <w:pStyle w:val="Footer"/>
      <w:ind w:right="707"/>
      <w:rPr>
        <w:b/>
      </w:rPr>
    </w:pPr>
    <w:r>
      <w:t xml:space="preserve">Essential Services Commission </w:t>
    </w:r>
    <w:r>
      <w:rPr>
        <w:b/>
      </w:rPr>
      <w:t xml:space="preserve">Minimum Feed-in Tariff rates to apply from 1 July 2024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5987" w14:textId="51498FAA" w:rsidR="006779BF" w:rsidRDefault="00E62DF0" w:rsidP="00F44D5E">
    <w:pPr>
      <w:pStyle w:val="FooterSpace"/>
      <w:ind w:right="707"/>
    </w:pPr>
    <w:r>
      <w:t xml:space="preserve">We account </w:t>
    </w:r>
    <w:r w:rsidR="001566C3">
      <w:t>for AEMO fees</w:t>
    </w:r>
    <w:r w:rsidR="002D61A3">
      <w:t xml:space="preserve">, charges </w:t>
    </w:r>
    <w:r w:rsidR="00B75E3B">
      <w:t xml:space="preserve">and line </w:t>
    </w:r>
    <w:proofErr w:type="gramStart"/>
    <w:r w:rsidR="00B75E3B">
      <w:t>losses</w:t>
    </w:r>
    <w:proofErr w:type="gramEnd"/>
    <w:r w:rsidR="00B75E3B">
      <w:t xml:space="preserve"> </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6779BF" w14:paraId="01CB8F4A"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F065A86" w14:textId="77777777" w:rsidR="006779BF" w:rsidRPr="009E15D6" w:rsidRDefault="006779BF"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7944BDBB" w14:textId="77777777" w:rsidR="006779BF" w:rsidRPr="002C2ADF" w:rsidRDefault="006779BF" w:rsidP="00F44D5E">
    <w:pPr>
      <w:pStyle w:val="Footer"/>
      <w:ind w:right="707"/>
      <w:rPr>
        <w:b/>
      </w:rPr>
    </w:pPr>
    <w:r>
      <w:t xml:space="preserve">Essential Services Commission </w:t>
    </w:r>
    <w:r>
      <w:rPr>
        <w:b/>
      </w:rPr>
      <w:t xml:space="preserve">Minimum Feed-in Tariff rates to apply from 1 July 2024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7698" w14:textId="1702DF22" w:rsidR="00B75E3B" w:rsidRDefault="00B75E3B" w:rsidP="00F44D5E">
    <w:pPr>
      <w:pStyle w:val="FooterSpace"/>
      <w:ind w:right="707"/>
    </w:pPr>
    <w:r>
      <w:t xml:space="preserve">We </w:t>
    </w:r>
    <w:r w:rsidR="00740BDD">
      <w:t xml:space="preserve">consider carbon and human health </w:t>
    </w:r>
    <w:proofErr w:type="gramStart"/>
    <w:r w:rsidR="00740BDD">
      <w:t>costs</w:t>
    </w:r>
    <w:proofErr w:type="gramEnd"/>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B75E3B" w14:paraId="7C190391"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225D9B3C" w14:textId="77777777" w:rsidR="00B75E3B" w:rsidRPr="009E15D6" w:rsidRDefault="00B75E3B"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66AAC969" w14:textId="77777777" w:rsidR="00B75E3B" w:rsidRPr="002C2ADF" w:rsidRDefault="00B75E3B" w:rsidP="00F44D5E">
    <w:pPr>
      <w:pStyle w:val="Footer"/>
      <w:ind w:right="707"/>
      <w:rPr>
        <w:b/>
      </w:rPr>
    </w:pPr>
    <w:r>
      <w:t xml:space="preserve">Essential Services Commission </w:t>
    </w:r>
    <w:r>
      <w:rPr>
        <w:b/>
      </w:rPr>
      <w:t xml:space="preserve">Minimum Feed-in Tariff rates to apply from 1 July 2024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0122" w14:textId="7C667FA4" w:rsidR="00740BDD" w:rsidRDefault="00740BDD" w:rsidP="00F44D5E">
    <w:pPr>
      <w:pStyle w:val="FooterSpace"/>
      <w:ind w:right="707"/>
    </w:pPr>
    <w:r>
      <w:t xml:space="preserve">Themes from submissions and our responses </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740BDD" w14:paraId="7FD6992B"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94D26CE" w14:textId="77777777" w:rsidR="00740BDD" w:rsidRPr="009E15D6" w:rsidRDefault="00740BDD"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66BF1090" w14:textId="77777777" w:rsidR="00740BDD" w:rsidRPr="002C2ADF" w:rsidRDefault="00740BDD" w:rsidP="00F44D5E">
    <w:pPr>
      <w:pStyle w:val="Footer"/>
      <w:ind w:right="707"/>
      <w:rPr>
        <w:b/>
      </w:rPr>
    </w:pPr>
    <w:r>
      <w:t xml:space="preserve">Essential Services Commission </w:t>
    </w:r>
    <w:r>
      <w:rPr>
        <w:b/>
      </w:rPr>
      <w:t xml:space="preserve">Minimum Feed-in Tariff rates to apply from 1 July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0188" w14:textId="77777777" w:rsidR="00000778" w:rsidRPr="00CF33F6" w:rsidRDefault="00000778" w:rsidP="00AE03FA">
      <w:pPr>
        <w:spacing w:after="0"/>
        <w:rPr>
          <w:color w:val="75787B" w:themeColor="background2"/>
        </w:rPr>
      </w:pPr>
      <w:bookmarkStart w:id="0" w:name="_Hlk480978878"/>
      <w:bookmarkEnd w:id="0"/>
      <w:r w:rsidRPr="00CF33F6">
        <w:rPr>
          <w:color w:val="75787B" w:themeColor="background2"/>
        </w:rPr>
        <w:separator/>
      </w:r>
    </w:p>
    <w:p w14:paraId="5DD9A1F2" w14:textId="77777777" w:rsidR="00000778" w:rsidRDefault="00000778" w:rsidP="00CF33F6">
      <w:pPr>
        <w:pStyle w:val="NoSpacing"/>
      </w:pPr>
    </w:p>
  </w:footnote>
  <w:footnote w:type="continuationSeparator" w:id="0">
    <w:p w14:paraId="45B49A1D" w14:textId="77777777" w:rsidR="00000778" w:rsidRDefault="00000778" w:rsidP="00AE03FA">
      <w:pPr>
        <w:spacing w:after="0"/>
      </w:pPr>
      <w:r>
        <w:continuationSeparator/>
      </w:r>
    </w:p>
    <w:p w14:paraId="3C893409" w14:textId="77777777" w:rsidR="00000778" w:rsidRDefault="00000778"/>
  </w:footnote>
  <w:footnote w:type="continuationNotice" w:id="1">
    <w:p w14:paraId="2A313B9D" w14:textId="77777777" w:rsidR="00000778" w:rsidRDefault="00000778">
      <w:pPr>
        <w:spacing w:before="0" w:after="0" w:line="240" w:lineRule="auto"/>
      </w:pPr>
    </w:p>
  </w:footnote>
  <w:footnote w:id="2">
    <w:p w14:paraId="00948B60" w14:textId="1E014E12" w:rsidR="005B1E44" w:rsidRDefault="005B1E44">
      <w:pPr>
        <w:pStyle w:val="FootnoteText"/>
      </w:pPr>
      <w:r w:rsidRPr="00C554FB">
        <w:rPr>
          <w:rStyle w:val="FootnoteReference"/>
        </w:rPr>
        <w:footnoteRef/>
      </w:r>
      <w:r w:rsidRPr="00C554FB">
        <w:t xml:space="preserve"> </w:t>
      </w:r>
      <w:r w:rsidR="00E13295" w:rsidRPr="00C554FB">
        <w:t xml:space="preserve">Clean Energy </w:t>
      </w:r>
      <w:r w:rsidR="00B8276E">
        <w:t>Regulator</w:t>
      </w:r>
      <w:r w:rsidR="00E13295" w:rsidRPr="00C554FB">
        <w:t xml:space="preserve">, </w:t>
      </w:r>
      <w:hyperlink r:id="rId1" w:history="1">
        <w:r w:rsidR="00E13295" w:rsidRPr="00BC2EB3">
          <w:rPr>
            <w:rStyle w:val="Hyperlink"/>
          </w:rPr>
          <w:t>Postcode data for small-scale installations</w:t>
        </w:r>
      </w:hyperlink>
      <w:r w:rsidR="00E13295" w:rsidRPr="00C554FB">
        <w:t xml:space="preserve">, accessed </w:t>
      </w:r>
      <w:r w:rsidR="00C554FB" w:rsidRPr="00C554FB">
        <w:t>04</w:t>
      </w:r>
      <w:r w:rsidR="00E13295" w:rsidRPr="00C554FB">
        <w:t xml:space="preserve"> January 202</w:t>
      </w:r>
      <w:r w:rsidR="00C554FB" w:rsidRPr="00C554FB">
        <w:t>4</w:t>
      </w:r>
      <w:r w:rsidR="00BC2EB3">
        <w:t>.</w:t>
      </w:r>
    </w:p>
  </w:footnote>
  <w:footnote w:id="3">
    <w:p w14:paraId="770E2814" w14:textId="77777777" w:rsidR="007117E9" w:rsidRDefault="007117E9" w:rsidP="007117E9">
      <w:pPr>
        <w:pStyle w:val="FootnoteText"/>
      </w:pPr>
      <w:r>
        <w:rPr>
          <w:rStyle w:val="FootnoteReference"/>
        </w:rPr>
        <w:footnoteRef/>
      </w:r>
      <w:r>
        <w:t xml:space="preserve"> </w:t>
      </w:r>
      <w:r w:rsidRPr="00BC2EB3">
        <w:rPr>
          <w:i/>
          <w:iCs/>
        </w:rPr>
        <w:t>Electricity Industry Act 2000</w:t>
      </w:r>
      <w:r>
        <w:t>, s. 40FBB(3)(a)(b), and (c).</w:t>
      </w:r>
    </w:p>
  </w:footnote>
  <w:footnote w:id="4">
    <w:p w14:paraId="75248332" w14:textId="77777777" w:rsidR="007117E9" w:rsidRDefault="007117E9" w:rsidP="007117E9">
      <w:pPr>
        <w:pStyle w:val="FootnoteText"/>
      </w:pPr>
      <w:r>
        <w:rPr>
          <w:rStyle w:val="FootnoteReference"/>
        </w:rPr>
        <w:footnoteRef/>
      </w:r>
      <w:r>
        <w:t xml:space="preserve"> </w:t>
      </w:r>
      <w:r w:rsidRPr="00BC2EB3">
        <w:rPr>
          <w:i/>
          <w:iCs/>
        </w:rPr>
        <w:t>Electricity Industry Act 2000</w:t>
      </w:r>
      <w:r>
        <w:t>, s. 40FBB(2)(a)</w:t>
      </w:r>
    </w:p>
  </w:footnote>
  <w:footnote w:id="5">
    <w:p w14:paraId="7574F41F" w14:textId="77777777" w:rsidR="00785A2E" w:rsidRDefault="00785A2E" w:rsidP="00785A2E">
      <w:pPr>
        <w:pStyle w:val="FootnoteText"/>
      </w:pPr>
      <w:r>
        <w:rPr>
          <w:rStyle w:val="FootnoteReference"/>
        </w:rPr>
        <w:footnoteRef/>
      </w:r>
      <w:r>
        <w:t xml:space="preserve"> </w:t>
      </w:r>
      <w:r w:rsidRPr="00D64566">
        <w:rPr>
          <w:i/>
          <w:iCs/>
        </w:rPr>
        <w:t>Essential Services Commission Act 2001</w:t>
      </w:r>
      <w:r>
        <w:t>, s. 8.</w:t>
      </w:r>
    </w:p>
  </w:footnote>
  <w:footnote w:id="6">
    <w:p w14:paraId="22C646C5" w14:textId="3452B7F0" w:rsidR="00785A2E" w:rsidRDefault="00785A2E" w:rsidP="00785A2E">
      <w:pPr>
        <w:pStyle w:val="FootnoteText"/>
      </w:pPr>
      <w:r>
        <w:rPr>
          <w:rStyle w:val="FootnoteReference"/>
        </w:rPr>
        <w:footnoteRef/>
      </w:r>
      <w:r>
        <w:t xml:space="preserve"> </w:t>
      </w:r>
      <w:r w:rsidRPr="00D64566">
        <w:rPr>
          <w:i/>
          <w:iCs/>
        </w:rPr>
        <w:t>Electricity Industry Act 2000</w:t>
      </w:r>
      <w:r w:rsidR="00AD5520">
        <w:t>,</w:t>
      </w:r>
      <w:r w:rsidRPr="00042730">
        <w:t xml:space="preserve"> s. 10.</w:t>
      </w:r>
    </w:p>
  </w:footnote>
  <w:footnote w:id="7">
    <w:p w14:paraId="7E6E694B" w14:textId="5517F553" w:rsidR="006E1D47" w:rsidRPr="00A90D3C" w:rsidRDefault="009557F0" w:rsidP="009557F0">
      <w:pPr>
        <w:pStyle w:val="FootnoteText"/>
      </w:pPr>
      <w:r w:rsidRPr="00715753">
        <w:rPr>
          <w:rStyle w:val="FootnoteReference"/>
        </w:rPr>
        <w:footnoteRef/>
      </w:r>
      <w:r w:rsidRPr="00715753">
        <w:t xml:space="preserve"> </w:t>
      </w:r>
      <w:r w:rsidR="00162EE3">
        <w:t xml:space="preserve">The </w:t>
      </w:r>
      <w:r w:rsidR="004436B8" w:rsidRPr="00715753">
        <w:t>O</w:t>
      </w:r>
      <w:r w:rsidR="00056AE1" w:rsidRPr="00715753">
        <w:t xml:space="preserve">ption </w:t>
      </w:r>
      <w:r w:rsidR="00CB1D53">
        <w:t>1</w:t>
      </w:r>
      <w:r w:rsidR="00056AE1" w:rsidRPr="00715753">
        <w:t xml:space="preserve"> </w:t>
      </w:r>
      <w:r w:rsidRPr="00715753">
        <w:t xml:space="preserve">tariff periods reflect arrangements in older time varying network tariffs. The periods were set in an Order in Council: </w:t>
      </w:r>
      <w:hyperlink r:id="rId2" w:history="1">
        <w:r w:rsidRPr="00877023">
          <w:rPr>
            <w:rStyle w:val="Hyperlink"/>
          </w:rPr>
          <w:t>Victoria Government Gazette, No S 216, 19 June 2013, Advanced Metering Infrastructure (AMI Tariffs) Order, Schedule</w:t>
        </w:r>
      </w:hyperlink>
      <w:r w:rsidRPr="009E40EA">
        <w:t xml:space="preserve">, p 9. Accessed </w:t>
      </w:r>
      <w:r w:rsidR="003616FC" w:rsidRPr="009E40EA">
        <w:t>20 December</w:t>
      </w:r>
      <w:r w:rsidRPr="009E40EA">
        <w:t xml:space="preserve"> 2023</w:t>
      </w:r>
      <w:r w:rsidR="00A90D3C">
        <w:t>.</w:t>
      </w:r>
      <w:r w:rsidRPr="009E40EA">
        <w:t xml:space="preserve"> </w:t>
      </w:r>
      <w:r w:rsidR="006E1D47" w:rsidRPr="00715753">
        <w:t xml:space="preserve">The time periods for </w:t>
      </w:r>
      <w:r w:rsidR="00633305">
        <w:t>O</w:t>
      </w:r>
      <w:r w:rsidR="006E1D47" w:rsidRPr="00715753">
        <w:t xml:space="preserve">ption </w:t>
      </w:r>
      <w:r w:rsidR="00633305">
        <w:t>2</w:t>
      </w:r>
      <w:r w:rsidR="00B703DB" w:rsidRPr="00715753">
        <w:t xml:space="preserve"> were developed after consultation with </w:t>
      </w:r>
      <w:r w:rsidR="00B703DB" w:rsidRPr="00A90D3C">
        <w:t>stakeholders</w:t>
      </w:r>
      <w:r w:rsidR="00B579A4" w:rsidRPr="00A90D3C">
        <w:t>,</w:t>
      </w:r>
      <w:r w:rsidR="00B579A4" w:rsidRPr="00A90D3C">
        <w:rPr>
          <w:rStyle w:val="Hyperlink"/>
          <w:u w:val="none"/>
        </w:rPr>
        <w:t xml:space="preserve"> </w:t>
      </w:r>
      <w:r w:rsidR="00EA11D9" w:rsidRPr="00A90D3C">
        <w:t>Glo</w:t>
      </w:r>
      <w:r w:rsidR="00620CE3" w:rsidRPr="00A90D3C">
        <w:t>B</w:t>
      </w:r>
      <w:r w:rsidR="00EA11D9" w:rsidRPr="00A90D3C">
        <w:t>ird</w:t>
      </w:r>
      <w:r w:rsidR="00EA11D9" w:rsidRPr="009E40EA">
        <w:t xml:space="preserve"> submission, pg. 2, 23 January 2023</w:t>
      </w:r>
      <w:r w:rsidR="00B703DB" w:rsidRPr="00A90D3C">
        <w:t xml:space="preserve">. </w:t>
      </w:r>
      <w:r w:rsidR="006E1D47" w:rsidRPr="00A90D3C">
        <w:t xml:space="preserve"> </w:t>
      </w:r>
    </w:p>
  </w:footnote>
  <w:footnote w:id="8">
    <w:p w14:paraId="63EF53E2" w14:textId="38806F3F" w:rsidR="009557F0" w:rsidRDefault="009557F0" w:rsidP="009557F0">
      <w:pPr>
        <w:pStyle w:val="FootnoteText"/>
      </w:pPr>
      <w:r w:rsidRPr="009E40EA">
        <w:rPr>
          <w:rStyle w:val="FootnoteReference"/>
        </w:rPr>
        <w:footnoteRef/>
      </w:r>
      <w:r w:rsidRPr="009E40EA">
        <w:t xml:space="preserve"> </w:t>
      </w:r>
      <w:r w:rsidRPr="009E40EA">
        <w:rPr>
          <w:szCs w:val="18"/>
        </w:rPr>
        <w:t xml:space="preserve">Feed-in tariffs for solar customers registered for GST are subject to GST. Most residential solar owners are not registered for GST. </w:t>
      </w:r>
      <w:hyperlink r:id="rId3" w:history="1">
        <w:r w:rsidRPr="00620CE3">
          <w:rPr>
            <w:rStyle w:val="Hyperlink"/>
            <w:szCs w:val="18"/>
          </w:rPr>
          <w:t>Australian Tax Office, Electricity and Gas Industry Partnerships</w:t>
        </w:r>
      </w:hyperlink>
      <w:r w:rsidRPr="00A11F49">
        <w:rPr>
          <w:szCs w:val="18"/>
        </w:rPr>
        <w:t xml:space="preserve">, accessed </w:t>
      </w:r>
      <w:r w:rsidR="006F377A" w:rsidRPr="00A11F49">
        <w:rPr>
          <w:szCs w:val="18"/>
        </w:rPr>
        <w:t>5</w:t>
      </w:r>
      <w:r w:rsidRPr="00A11F49">
        <w:rPr>
          <w:szCs w:val="18"/>
        </w:rPr>
        <w:t xml:space="preserve"> </w:t>
      </w:r>
      <w:r w:rsidR="00275E5F" w:rsidRPr="00A11F49">
        <w:rPr>
          <w:szCs w:val="18"/>
        </w:rPr>
        <w:t>January</w:t>
      </w:r>
      <w:r w:rsidRPr="00A11F49">
        <w:rPr>
          <w:szCs w:val="18"/>
        </w:rPr>
        <w:t xml:space="preserve"> 202</w:t>
      </w:r>
      <w:r w:rsidR="00275E5F" w:rsidRPr="00A11F49">
        <w:rPr>
          <w:szCs w:val="18"/>
        </w:rPr>
        <w:t>4</w:t>
      </w:r>
      <w:r w:rsidRPr="00A11F49">
        <w:rPr>
          <w:szCs w:val="18"/>
        </w:rPr>
        <w:t xml:space="preserve">, </w:t>
      </w:r>
    </w:p>
  </w:footnote>
  <w:footnote w:id="9">
    <w:p w14:paraId="7A8F5EAB" w14:textId="4F5F2CDB" w:rsidR="00797B0E" w:rsidRDefault="00797B0E" w:rsidP="00797B0E">
      <w:pPr>
        <w:pStyle w:val="FootnoteText"/>
      </w:pPr>
      <w:r>
        <w:rPr>
          <w:rStyle w:val="FootnoteReference"/>
        </w:rPr>
        <w:footnoteRef/>
      </w:r>
      <w:r>
        <w:t xml:space="preserve"> Department of Energy, Environment, and Climate Action, </w:t>
      </w:r>
      <w:hyperlink r:id="rId4" w:history="1">
        <w:r w:rsidRPr="0098383B">
          <w:rPr>
            <w:rStyle w:val="Hyperlink"/>
            <w:i/>
            <w:iCs/>
          </w:rPr>
          <w:t>VRET Progress Report 2022-23</w:t>
        </w:r>
      </w:hyperlink>
      <w:r>
        <w:t xml:space="preserve">, p.6, accessed 19 February 2024. </w:t>
      </w:r>
    </w:p>
  </w:footnote>
  <w:footnote w:id="10">
    <w:p w14:paraId="62711478" w14:textId="4DE11486" w:rsidR="00D8458F" w:rsidRPr="00346E2A" w:rsidRDefault="00D8458F">
      <w:pPr>
        <w:pStyle w:val="FootnoteText"/>
      </w:pPr>
      <w:r>
        <w:rPr>
          <w:rStyle w:val="FootnoteReference"/>
        </w:rPr>
        <w:footnoteRef/>
      </w:r>
      <w:r>
        <w:t xml:space="preserve"> </w:t>
      </w:r>
      <w:r w:rsidRPr="00346E2A">
        <w:t>Frontier Economics,</w:t>
      </w:r>
      <w:r w:rsidRPr="00346E2A">
        <w:rPr>
          <w:i/>
          <w:iCs/>
        </w:rPr>
        <w:t xml:space="preserve"> Wholesale price forecasts for calculating minimum feed-in tariff: Final report for the Essential Services Commission</w:t>
      </w:r>
      <w:r w:rsidRPr="00346E2A">
        <w:t>, January 2024, chapter 4.</w:t>
      </w:r>
    </w:p>
  </w:footnote>
  <w:footnote w:id="11">
    <w:p w14:paraId="0C7A2DFC" w14:textId="718DD7AD" w:rsidR="00584F64" w:rsidRDefault="00584F64" w:rsidP="00584F64">
      <w:pPr>
        <w:pStyle w:val="FootnoteText"/>
      </w:pPr>
      <w:r w:rsidRPr="00346E2A">
        <w:rPr>
          <w:rStyle w:val="FootnoteReference"/>
        </w:rPr>
        <w:footnoteRef/>
      </w:r>
      <w:r w:rsidRPr="00346E2A">
        <w:t xml:space="preserve"> Frontier Economics,</w:t>
      </w:r>
      <w:r w:rsidRPr="00346E2A">
        <w:rPr>
          <w:i/>
          <w:iCs/>
        </w:rPr>
        <w:t xml:space="preserve"> Wholesale price forecasts for calculating minimum feed-in tariff: </w:t>
      </w:r>
      <w:r w:rsidR="00D609BE" w:rsidRPr="00346E2A">
        <w:rPr>
          <w:i/>
          <w:iCs/>
        </w:rPr>
        <w:t>Final report</w:t>
      </w:r>
      <w:r w:rsidRPr="00346E2A">
        <w:rPr>
          <w:i/>
          <w:iCs/>
        </w:rPr>
        <w:t xml:space="preserve"> for the Essential Services Commission</w:t>
      </w:r>
      <w:r w:rsidRPr="00346E2A">
        <w:t xml:space="preserve">, </w:t>
      </w:r>
      <w:r w:rsidR="00145534" w:rsidRPr="00346E2A">
        <w:t>January</w:t>
      </w:r>
      <w:r w:rsidRPr="00346E2A">
        <w:t xml:space="preserve"> 202</w:t>
      </w:r>
      <w:r w:rsidR="00145534" w:rsidRPr="00346E2A">
        <w:t>4</w:t>
      </w:r>
      <w:r w:rsidRPr="00346E2A">
        <w:t>, chapter 4.</w:t>
      </w:r>
    </w:p>
  </w:footnote>
  <w:footnote w:id="12">
    <w:p w14:paraId="6A92B147" w14:textId="5893B2B5" w:rsidR="00C937A4" w:rsidRDefault="00C937A4">
      <w:pPr>
        <w:pStyle w:val="FootnoteText"/>
      </w:pPr>
      <w:r>
        <w:rPr>
          <w:rStyle w:val="FootnoteReference"/>
        </w:rPr>
        <w:footnoteRef/>
      </w:r>
      <w:r>
        <w:t xml:space="preserve"> </w:t>
      </w:r>
      <w:r w:rsidR="00A04F35" w:rsidRPr="00FC7DF4">
        <w:rPr>
          <w:i/>
          <w:iCs/>
        </w:rPr>
        <w:t>Electricity Industry Act 2000</w:t>
      </w:r>
      <w:r w:rsidR="00A04F35">
        <w:t>, s. 40</w:t>
      </w:r>
      <w:proofErr w:type="gramStart"/>
      <w:r w:rsidR="00A04F35">
        <w:t>FBB(</w:t>
      </w:r>
      <w:proofErr w:type="gramEnd"/>
      <w:r w:rsidR="00A04F35">
        <w:t>3).</w:t>
      </w:r>
    </w:p>
  </w:footnote>
  <w:footnote w:id="13">
    <w:p w14:paraId="0421C93C" w14:textId="4C189CF3" w:rsidR="002611AD" w:rsidRDefault="002611AD">
      <w:pPr>
        <w:pStyle w:val="FootnoteText"/>
      </w:pPr>
      <w:r>
        <w:rPr>
          <w:rStyle w:val="FootnoteReference"/>
        </w:rPr>
        <w:footnoteRef/>
      </w:r>
      <w:r>
        <w:t xml:space="preserve"> </w:t>
      </w:r>
      <w:r w:rsidR="006A1949" w:rsidRPr="00AF2715">
        <w:rPr>
          <w:i/>
          <w:iCs/>
        </w:rPr>
        <w:t>Electricity Industry Act 2000</w:t>
      </w:r>
      <w:r w:rsidR="006A1949">
        <w:t>, s. 40FBB(3)(a), (b) and (c).</w:t>
      </w:r>
    </w:p>
  </w:footnote>
  <w:footnote w:id="14">
    <w:p w14:paraId="1D39229C" w14:textId="77777777" w:rsidR="00422383" w:rsidRPr="00426D47" w:rsidRDefault="00422383" w:rsidP="00422383">
      <w:pPr>
        <w:pStyle w:val="FootnoteText"/>
        <w:rPr>
          <w:lang w:val="en-GB"/>
        </w:rPr>
      </w:pPr>
      <w:r>
        <w:rPr>
          <w:rStyle w:val="FootnoteReference"/>
        </w:rPr>
        <w:footnoteRef/>
      </w:r>
      <w:r>
        <w:t xml:space="preserve"> </w:t>
      </w:r>
      <w:r>
        <w:rPr>
          <w:lang w:val="en-GB"/>
        </w:rPr>
        <w:t>The value of network losses varies as the value of the energy transported varies. For example, as the wholesale price of electricity increases, the value of the associated loses on the transmission and distribution networks will increase.</w:t>
      </w:r>
    </w:p>
  </w:footnote>
  <w:footnote w:id="15">
    <w:p w14:paraId="18DB68C0" w14:textId="021D723A" w:rsidR="00A22378" w:rsidRPr="00917B99" w:rsidRDefault="00A22378">
      <w:pPr>
        <w:pStyle w:val="FootnoteText"/>
      </w:pPr>
      <w:r w:rsidRPr="00917B99">
        <w:rPr>
          <w:rStyle w:val="FootnoteReference"/>
        </w:rPr>
        <w:footnoteRef/>
      </w:r>
      <w:r w:rsidRPr="00917B99">
        <w:t xml:space="preserve"> </w:t>
      </w:r>
      <w:r w:rsidR="00CE7A7B" w:rsidRPr="00877D27">
        <w:t xml:space="preserve">Australian Energy Market Operator, </w:t>
      </w:r>
      <w:hyperlink r:id="rId5" w:history="1">
        <w:r w:rsidR="00CE7A7B" w:rsidRPr="007824E3">
          <w:rPr>
            <w:rStyle w:val="Hyperlink"/>
          </w:rPr>
          <w:t>Data dashboard: Fuel Mix</w:t>
        </w:r>
      </w:hyperlink>
      <w:r w:rsidR="00CE7A7B" w:rsidRPr="00877D27">
        <w:t xml:space="preserve">, accessed </w:t>
      </w:r>
      <w:r w:rsidR="00917B99" w:rsidRPr="00877D27">
        <w:t>31</w:t>
      </w:r>
      <w:r w:rsidR="00CE7A7B" w:rsidRPr="00877D27">
        <w:t xml:space="preserve"> January 202</w:t>
      </w:r>
      <w:r w:rsidR="00917B99" w:rsidRPr="00877D27">
        <w:t>4</w:t>
      </w:r>
      <w:r w:rsidR="00CE7A7B" w:rsidRPr="00877D27">
        <w:t>.</w:t>
      </w:r>
    </w:p>
  </w:footnote>
  <w:footnote w:id="16">
    <w:p w14:paraId="617A8AF6" w14:textId="6E89BD1F" w:rsidR="007F6624" w:rsidRDefault="007F6624">
      <w:pPr>
        <w:pStyle w:val="FootnoteText"/>
      </w:pPr>
      <w:r w:rsidRPr="00917B99">
        <w:rPr>
          <w:rStyle w:val="FootnoteReference"/>
        </w:rPr>
        <w:footnoteRef/>
      </w:r>
      <w:r w:rsidRPr="00917B99">
        <w:t xml:space="preserve"> </w:t>
      </w:r>
      <w:r w:rsidRPr="005C3E94">
        <w:t xml:space="preserve">OpenNEM Project, </w:t>
      </w:r>
      <w:hyperlink r:id="rId6" w:history="1">
        <w:r w:rsidRPr="007C7610">
          <w:rPr>
            <w:rStyle w:val="Hyperlink"/>
          </w:rPr>
          <w:t>An Open Platform for National Electricity Market Data</w:t>
        </w:r>
      </w:hyperlink>
      <w:r w:rsidRPr="005C3E94">
        <w:t xml:space="preserve">, accessed </w:t>
      </w:r>
      <w:r w:rsidR="00AE3E96" w:rsidRPr="005C3E94">
        <w:t>31</w:t>
      </w:r>
      <w:r w:rsidRPr="005C3E94">
        <w:t xml:space="preserve"> January 202</w:t>
      </w:r>
      <w:r w:rsidR="00AE3E96" w:rsidRPr="005C3E94">
        <w:t>4</w:t>
      </w:r>
      <w:r w:rsidR="00F3788A" w:rsidRPr="00917B99">
        <w:t>.</w:t>
      </w:r>
    </w:p>
  </w:footnote>
  <w:footnote w:id="17">
    <w:p w14:paraId="5591610C" w14:textId="77777777" w:rsidR="00D43D04" w:rsidRDefault="00D43D04" w:rsidP="00D43D04">
      <w:pPr>
        <w:pStyle w:val="FootnoteText"/>
      </w:pPr>
      <w:r>
        <w:rPr>
          <w:rStyle w:val="FootnoteReference"/>
        </w:rPr>
        <w:footnoteRef/>
      </w:r>
      <w:r>
        <w:t xml:space="preserve"> </w:t>
      </w:r>
      <w:r w:rsidRPr="00023470">
        <w:rPr>
          <w:i/>
          <w:iCs/>
        </w:rPr>
        <w:t>Electricity Industry Act 2000</w:t>
      </w:r>
      <w:r>
        <w:t>, s. 40FBB(3)(a)(b), and (c).</w:t>
      </w:r>
    </w:p>
  </w:footnote>
  <w:footnote w:id="18">
    <w:p w14:paraId="6CE1B4A5" w14:textId="094C345B" w:rsidR="00A163B6" w:rsidRDefault="00A163B6">
      <w:pPr>
        <w:pStyle w:val="FootnoteText"/>
      </w:pPr>
      <w:r>
        <w:rPr>
          <w:rStyle w:val="FootnoteReference"/>
        </w:rPr>
        <w:footnoteRef/>
      </w:r>
      <w:r>
        <w:t xml:space="preserve"> </w:t>
      </w:r>
      <w:r w:rsidR="00030318" w:rsidRPr="00023470">
        <w:rPr>
          <w:i/>
          <w:iCs/>
        </w:rPr>
        <w:t>Essential Services Commission Act 2001</w:t>
      </w:r>
      <w:r w:rsidR="00030318">
        <w:t>, s. 8.</w:t>
      </w:r>
    </w:p>
  </w:footnote>
  <w:footnote w:id="19">
    <w:p w14:paraId="54AA7A12" w14:textId="058C2B54" w:rsidR="00725A53" w:rsidRPr="00B01D46" w:rsidRDefault="00725A53" w:rsidP="00725A53">
      <w:pPr>
        <w:pStyle w:val="FootnoteText"/>
        <w:rPr>
          <w:highlight w:val="yellow"/>
          <w:lang w:val="en-US"/>
        </w:rPr>
      </w:pPr>
      <w:r w:rsidRPr="00A56408">
        <w:rPr>
          <w:rStyle w:val="FootnoteReference"/>
        </w:rPr>
        <w:footnoteRef/>
      </w:r>
      <w:r w:rsidRPr="00A56408">
        <w:t xml:space="preserve"> </w:t>
      </w:r>
      <w:r w:rsidRPr="00A56408">
        <w:rPr>
          <w:lang w:val="en-US"/>
        </w:rPr>
        <w:t xml:space="preserve">Frontier Economics, </w:t>
      </w:r>
      <w:r w:rsidRPr="00A56408">
        <w:rPr>
          <w:i/>
        </w:rPr>
        <w:t xml:space="preserve">Wholesale price forecasts for calculating minimum feed-in tariff: </w:t>
      </w:r>
      <w:r w:rsidR="00010B7D" w:rsidRPr="00A56408">
        <w:rPr>
          <w:i/>
        </w:rPr>
        <w:t xml:space="preserve">Final </w:t>
      </w:r>
      <w:r w:rsidRPr="00A56408">
        <w:rPr>
          <w:i/>
        </w:rPr>
        <w:t>report for the Essential Services Commission</w:t>
      </w:r>
      <w:r w:rsidRPr="00A56408">
        <w:rPr>
          <w:lang w:val="en-US"/>
        </w:rPr>
        <w:t xml:space="preserve">, </w:t>
      </w:r>
      <w:r w:rsidR="00010B7D" w:rsidRPr="00A56408">
        <w:rPr>
          <w:lang w:val="en-US"/>
        </w:rPr>
        <w:t>January 2024</w:t>
      </w:r>
      <w:r w:rsidRPr="00A56408">
        <w:rPr>
          <w:lang w:val="en-US"/>
        </w:rPr>
        <w:t xml:space="preserve">, p. </w:t>
      </w:r>
      <w:r w:rsidR="00E0300A" w:rsidRPr="00A56408">
        <w:rPr>
          <w:lang w:val="en-US"/>
        </w:rPr>
        <w:t>14–15</w:t>
      </w:r>
      <w:r w:rsidRPr="00A56408">
        <w:rPr>
          <w:lang w:val="en-US"/>
        </w:rPr>
        <w:t>.</w:t>
      </w:r>
    </w:p>
  </w:footnote>
  <w:footnote w:id="20">
    <w:p w14:paraId="18F9A8FD" w14:textId="15A1D22E" w:rsidR="00725A53" w:rsidRPr="0076635C" w:rsidRDefault="00725A53" w:rsidP="00725A53">
      <w:pPr>
        <w:pStyle w:val="FootnoteText"/>
        <w:rPr>
          <w:lang w:val="en-GB"/>
        </w:rPr>
      </w:pPr>
      <w:r w:rsidRPr="00DD1961">
        <w:rPr>
          <w:rStyle w:val="FootnoteReference"/>
        </w:rPr>
        <w:footnoteRef/>
      </w:r>
      <w:r w:rsidRPr="00DD1961">
        <w:t xml:space="preserve"> Clean Energy Council, </w:t>
      </w:r>
      <w:hyperlink r:id="rId7" w:anchor="Installation-numbers-for-smallscale-systems-by-stateterritory" w:history="1">
        <w:r w:rsidRPr="001442AB">
          <w:rPr>
            <w:rStyle w:val="Hyperlink"/>
          </w:rPr>
          <w:t>Postcode data for small-scale installations</w:t>
        </w:r>
      </w:hyperlink>
      <w:r w:rsidRPr="00DD1961">
        <w:t xml:space="preserve">, accessed </w:t>
      </w:r>
      <w:r w:rsidR="000624D0" w:rsidRPr="00DD1961">
        <w:t>4</w:t>
      </w:r>
      <w:r w:rsidRPr="00DD1961">
        <w:t xml:space="preserve"> </w:t>
      </w:r>
      <w:r w:rsidR="000624D0" w:rsidRPr="00DD1961">
        <w:t xml:space="preserve">January </w:t>
      </w:r>
      <w:r w:rsidRPr="00DD1961">
        <w:t xml:space="preserve">2023, </w:t>
      </w:r>
    </w:p>
  </w:footnote>
  <w:footnote w:id="21">
    <w:p w14:paraId="3CD4A2C4" w14:textId="77777777" w:rsidR="00725A53" w:rsidRPr="005A64B8" w:rsidRDefault="00725A53" w:rsidP="00725A53">
      <w:pPr>
        <w:pStyle w:val="FootnoteText"/>
        <w:rPr>
          <w:lang w:val="en-US"/>
        </w:rPr>
      </w:pPr>
      <w:r>
        <w:rPr>
          <w:rStyle w:val="FootnoteReference"/>
        </w:rPr>
        <w:footnoteRef/>
      </w:r>
      <w:r>
        <w:t xml:space="preserve"> </w:t>
      </w:r>
      <w:r>
        <w:rPr>
          <w:lang w:val="en-US"/>
        </w:rPr>
        <w:t xml:space="preserve">A very small </w:t>
      </w:r>
      <w:proofErr w:type="gramStart"/>
      <w:r>
        <w:rPr>
          <w:lang w:val="en-US"/>
        </w:rPr>
        <w:t>amount</w:t>
      </w:r>
      <w:proofErr w:type="gramEnd"/>
      <w:r>
        <w:rPr>
          <w:lang w:val="en-US"/>
        </w:rPr>
        <w:t xml:space="preserve"> of exports from small-scale renewable generators happen at night (for example from small wind turbines or small batteries). For this reason, some weight is placed on overnight prices, but not very much.</w:t>
      </w:r>
    </w:p>
  </w:footnote>
  <w:footnote w:id="22">
    <w:p w14:paraId="2F9656F8" w14:textId="77777777" w:rsidR="00942811" w:rsidRPr="00B01D46" w:rsidRDefault="00942811" w:rsidP="00942811">
      <w:pPr>
        <w:pStyle w:val="FootnoteText"/>
        <w:rPr>
          <w:highlight w:val="yellow"/>
          <w:lang w:val="en-US"/>
        </w:rPr>
      </w:pPr>
      <w:r w:rsidRPr="00A56408">
        <w:rPr>
          <w:rStyle w:val="FootnoteReference"/>
        </w:rPr>
        <w:footnoteRef/>
      </w:r>
      <w:r w:rsidRPr="00A56408">
        <w:t xml:space="preserve"> Essential Services Commission, </w:t>
      </w:r>
      <w:r w:rsidRPr="00A56408">
        <w:rPr>
          <w:i/>
          <w:iCs/>
        </w:rPr>
        <w:t>Victorian Default Offer to apply from 1 July 2023: Final Decision</w:t>
      </w:r>
      <w:r w:rsidRPr="00A56408">
        <w:t xml:space="preserve"> </w:t>
      </w:r>
      <w:r w:rsidRPr="00A56408">
        <w:rPr>
          <w:i/>
          <w:iCs/>
        </w:rPr>
        <w:t>25 May 2023</w:t>
      </w:r>
      <w:r w:rsidRPr="00A56408">
        <w:t>.</w:t>
      </w:r>
    </w:p>
  </w:footnote>
  <w:footnote w:id="23">
    <w:p w14:paraId="38C6BFE0" w14:textId="676E76F4" w:rsidR="00AA7984" w:rsidRPr="00E62DF1" w:rsidRDefault="00AA7984" w:rsidP="00AA7984">
      <w:pPr>
        <w:pStyle w:val="FootnoteText"/>
        <w:rPr>
          <w:lang w:val="en-US"/>
        </w:rPr>
      </w:pPr>
      <w:r>
        <w:rPr>
          <w:rStyle w:val="FootnoteReference"/>
        </w:rPr>
        <w:footnoteRef/>
      </w:r>
      <w:r>
        <w:t xml:space="preserve"> </w:t>
      </w:r>
      <w:r w:rsidRPr="00DA0D3B">
        <w:t xml:space="preserve">The Australian Energy Market Operator manages electricity and gas systems and markets across Australia. This includes the National Energy Market (NEM), which connects the power systems of Queensland, New South Wales, the Australian Capital Territory, Victoria, South </w:t>
      </w:r>
      <w:proofErr w:type="gramStart"/>
      <w:r w:rsidRPr="00DA0D3B">
        <w:t>Australia</w:t>
      </w:r>
      <w:proofErr w:type="gramEnd"/>
      <w:r w:rsidR="005720F4">
        <w:t xml:space="preserve"> </w:t>
      </w:r>
      <w:r w:rsidRPr="00DA0D3B">
        <w:t>and Tasmania.</w:t>
      </w:r>
    </w:p>
  </w:footnote>
  <w:footnote w:id="24">
    <w:p w14:paraId="3FF6FF2A" w14:textId="77777777" w:rsidR="0029722A" w:rsidRPr="00D90263" w:rsidRDefault="0029722A" w:rsidP="0029722A">
      <w:pPr>
        <w:pStyle w:val="FootnoteText"/>
        <w:rPr>
          <w:lang w:val="en-US"/>
        </w:rPr>
      </w:pPr>
      <w:r>
        <w:rPr>
          <w:rStyle w:val="FootnoteReference"/>
        </w:rPr>
        <w:footnoteRef/>
      </w:r>
      <w:r>
        <w:t xml:space="preserve"> </w:t>
      </w:r>
      <w:r w:rsidRPr="004F62EA">
        <w:rPr>
          <w:i/>
          <w:iCs/>
          <w:lang w:val="en-US"/>
        </w:rPr>
        <w:t>Electricity Industry Act 2000</w:t>
      </w:r>
      <w:r>
        <w:rPr>
          <w:lang w:val="en-US"/>
        </w:rPr>
        <w:t>, s. 40FBB(3)</w:t>
      </w:r>
    </w:p>
  </w:footnote>
  <w:footnote w:id="25">
    <w:p w14:paraId="62B9BE01" w14:textId="77777777" w:rsidR="0029722A" w:rsidRPr="00670653" w:rsidRDefault="0029722A" w:rsidP="0029722A">
      <w:pPr>
        <w:pStyle w:val="FootnoteText"/>
        <w:rPr>
          <w:lang w:val="en-US"/>
        </w:rPr>
      </w:pPr>
      <w:r>
        <w:rPr>
          <w:rStyle w:val="FootnoteReference"/>
        </w:rPr>
        <w:footnoteRef/>
      </w:r>
      <w:r>
        <w:t xml:space="preserve"> </w:t>
      </w:r>
      <w:r>
        <w:rPr>
          <w:i/>
          <w:iCs/>
          <w:szCs w:val="18"/>
        </w:rPr>
        <w:t xml:space="preserve">Order specifying a Methodology and Factors for the Determination of the Avoided Social Cost of Carbon 2017 </w:t>
      </w:r>
      <w:r>
        <w:rPr>
          <w:szCs w:val="18"/>
        </w:rPr>
        <w:t xml:space="preserve">(Vic) made under section 40FBB(3B) of the </w:t>
      </w:r>
      <w:r>
        <w:rPr>
          <w:i/>
          <w:iCs/>
          <w:szCs w:val="18"/>
        </w:rPr>
        <w:t xml:space="preserve">Electricity Industry Act </w:t>
      </w:r>
      <w:r w:rsidRPr="00640653">
        <w:rPr>
          <w:i/>
          <w:iCs/>
          <w:szCs w:val="18"/>
        </w:rPr>
        <w:t>2000</w:t>
      </w:r>
      <w:r>
        <w:rPr>
          <w:szCs w:val="18"/>
        </w:rPr>
        <w:t>.</w:t>
      </w:r>
    </w:p>
  </w:footnote>
  <w:footnote w:id="26">
    <w:p w14:paraId="0ABB0981" w14:textId="77777777" w:rsidR="0029722A" w:rsidRPr="00763EDD" w:rsidRDefault="0029722A" w:rsidP="0029722A">
      <w:pPr>
        <w:pStyle w:val="FootnoteText"/>
        <w:rPr>
          <w:lang w:val="en-GB"/>
        </w:rPr>
      </w:pPr>
      <w:r>
        <w:rPr>
          <w:rStyle w:val="FootnoteReference"/>
        </w:rPr>
        <w:footnoteRef/>
      </w:r>
      <w:r>
        <w:t xml:space="preserve"> </w:t>
      </w:r>
      <w:r>
        <w:rPr>
          <w:lang w:val="en-GB"/>
        </w:rPr>
        <w:t xml:space="preserve">Victorian Government 2016, </w:t>
      </w:r>
      <w:r w:rsidRPr="00AC16F0">
        <w:rPr>
          <w:i/>
          <w:iCs/>
        </w:rPr>
        <w:t>Energy Legislation Amendment (Feed-in Tariffs and Improving Safety and Markets) Bill 2016, Explanatory Memorandum</w:t>
      </w:r>
      <w:r>
        <w:t>, p. 4.</w:t>
      </w:r>
    </w:p>
  </w:footnote>
  <w:footnote w:id="27">
    <w:p w14:paraId="03BDBA22" w14:textId="060E989A" w:rsidR="00C324E6" w:rsidRDefault="00C324E6">
      <w:pPr>
        <w:pStyle w:val="FootnoteText"/>
      </w:pPr>
      <w:r>
        <w:rPr>
          <w:rStyle w:val="FootnoteReference"/>
        </w:rPr>
        <w:footnoteRef/>
      </w:r>
      <w:r>
        <w:t xml:space="preserve"> </w:t>
      </w:r>
      <w:r w:rsidR="00B4570F">
        <w:t>Paul Berg submission</w:t>
      </w:r>
      <w:r w:rsidR="00E81EEE">
        <w:t xml:space="preserve">, </w:t>
      </w:r>
      <w:r w:rsidR="008C0C5B">
        <w:t xml:space="preserve">(ID </w:t>
      </w:r>
      <w:r w:rsidR="00B4570F">
        <w:t>1146795</w:t>
      </w:r>
      <w:r w:rsidR="008C0C5B">
        <w:t>),</w:t>
      </w:r>
      <w:r w:rsidR="001E7744">
        <w:t xml:space="preserve"> 22 November 2023</w:t>
      </w:r>
    </w:p>
  </w:footnote>
  <w:footnote w:id="28">
    <w:p w14:paraId="6655FB9D" w14:textId="0CD4E620" w:rsidR="00F61A28" w:rsidRDefault="00F61A28">
      <w:pPr>
        <w:pStyle w:val="FootnoteText"/>
      </w:pPr>
      <w:r>
        <w:rPr>
          <w:rStyle w:val="FootnoteReference"/>
        </w:rPr>
        <w:footnoteRef/>
      </w:r>
      <w:r>
        <w:t xml:space="preserve"> </w:t>
      </w:r>
      <w:r w:rsidR="00A67795">
        <w:t xml:space="preserve">Anonymous submission, </w:t>
      </w:r>
      <w:r w:rsidR="001E7744">
        <w:t xml:space="preserve">(ID </w:t>
      </w:r>
      <w:r w:rsidR="00A67795">
        <w:t>115</w:t>
      </w:r>
      <w:r w:rsidR="00190F71">
        <w:t>1</w:t>
      </w:r>
      <w:r w:rsidR="00A67795">
        <w:t>060</w:t>
      </w:r>
      <w:r w:rsidR="001E7744">
        <w:t xml:space="preserve">), </w:t>
      </w:r>
      <w:r w:rsidR="00CC36AD">
        <w:t>9 December 2023</w:t>
      </w:r>
    </w:p>
  </w:footnote>
  <w:footnote w:id="29">
    <w:p w14:paraId="2C77D5A7" w14:textId="6BCF650C" w:rsidR="003D4C24" w:rsidRDefault="003D4C24">
      <w:pPr>
        <w:pStyle w:val="FootnoteText"/>
      </w:pPr>
      <w:r>
        <w:rPr>
          <w:rStyle w:val="FootnoteReference"/>
        </w:rPr>
        <w:footnoteRef/>
      </w:r>
      <w:r>
        <w:t xml:space="preserve"> </w:t>
      </w:r>
      <w:r w:rsidR="00D9706A">
        <w:t>Mark</w:t>
      </w:r>
      <w:r w:rsidR="00FE53D6">
        <w:t xml:space="preserve"> submission </w:t>
      </w:r>
      <w:r w:rsidR="008855EE">
        <w:t xml:space="preserve">(ID </w:t>
      </w:r>
      <w:r w:rsidR="001526F1" w:rsidRPr="001526F1">
        <w:t>1146816</w:t>
      </w:r>
      <w:r w:rsidR="008855EE">
        <w:t>)</w:t>
      </w:r>
      <w:r w:rsidR="001526F1">
        <w:t>, 22 November 2023</w:t>
      </w:r>
    </w:p>
  </w:footnote>
  <w:footnote w:id="30">
    <w:p w14:paraId="52621D5F" w14:textId="0C9DFD67" w:rsidR="00F5166B" w:rsidRDefault="00F5166B">
      <w:pPr>
        <w:pStyle w:val="FootnoteText"/>
      </w:pPr>
      <w:r>
        <w:rPr>
          <w:rStyle w:val="FootnoteReference"/>
        </w:rPr>
        <w:footnoteRef/>
      </w:r>
      <w:r>
        <w:t xml:space="preserve"> </w:t>
      </w:r>
      <w:r w:rsidR="006E65A4" w:rsidRPr="006E65A4">
        <w:t>Indar Ghikpal</w:t>
      </w:r>
      <w:r w:rsidR="006E65A4">
        <w:t xml:space="preserve"> submission, (ID </w:t>
      </w:r>
      <w:r w:rsidR="00EA23D2" w:rsidRPr="00EA23D2">
        <w:t>1150330</w:t>
      </w:r>
      <w:r w:rsidR="00EA23D2">
        <w:t>), 5 December 2023</w:t>
      </w:r>
      <w:r w:rsidR="006E65A4">
        <w:t xml:space="preserve"> </w:t>
      </w:r>
    </w:p>
  </w:footnote>
  <w:footnote w:id="31">
    <w:p w14:paraId="61BC1CBF" w14:textId="4FC3F406" w:rsidR="008B0FE4" w:rsidRDefault="008B0FE4" w:rsidP="008B0FE4">
      <w:pPr>
        <w:pStyle w:val="FootnoteText"/>
      </w:pPr>
      <w:r>
        <w:rPr>
          <w:rStyle w:val="FootnoteReference"/>
        </w:rPr>
        <w:footnoteRef/>
      </w:r>
      <w:r>
        <w:t xml:space="preserve"> Anonymous submission, </w:t>
      </w:r>
      <w:r w:rsidR="001E7744">
        <w:t xml:space="preserve">(ID </w:t>
      </w:r>
      <w:r>
        <w:t>1150271</w:t>
      </w:r>
      <w:r w:rsidR="001E7744">
        <w:t>),</w:t>
      </w:r>
      <w:r w:rsidR="00E304ED">
        <w:t xml:space="preserve"> 5 December 2023</w:t>
      </w:r>
    </w:p>
  </w:footnote>
  <w:footnote w:id="32">
    <w:p w14:paraId="379DD01D" w14:textId="77777777" w:rsidR="00175FA9" w:rsidRDefault="00175FA9" w:rsidP="00175FA9">
      <w:pPr>
        <w:pStyle w:val="FootnoteText"/>
      </w:pPr>
      <w:r>
        <w:rPr>
          <w:rStyle w:val="FootnoteReference"/>
        </w:rPr>
        <w:footnoteRef/>
      </w:r>
      <w:r>
        <w:t xml:space="preserve"> </w:t>
      </w:r>
      <w:r w:rsidRPr="00C257E3">
        <w:rPr>
          <w:i/>
          <w:iCs/>
        </w:rPr>
        <w:t>Electricity Industry Act 2000</w:t>
      </w:r>
      <w:r>
        <w:t xml:space="preserve">, s. 40FBB(2)(a), </w:t>
      </w:r>
      <w:r w:rsidRPr="00C257E3">
        <w:rPr>
          <w:i/>
          <w:iCs/>
        </w:rPr>
        <w:t>Electricity Industry Act 2000</w:t>
      </w:r>
      <w:r>
        <w:t>, s. 40FBB(3)(a)(b), and (c).</w:t>
      </w:r>
    </w:p>
  </w:footnote>
  <w:footnote w:id="33">
    <w:p w14:paraId="46F7317D" w14:textId="77777777" w:rsidR="000F3178" w:rsidRDefault="000F3178" w:rsidP="000F3178">
      <w:pPr>
        <w:pStyle w:val="FootnoteText"/>
      </w:pPr>
      <w:r>
        <w:rPr>
          <w:rStyle w:val="FootnoteReference"/>
        </w:rPr>
        <w:footnoteRef/>
      </w:r>
      <w:r>
        <w:t xml:space="preserve"> Peter Rice submission (ID </w:t>
      </w:r>
      <w:r w:rsidRPr="003150C5">
        <w:t>1150341</w:t>
      </w:r>
      <w:r>
        <w:t>), 5 December 2023</w:t>
      </w:r>
    </w:p>
  </w:footnote>
  <w:footnote w:id="34">
    <w:p w14:paraId="5ECAC63B" w14:textId="77777777" w:rsidR="00164984" w:rsidRDefault="00164984" w:rsidP="00164984">
      <w:pPr>
        <w:pStyle w:val="FootnoteText"/>
      </w:pPr>
      <w:r>
        <w:rPr>
          <w:rStyle w:val="FootnoteReference"/>
        </w:rPr>
        <w:footnoteRef/>
      </w:r>
      <w:r>
        <w:t xml:space="preserve"> Solar Victoria, </w:t>
      </w:r>
      <w:hyperlink r:id="rId8" w:history="1">
        <w:r w:rsidRPr="00181961">
          <w:rPr>
            <w:rStyle w:val="Hyperlink"/>
          </w:rPr>
          <w:t>Solar saves more than money and the environment</w:t>
        </w:r>
      </w:hyperlink>
      <w:r>
        <w:t xml:space="preserve">, accessed 6 February 2024. </w:t>
      </w:r>
    </w:p>
  </w:footnote>
  <w:footnote w:id="35">
    <w:p w14:paraId="6722D028" w14:textId="73FB6E94" w:rsidR="00916AC1" w:rsidRDefault="00916AC1">
      <w:pPr>
        <w:pStyle w:val="FootnoteText"/>
      </w:pPr>
      <w:r>
        <w:rPr>
          <w:rStyle w:val="FootnoteReference"/>
        </w:rPr>
        <w:footnoteRef/>
      </w:r>
      <w:r>
        <w:t xml:space="preserve"> Glo</w:t>
      </w:r>
      <w:r w:rsidR="00BF2469">
        <w:t>B</w:t>
      </w:r>
      <w:r>
        <w:t xml:space="preserve">ird Energy submission, </w:t>
      </w:r>
      <w:r w:rsidR="00096768">
        <w:t xml:space="preserve">(ID </w:t>
      </w:r>
      <w:r w:rsidR="00D017F5">
        <w:t>1151749</w:t>
      </w:r>
      <w:r w:rsidR="00096768">
        <w:t>)</w:t>
      </w:r>
      <w:r w:rsidR="002277EA">
        <w:t xml:space="preserve">, </w:t>
      </w:r>
      <w:r w:rsidR="00DF41C3">
        <w:t>15 December 2023</w:t>
      </w:r>
    </w:p>
  </w:footnote>
  <w:footnote w:id="36">
    <w:p w14:paraId="3B17A843" w14:textId="497AD503" w:rsidR="0025039A" w:rsidRDefault="0025039A">
      <w:pPr>
        <w:pStyle w:val="FootnoteText"/>
      </w:pPr>
      <w:r>
        <w:rPr>
          <w:rStyle w:val="FootnoteReference"/>
        </w:rPr>
        <w:footnoteRef/>
      </w:r>
      <w:r>
        <w:t xml:space="preserve"> </w:t>
      </w:r>
      <w:r w:rsidR="000F51DC">
        <w:t xml:space="preserve">Essential Services Commission 2023, </w:t>
      </w:r>
      <w:r w:rsidR="000F51DC" w:rsidRPr="00C165D4">
        <w:rPr>
          <w:i/>
          <w:iCs/>
        </w:rPr>
        <w:t>Minimum Electricity Feed-in Tariffs to Apply From 1 July 2023: Final Decision, 27 February</w:t>
      </w:r>
    </w:p>
  </w:footnote>
  <w:footnote w:id="37">
    <w:p w14:paraId="55C100E4" w14:textId="187A10AC" w:rsidR="00923A95" w:rsidRDefault="00923A95" w:rsidP="00923A95">
      <w:pPr>
        <w:pStyle w:val="FootnoteText"/>
      </w:pPr>
      <w:r>
        <w:rPr>
          <w:rStyle w:val="FootnoteReference"/>
        </w:rPr>
        <w:footnoteRef/>
      </w:r>
      <w:r>
        <w:t xml:space="preserve"> Aus</w:t>
      </w:r>
      <w:r w:rsidR="00F27AFD">
        <w:t>N</w:t>
      </w:r>
      <w:r>
        <w:t>et submission, 21 December 2023</w:t>
      </w:r>
    </w:p>
  </w:footnote>
  <w:footnote w:id="38">
    <w:p w14:paraId="14618E4F" w14:textId="240D9B58" w:rsidR="00583113" w:rsidRDefault="00583113">
      <w:pPr>
        <w:pStyle w:val="FootnoteText"/>
      </w:pPr>
      <w:r>
        <w:rPr>
          <w:rStyle w:val="FootnoteReference"/>
        </w:rPr>
        <w:footnoteRef/>
      </w:r>
      <w:r>
        <w:t xml:space="preserve"> </w:t>
      </w:r>
      <w:r w:rsidR="00141EE7">
        <w:t>Geelong sustainability (ID 1152459), 20 December 2023</w:t>
      </w:r>
    </w:p>
  </w:footnote>
  <w:footnote w:id="39">
    <w:p w14:paraId="54D8CDCB" w14:textId="63514AE2" w:rsidR="00606EEB" w:rsidRDefault="00606EEB">
      <w:pPr>
        <w:pStyle w:val="FootnoteText"/>
      </w:pPr>
      <w:r>
        <w:rPr>
          <w:rStyle w:val="FootnoteReference"/>
        </w:rPr>
        <w:footnoteRef/>
      </w:r>
      <w:r>
        <w:t xml:space="preserve"> </w:t>
      </w:r>
      <w:r w:rsidR="007C7C18">
        <w:t xml:space="preserve">The </w:t>
      </w:r>
      <w:r w:rsidR="00861ED6">
        <w:t xml:space="preserve">materials can be found </w:t>
      </w:r>
      <w:r w:rsidR="00B207BD">
        <w:t xml:space="preserve">the Essential Services Commission </w:t>
      </w:r>
      <w:hyperlink r:id="rId9" w:history="1">
        <w:r w:rsidR="00B207BD" w:rsidRPr="00B72600">
          <w:rPr>
            <w:rStyle w:val="Hyperlink"/>
          </w:rPr>
          <w:t>website</w:t>
        </w:r>
      </w:hyperlink>
      <w:r w:rsidR="00B72600">
        <w:t xml:space="preserve"> </w:t>
      </w:r>
      <w:r w:rsidR="00FE108B">
        <w:t>a</w:t>
      </w:r>
      <w:r w:rsidR="0089696D">
        <w:t xml:space="preserve">s well as the </w:t>
      </w:r>
      <w:hyperlink r:id="rId10" w:history="1">
        <w:r w:rsidR="009F339E" w:rsidRPr="004D5A29">
          <w:rPr>
            <w:rStyle w:val="Hyperlink"/>
          </w:rPr>
          <w:t>explainer video</w:t>
        </w:r>
      </w:hyperlink>
      <w:r w:rsidR="009F339E">
        <w:t>.</w:t>
      </w:r>
    </w:p>
  </w:footnote>
  <w:footnote w:id="40">
    <w:p w14:paraId="563F157F" w14:textId="06FAB49F" w:rsidR="00CF61D5" w:rsidRDefault="00CF61D5">
      <w:pPr>
        <w:pStyle w:val="FootnoteText"/>
      </w:pPr>
      <w:r>
        <w:rPr>
          <w:rStyle w:val="FootnoteReference"/>
        </w:rPr>
        <w:footnoteRef/>
      </w:r>
      <w:r>
        <w:t xml:space="preserve"> </w:t>
      </w:r>
      <w:r w:rsidR="00CB186B">
        <w:t>Golland submission, 22 December 2023</w:t>
      </w:r>
    </w:p>
  </w:footnote>
  <w:footnote w:id="41">
    <w:p w14:paraId="641FF64C" w14:textId="77777777" w:rsidR="000E28E6" w:rsidRDefault="000E28E6" w:rsidP="000E28E6">
      <w:pPr>
        <w:pStyle w:val="FootnoteText"/>
      </w:pPr>
      <w:r>
        <w:rPr>
          <w:rStyle w:val="FootnoteReference"/>
        </w:rPr>
        <w:footnoteRef/>
      </w:r>
      <w:r>
        <w:t xml:space="preserve"> Geelong sustainability (ID 1152459), 20 December 2023</w:t>
      </w:r>
    </w:p>
  </w:footnote>
  <w:footnote w:id="42">
    <w:p w14:paraId="3938A39E" w14:textId="77777777" w:rsidR="000E28E6" w:rsidRDefault="000E28E6" w:rsidP="000E28E6">
      <w:pPr>
        <w:pStyle w:val="FootnoteText"/>
      </w:pPr>
      <w:r>
        <w:rPr>
          <w:rStyle w:val="FootnoteReference"/>
        </w:rPr>
        <w:footnoteRef/>
      </w:r>
      <w:r>
        <w:t xml:space="preserve"> Golland submission, 22 December 2023</w:t>
      </w:r>
    </w:p>
  </w:footnote>
  <w:footnote w:id="43">
    <w:p w14:paraId="4CE9AE5A" w14:textId="77777777" w:rsidR="000E28E6" w:rsidRDefault="000E28E6" w:rsidP="000E28E6">
      <w:pPr>
        <w:pStyle w:val="FootnoteText"/>
      </w:pPr>
      <w:r>
        <w:rPr>
          <w:rStyle w:val="FootnoteReference"/>
        </w:rPr>
        <w:footnoteRef/>
      </w:r>
      <w:r>
        <w:t xml:space="preserve"> Victorian Government 2017, Victoria Government Gazette No. S 36, Tuesday 21 February 2017, Order specifying a methodology and factors for the determination of the avoided social cost of carbon (Order in Council).</w:t>
      </w:r>
    </w:p>
  </w:footnote>
  <w:footnote w:id="44">
    <w:p w14:paraId="461F11CD" w14:textId="1CC55902" w:rsidR="00303BB8" w:rsidRDefault="00303BB8">
      <w:pPr>
        <w:pStyle w:val="FootnoteText"/>
      </w:pPr>
      <w:r>
        <w:rPr>
          <w:rStyle w:val="FootnoteReference"/>
        </w:rPr>
        <w:footnoteRef/>
      </w:r>
      <w:r>
        <w:t xml:space="preserve"> Geelong </w:t>
      </w:r>
      <w:r w:rsidR="00D55276">
        <w:t>S</w:t>
      </w:r>
      <w:r>
        <w:t xml:space="preserve">ustainability </w:t>
      </w:r>
      <w:r w:rsidR="00C5752C">
        <w:t>(ID</w:t>
      </w:r>
      <w:r w:rsidR="004253FB">
        <w:t xml:space="preserve"> 1152459)</w:t>
      </w:r>
      <w:r w:rsidR="00DF41C3">
        <w:t xml:space="preserve">, </w:t>
      </w:r>
      <w:r w:rsidR="008B5270">
        <w:t>20 December 2023</w:t>
      </w:r>
    </w:p>
  </w:footnote>
  <w:footnote w:id="45">
    <w:p w14:paraId="26C5494D" w14:textId="189CE213" w:rsidR="00335F32" w:rsidRDefault="00335F32">
      <w:pPr>
        <w:pStyle w:val="FootnoteText"/>
      </w:pPr>
      <w:r>
        <w:rPr>
          <w:rStyle w:val="FootnoteReference"/>
        </w:rPr>
        <w:footnoteRef/>
      </w:r>
      <w:r>
        <w:t xml:space="preserve"> </w:t>
      </w:r>
      <w:r w:rsidR="000F10D0" w:rsidRPr="00077BD2">
        <w:rPr>
          <w:i/>
          <w:iCs/>
        </w:rPr>
        <w:t>Essential Services Commission 2023, Minimum Electricity Feed-in Tariffs to Apply From 1 July 2023: Final Decision, 27 February</w:t>
      </w:r>
      <w:r w:rsidR="00A12EE9">
        <w:t>, p. 26</w:t>
      </w:r>
    </w:p>
  </w:footnote>
  <w:footnote w:id="46">
    <w:p w14:paraId="69CC4076" w14:textId="673C3E22" w:rsidR="00AB34D9" w:rsidRDefault="00AB34D9">
      <w:pPr>
        <w:pStyle w:val="FootnoteText"/>
      </w:pPr>
      <w:r>
        <w:rPr>
          <w:rStyle w:val="FootnoteReference"/>
        </w:rPr>
        <w:footnoteRef/>
      </w:r>
      <w:r>
        <w:t xml:space="preserve"> Geelong </w:t>
      </w:r>
      <w:r w:rsidR="00212108">
        <w:t>S</w:t>
      </w:r>
      <w:r>
        <w:t>ustainability (ID 1152459), 20 December 2023</w:t>
      </w:r>
    </w:p>
  </w:footnote>
  <w:footnote w:id="47">
    <w:p w14:paraId="0EA0C21D" w14:textId="200E198A" w:rsidR="00B37284" w:rsidRDefault="00B37284">
      <w:pPr>
        <w:pStyle w:val="FootnoteText"/>
      </w:pPr>
      <w:r>
        <w:rPr>
          <w:rStyle w:val="FootnoteReference"/>
        </w:rPr>
        <w:footnoteRef/>
      </w:r>
      <w:r>
        <w:t xml:space="preserve"> </w:t>
      </w:r>
      <w:r w:rsidR="00C75D83">
        <w:t>K</w:t>
      </w:r>
      <w:r w:rsidR="009B2E0A">
        <w:t xml:space="preserve">ristyn Hart submission (ID </w:t>
      </w:r>
      <w:r w:rsidR="00793474" w:rsidRPr="00793474">
        <w:t>1151649</w:t>
      </w:r>
      <w:r w:rsidR="00793474">
        <w:t xml:space="preserve">), </w:t>
      </w:r>
      <w:r w:rsidR="00180BDD">
        <w:t xml:space="preserve">14 December </w:t>
      </w:r>
      <w:r w:rsidR="001C5438">
        <w:t>2023</w:t>
      </w:r>
    </w:p>
  </w:footnote>
  <w:footnote w:id="48">
    <w:p w14:paraId="1E237A22" w14:textId="76D44CC4" w:rsidR="00D97D2E" w:rsidRDefault="00D97D2E">
      <w:pPr>
        <w:pStyle w:val="FootnoteText"/>
      </w:pPr>
      <w:r>
        <w:rPr>
          <w:rStyle w:val="FootnoteReference"/>
        </w:rPr>
        <w:footnoteRef/>
      </w:r>
      <w:r>
        <w:t xml:space="preserve"> </w:t>
      </w:r>
      <w:r w:rsidR="004B41B8">
        <w:t>Electricity Industry Act 2000</w:t>
      </w:r>
    </w:p>
  </w:footnote>
  <w:footnote w:id="49">
    <w:p w14:paraId="05E5BEEC" w14:textId="5E6C06DB" w:rsidR="001C5438" w:rsidRDefault="001C5438">
      <w:pPr>
        <w:pStyle w:val="FootnoteText"/>
      </w:pPr>
      <w:r>
        <w:rPr>
          <w:rStyle w:val="FootnoteReference"/>
        </w:rPr>
        <w:footnoteRef/>
      </w:r>
      <w:r>
        <w:t xml:space="preserve"> </w:t>
      </w:r>
      <w:r w:rsidR="00733B2F">
        <w:t>Geelong Sustainability (ID 1152459), 20 December 2023</w:t>
      </w:r>
    </w:p>
  </w:footnote>
  <w:footnote w:id="50">
    <w:p w14:paraId="0B25AC82" w14:textId="113E12D7" w:rsidR="000B694A" w:rsidRDefault="000B694A">
      <w:pPr>
        <w:pStyle w:val="FootnoteText"/>
      </w:pPr>
      <w:r>
        <w:rPr>
          <w:rStyle w:val="FootnoteReference"/>
        </w:rPr>
        <w:footnoteRef/>
      </w:r>
      <w:r>
        <w:t xml:space="preserve"> Geelong sustainability (ID 1152459), 20 December 2023 </w:t>
      </w:r>
    </w:p>
  </w:footnote>
  <w:footnote w:id="51">
    <w:p w14:paraId="4D33BA9B" w14:textId="3E1B19F6" w:rsidR="005964B6" w:rsidRDefault="005964B6" w:rsidP="005964B6">
      <w:pPr>
        <w:pStyle w:val="FootnoteText"/>
      </w:pPr>
      <w:r>
        <w:rPr>
          <w:rStyle w:val="FootnoteReference"/>
        </w:rPr>
        <w:footnoteRef/>
      </w:r>
      <w:r>
        <w:t xml:space="preserve">Greenpower, </w:t>
      </w:r>
      <w:hyperlink r:id="rId11" w:history="1">
        <w:r w:rsidR="00AD047E" w:rsidRPr="00023D0C">
          <w:rPr>
            <w:rStyle w:val="Hyperlink"/>
          </w:rPr>
          <w:t>About GreenPower</w:t>
        </w:r>
      </w:hyperlink>
      <w:r w:rsidR="00AD047E" w:rsidRPr="007D68A0">
        <w:t xml:space="preserve"> </w:t>
      </w:r>
      <w:r>
        <w:t>accessed 17 January 2024</w:t>
      </w:r>
    </w:p>
  </w:footnote>
  <w:footnote w:id="52">
    <w:p w14:paraId="334CD3FA" w14:textId="4833AE8C" w:rsidR="00902F1E" w:rsidRDefault="00902F1E">
      <w:pPr>
        <w:pStyle w:val="FootnoteText"/>
      </w:pPr>
      <w:r>
        <w:rPr>
          <w:rStyle w:val="FootnoteReference"/>
        </w:rPr>
        <w:footnoteRef/>
      </w:r>
      <w:r>
        <w:t xml:space="preserve"> </w:t>
      </w:r>
      <w:r w:rsidR="006E61E1" w:rsidRPr="00C554FB">
        <w:t xml:space="preserve">Clean Energy </w:t>
      </w:r>
      <w:r w:rsidR="006E61E1">
        <w:t>Regulator</w:t>
      </w:r>
      <w:r w:rsidR="006E61E1" w:rsidRPr="00C554FB">
        <w:t xml:space="preserve">, </w:t>
      </w:r>
      <w:hyperlink r:id="rId12" w:history="1">
        <w:r w:rsidR="00A666BE" w:rsidRPr="000F7D40">
          <w:rPr>
            <w:rStyle w:val="Hyperlink"/>
          </w:rPr>
          <w:t>Small-scale Renewable Energy Scheme</w:t>
        </w:r>
      </w:hyperlink>
      <w:r w:rsidR="006E61E1" w:rsidRPr="00C554FB">
        <w:t xml:space="preserve">, accessed </w:t>
      </w:r>
      <w:r w:rsidR="006E61E1">
        <w:t>15</w:t>
      </w:r>
      <w:r w:rsidR="006E61E1" w:rsidRPr="00C554FB">
        <w:t xml:space="preserve"> </w:t>
      </w:r>
      <w:r w:rsidR="006E61E1">
        <w:t>February</w:t>
      </w:r>
      <w:r w:rsidR="006E61E1" w:rsidRPr="00C554FB">
        <w:t xml:space="preserve"> 2024</w:t>
      </w:r>
    </w:p>
  </w:footnote>
  <w:footnote w:id="53">
    <w:p w14:paraId="65EDFAAA" w14:textId="77777777" w:rsidR="002D28D8" w:rsidRPr="007B3066" w:rsidRDefault="002D28D8" w:rsidP="002D28D8">
      <w:pPr>
        <w:pStyle w:val="FootnoteText"/>
        <w:rPr>
          <w:lang w:val="en-GB"/>
        </w:rPr>
      </w:pPr>
      <w:r>
        <w:rPr>
          <w:rStyle w:val="FootnoteReference"/>
        </w:rPr>
        <w:footnoteRef/>
      </w:r>
      <w:r>
        <w:t xml:space="preserve"> </w:t>
      </w:r>
      <w:r w:rsidRPr="00B358A3">
        <w:rPr>
          <w:i/>
          <w:iCs/>
        </w:rPr>
        <w:t>Electricity Industry Act 2000</w:t>
      </w:r>
      <w:r>
        <w:t>, s. 10(c).</w:t>
      </w:r>
    </w:p>
  </w:footnote>
  <w:footnote w:id="54">
    <w:p w14:paraId="75B63CAC" w14:textId="77777777" w:rsidR="002D28D8" w:rsidRPr="007B3066" w:rsidRDefault="002D28D8" w:rsidP="002D28D8">
      <w:pPr>
        <w:pStyle w:val="FootnoteText"/>
        <w:rPr>
          <w:lang w:val="en-GB"/>
        </w:rPr>
      </w:pPr>
      <w:r>
        <w:rPr>
          <w:rStyle w:val="FootnoteReference"/>
        </w:rPr>
        <w:footnoteRef/>
      </w:r>
      <w:r>
        <w:t xml:space="preserve"> </w:t>
      </w:r>
      <w:r w:rsidRPr="00B358A3">
        <w:rPr>
          <w:i/>
          <w:iCs/>
        </w:rPr>
        <w:t>Essential Services Commission Act 2001</w:t>
      </w:r>
      <w:r>
        <w:t>, s. 8.</w:t>
      </w:r>
    </w:p>
  </w:footnote>
  <w:footnote w:id="55">
    <w:p w14:paraId="5617373C" w14:textId="0064FB41" w:rsidR="008D488E" w:rsidRDefault="008D488E">
      <w:pPr>
        <w:pStyle w:val="FootnoteText"/>
      </w:pPr>
      <w:r w:rsidRPr="00B85AC9">
        <w:rPr>
          <w:rStyle w:val="FootnoteReference"/>
        </w:rPr>
        <w:footnoteRef/>
      </w:r>
      <w:r w:rsidRPr="00B85AC9">
        <w:t xml:space="preserve"> </w:t>
      </w:r>
      <w:r w:rsidRPr="00B85AC9">
        <w:rPr>
          <w:lang w:val="en-US"/>
        </w:rPr>
        <w:t xml:space="preserve">Frontier Economics, </w:t>
      </w:r>
      <w:r w:rsidRPr="00B85AC9">
        <w:rPr>
          <w:i/>
        </w:rPr>
        <w:t>Wholesale price forecasts for calculating minimum feed-in tariff: Final report for the Essential Services Commission</w:t>
      </w:r>
      <w:r w:rsidRPr="00B85AC9">
        <w:rPr>
          <w:lang w:val="en-US"/>
        </w:rPr>
        <w:t>, January 2024, p. 15.</w:t>
      </w:r>
    </w:p>
  </w:footnote>
  <w:footnote w:id="56">
    <w:p w14:paraId="6B42886B" w14:textId="3DC5DEA7" w:rsidR="002D28D8" w:rsidRPr="00993F0D" w:rsidRDefault="002D28D8" w:rsidP="002D28D8">
      <w:pPr>
        <w:pStyle w:val="FootnoteText"/>
        <w:rPr>
          <w:highlight w:val="yellow"/>
          <w:lang w:val="en-US"/>
        </w:rPr>
      </w:pPr>
      <w:r w:rsidRPr="00AF2C03">
        <w:rPr>
          <w:rStyle w:val="FootnoteReference"/>
        </w:rPr>
        <w:footnoteRef/>
      </w:r>
      <w:r w:rsidRPr="00AF2C03">
        <w:t xml:space="preserve"> Australian Energy Market Operator, </w:t>
      </w:r>
      <w:hyperlink r:id="rId13" w:history="1">
        <w:r w:rsidRPr="008B6D3E">
          <w:rPr>
            <w:rStyle w:val="Hyperlink"/>
          </w:rPr>
          <w:t>2023</w:t>
        </w:r>
        <w:r w:rsidRPr="008B6D3E">
          <w:rPr>
            <w:rStyle w:val="Hyperlink"/>
            <w:rFonts w:cstheme="minorHAnsi"/>
          </w:rPr>
          <w:t>─</w:t>
        </w:r>
        <w:r w:rsidRPr="008B6D3E">
          <w:rPr>
            <w:rStyle w:val="Hyperlink"/>
          </w:rPr>
          <w:t>24 AEMO Budget and Fees</w:t>
        </w:r>
      </w:hyperlink>
      <w:r w:rsidRPr="00AF2C03">
        <w:t>, published in June 2023, accessed 04 September 2023</w:t>
      </w:r>
      <w:hyperlink w:history="1"/>
    </w:p>
  </w:footnote>
  <w:footnote w:id="57">
    <w:p w14:paraId="72786D79" w14:textId="5C318B35" w:rsidR="002D28D8" w:rsidRPr="00125422" w:rsidRDefault="002D28D8" w:rsidP="002D28D8">
      <w:pPr>
        <w:pStyle w:val="FootnoteText"/>
      </w:pPr>
      <w:r w:rsidRPr="00125422">
        <w:rPr>
          <w:rStyle w:val="FootnoteReference"/>
        </w:rPr>
        <w:footnoteRef/>
      </w:r>
      <w:r w:rsidRPr="00125422">
        <w:t xml:space="preserve"> Australian Energy Market Operator, </w:t>
      </w:r>
      <w:hyperlink r:id="rId14" w:history="1">
        <w:r w:rsidRPr="008B6D3E">
          <w:rPr>
            <w:rStyle w:val="Hyperlink"/>
          </w:rPr>
          <w:t>2022</w:t>
        </w:r>
        <w:r w:rsidRPr="008B6D3E">
          <w:rPr>
            <w:rStyle w:val="Hyperlink"/>
            <w:rFonts w:cstheme="minorHAnsi"/>
          </w:rPr>
          <w:t>─</w:t>
        </w:r>
        <w:r w:rsidRPr="008B6D3E">
          <w:rPr>
            <w:rStyle w:val="Hyperlink"/>
          </w:rPr>
          <w:t>23 AEMO Budget and Fees</w:t>
        </w:r>
      </w:hyperlink>
      <w:r w:rsidRPr="00125422">
        <w:t>, page 6-7. Published in June 2022, accessed 18 October 2023</w:t>
      </w:r>
      <w:r w:rsidR="00B42CB0" w:rsidRPr="00125422">
        <w:t xml:space="preserve"> </w:t>
      </w:r>
    </w:p>
  </w:footnote>
  <w:footnote w:id="58">
    <w:p w14:paraId="110CBDDC" w14:textId="77777777" w:rsidR="002D28D8" w:rsidRPr="00125422" w:rsidRDefault="002D28D8" w:rsidP="002D28D8">
      <w:pPr>
        <w:pStyle w:val="FootnoteText"/>
      </w:pPr>
      <w:r w:rsidRPr="00125422">
        <w:rPr>
          <w:rStyle w:val="FootnoteReference"/>
        </w:rPr>
        <w:footnoteRef/>
      </w:r>
      <w:r w:rsidRPr="00125422">
        <w:t xml:space="preserve"> See ‘NEM benchmark fee’ in Table 9 on page 25 of the 2023-24 AEMO Budget and Fees paper, referenced above. </w:t>
      </w:r>
    </w:p>
  </w:footnote>
  <w:footnote w:id="59">
    <w:p w14:paraId="30DC60FD" w14:textId="4CCADB12" w:rsidR="002D28D8" w:rsidRDefault="002D28D8" w:rsidP="002D28D8">
      <w:pPr>
        <w:pStyle w:val="FootnoteText"/>
      </w:pPr>
      <w:r w:rsidRPr="00125422">
        <w:rPr>
          <w:rStyle w:val="FootnoteReference"/>
        </w:rPr>
        <w:footnoteRef/>
      </w:r>
      <w:r w:rsidRPr="00125422">
        <w:t xml:space="preserve"> Australian Energy Market Operator, </w:t>
      </w:r>
      <w:hyperlink r:id="rId15" w:history="1">
        <w:r w:rsidRPr="00922283">
          <w:rPr>
            <w:rStyle w:val="Hyperlink"/>
          </w:rPr>
          <w:t>Electricity Fee Structure Final Report and Determination</w:t>
        </w:r>
      </w:hyperlink>
      <w:r w:rsidRPr="00125422">
        <w:t>, published in March 2021, last access 28 September 2023</w:t>
      </w:r>
      <w:r w:rsidR="00922283" w:rsidRPr="00125422" w:rsidDel="00922283">
        <w:t xml:space="preserve"> </w:t>
      </w:r>
    </w:p>
  </w:footnote>
  <w:footnote w:id="60">
    <w:p w14:paraId="11818901" w14:textId="0B6E3A63" w:rsidR="002D28D8" w:rsidRPr="004B1099" w:rsidRDefault="002D28D8" w:rsidP="002D28D8">
      <w:pPr>
        <w:pStyle w:val="FootnoteText"/>
        <w:rPr>
          <w:highlight w:val="yellow"/>
          <w:lang w:val="en-US"/>
        </w:rPr>
      </w:pPr>
      <w:r w:rsidRPr="00817440">
        <w:rPr>
          <w:rStyle w:val="FootnoteReference"/>
        </w:rPr>
        <w:footnoteRef/>
      </w:r>
      <w:r w:rsidRPr="00817440">
        <w:t xml:space="preserve"> Australian Energy Market Operator, </w:t>
      </w:r>
      <w:hyperlink r:id="rId16" w:history="1">
        <w:r w:rsidRPr="005F59A3">
          <w:rPr>
            <w:rStyle w:val="Hyperlink"/>
          </w:rPr>
          <w:t xml:space="preserve">AS Recovery Summary File 2023 (spreadsheet downloadable), </w:t>
        </w:r>
        <w:r w:rsidR="00962926" w:rsidRPr="005F59A3">
          <w:rPr>
            <w:rStyle w:val="Hyperlink"/>
          </w:rPr>
          <w:t>‘RECOVERY_RATE_CUSTOMER</w:t>
        </w:r>
      </w:hyperlink>
      <w:r w:rsidR="00962926" w:rsidRPr="00817440">
        <w:t>’.</w:t>
      </w:r>
      <w:r w:rsidRPr="00817440">
        <w:t xml:space="preserve"> </w:t>
      </w:r>
      <w:r w:rsidR="00B171E8" w:rsidRPr="00817440">
        <w:t xml:space="preserve">accessed </w:t>
      </w:r>
      <w:r w:rsidR="00901132" w:rsidRPr="00817440">
        <w:t>on 17 January 2024</w:t>
      </w:r>
    </w:p>
  </w:footnote>
  <w:footnote w:id="61">
    <w:p w14:paraId="31719C98" w14:textId="5DB57DE4" w:rsidR="002D28D8" w:rsidRPr="004A7C18" w:rsidRDefault="002D28D8" w:rsidP="002D28D8">
      <w:pPr>
        <w:pStyle w:val="FootnoteText"/>
        <w:rPr>
          <w:highlight w:val="yellow"/>
        </w:rPr>
      </w:pPr>
      <w:r w:rsidRPr="00817440">
        <w:rPr>
          <w:rStyle w:val="FootnoteReference"/>
        </w:rPr>
        <w:footnoteRef/>
      </w:r>
      <w:r w:rsidRPr="00817440">
        <w:t xml:space="preserve"> We have used the 52-week average up to December for final decisions. Even though there are a few months’ gap to 1 July when the new minimum feed-in tariff applies, we have decided a forecast adjustment is unnecessary. We consider that because the ancillary charges are published week by week, our approach allows for the actual ancillary charges avoided to always be reflected in the minimum feed-in tariff.</w:t>
      </w:r>
    </w:p>
  </w:footnote>
  <w:footnote w:id="62">
    <w:p w14:paraId="6E9133A8" w14:textId="24D62F0A" w:rsidR="002D28D8" w:rsidRPr="003B0240" w:rsidRDefault="002D28D8" w:rsidP="002D28D8">
      <w:pPr>
        <w:pStyle w:val="FootnoteText"/>
        <w:rPr>
          <w:lang w:val="en-GB"/>
        </w:rPr>
      </w:pPr>
      <w:r w:rsidRPr="00817440">
        <w:rPr>
          <w:rStyle w:val="FootnoteReference"/>
        </w:rPr>
        <w:footnoteRef/>
      </w:r>
      <w:r w:rsidRPr="00817440">
        <w:t xml:space="preserve"> Australian Energy Market Operator, </w:t>
      </w:r>
      <w:hyperlink r:id="rId17" w:history="1">
        <w:r w:rsidRPr="00A40963">
          <w:rPr>
            <w:rStyle w:val="Hyperlink"/>
            <w:i/>
          </w:rPr>
          <w:t>Distribution loss factors for the 2023-24 Financial Year</w:t>
        </w:r>
      </w:hyperlink>
      <w:r w:rsidRPr="00817440">
        <w:t xml:space="preserve">, accessed 31 August 2023. </w:t>
      </w:r>
    </w:p>
  </w:footnote>
  <w:footnote w:id="63">
    <w:p w14:paraId="1FADD8C9" w14:textId="6A35F714" w:rsidR="000213BD" w:rsidRDefault="000213BD">
      <w:pPr>
        <w:pStyle w:val="FootnoteText"/>
      </w:pPr>
      <w:r>
        <w:rPr>
          <w:rStyle w:val="FootnoteReference"/>
        </w:rPr>
        <w:footnoteRef/>
      </w:r>
      <w:r>
        <w:t xml:space="preserve"> </w:t>
      </w:r>
      <w:r w:rsidRPr="00817440">
        <w:t xml:space="preserve">Australian Energy Market Operator, </w:t>
      </w:r>
      <w:hyperlink r:id="rId18" w:history="1">
        <w:r w:rsidR="005F7601" w:rsidRPr="009A284D">
          <w:rPr>
            <w:rStyle w:val="Hyperlink"/>
            <w:i/>
          </w:rPr>
          <w:t>Marginal</w:t>
        </w:r>
        <w:r w:rsidRPr="009A284D">
          <w:rPr>
            <w:rStyle w:val="Hyperlink"/>
            <w:i/>
          </w:rPr>
          <w:t xml:space="preserve"> loss factors for the 2023-24 Financial Year</w:t>
        </w:r>
      </w:hyperlink>
      <w:r w:rsidRPr="00817440">
        <w:t xml:space="preserve">, accessed 31 August 2023. </w:t>
      </w:r>
    </w:p>
  </w:footnote>
  <w:footnote w:id="64">
    <w:p w14:paraId="537795F6" w14:textId="77777777" w:rsidR="002D28D8" w:rsidRPr="00400B1A" w:rsidRDefault="002D28D8" w:rsidP="002D28D8">
      <w:pPr>
        <w:pStyle w:val="FootnoteText"/>
        <w:rPr>
          <w:lang w:val="en-US"/>
        </w:rPr>
      </w:pPr>
      <w:r>
        <w:rPr>
          <w:rStyle w:val="FootnoteReference"/>
        </w:rPr>
        <w:footnoteRef/>
      </w:r>
      <w:r>
        <w:t xml:space="preserve"> Victorian Government 2017, </w:t>
      </w:r>
      <w:r w:rsidRPr="00B358A3">
        <w:rPr>
          <w:i/>
          <w:iCs/>
        </w:rPr>
        <w:t>Victoria Government Gazette</w:t>
      </w:r>
      <w:r>
        <w:t xml:space="preserve"> No. S 36, Tuesday 21 February 2017, Order specifying a methodology and factors for the determination of the avoided social cost of carbon (Order in Council)</w:t>
      </w:r>
    </w:p>
  </w:footnote>
  <w:footnote w:id="65">
    <w:p w14:paraId="2DC0E7CB" w14:textId="4C6203CE" w:rsidR="002D28D8" w:rsidRPr="00BA6637" w:rsidRDefault="002D28D8" w:rsidP="002D28D8">
      <w:pPr>
        <w:pStyle w:val="FootnoteText"/>
        <w:rPr>
          <w:lang w:val="en-GB"/>
        </w:rPr>
      </w:pPr>
      <w:r>
        <w:rPr>
          <w:rStyle w:val="FootnoteReference"/>
        </w:rPr>
        <w:footnoteRef/>
      </w:r>
      <w:r>
        <w:t xml:space="preserve"> Essential Services Commission 2016, </w:t>
      </w:r>
      <w:hyperlink r:id="rId19" w:history="1">
        <w:r w:rsidRPr="001F6859">
          <w:rPr>
            <w:rStyle w:val="Hyperlink"/>
          </w:rPr>
          <w:t>The energy value of distributed generation</w:t>
        </w:r>
      </w:hyperlink>
      <w:r>
        <w:t xml:space="preserve">, August 2016, pp. 62-63, </w:t>
      </w:r>
      <w:r w:rsidRPr="00BA6637">
        <w:t xml:space="preserve"> </w:t>
      </w:r>
    </w:p>
  </w:footnote>
  <w:footnote w:id="66">
    <w:p w14:paraId="24E74373" w14:textId="77777777" w:rsidR="005326B9" w:rsidRDefault="005326B9" w:rsidP="005326B9">
      <w:pPr>
        <w:pStyle w:val="FootnoteText"/>
      </w:pPr>
      <w:r>
        <w:rPr>
          <w:rStyle w:val="FootnoteReference"/>
        </w:rPr>
        <w:footnoteRef/>
      </w:r>
      <w:r>
        <w:t xml:space="preserve"> Victorian Government 2016, </w:t>
      </w:r>
      <w:r w:rsidRPr="00107E74">
        <w:rPr>
          <w:i/>
          <w:iCs/>
        </w:rPr>
        <w:t>Energy Legislation Amendment (Feed-in Tariffs and Improving Safety and Markets) Bill 2016, Explanatory Memorandum</w:t>
      </w:r>
      <w:r>
        <w:t>, 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1C55" w14:textId="68B6CDE3" w:rsidR="003A30F3" w:rsidRPr="00633068" w:rsidRDefault="00B91DE1" w:rsidP="00633068">
    <w:pPr>
      <w:pStyle w:val="Header"/>
      <w:tabs>
        <w:tab w:val="clear" w:pos="4680"/>
        <w:tab w:val="clear" w:pos="9360"/>
        <w:tab w:val="left" w:pos="2236"/>
      </w:tabs>
    </w:pPr>
    <w:r>
      <w:rPr>
        <w:noProof/>
        <w:lang w:eastAsia="en-AU"/>
      </w:rPr>
      <mc:AlternateContent>
        <mc:Choice Requires="wps">
          <w:drawing>
            <wp:anchor distT="0" distB="0" distL="114300" distR="114300" simplePos="0" relativeHeight="251658244" behindDoc="0" locked="1" layoutInCell="0" allowOverlap="1" wp14:anchorId="38A22F83" wp14:editId="480562D8">
              <wp:simplePos x="0" y="0"/>
              <wp:positionH relativeFrom="margin">
                <wp:align>center</wp:align>
              </wp:positionH>
              <wp:positionV relativeFrom="topMargin">
                <wp:align>center</wp:align>
              </wp:positionV>
              <wp:extent cx="892175" cy="546100"/>
              <wp:effectExtent l="0" t="0" r="0" b="6350"/>
              <wp:wrapNone/>
              <wp:docPr id="43036599" name="Text Box 43036599"/>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9A4B31" w14:textId="6C99611A" w:rsidR="00B91DE1" w:rsidRPr="00B91DE1" w:rsidRDefault="00B91DE1" w:rsidP="00B91DE1">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A22F83" id="_x0000_t202" coordsize="21600,21600" o:spt="202" path="m,l,21600r21600,l21600,xe">
              <v:stroke joinstyle="miter"/>
              <v:path gradientshapeok="t" o:connecttype="rect"/>
            </v:shapetype>
            <v:shape id="Text Box 43036599" o:spid="_x0000_s1026" type="#_x0000_t202" style="position:absolute;margin-left:0;margin-top:0;width:70.25pt;height:43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" o:allowincell="f" filled="f" stroked="f" strokeweight=".5pt">
              <v:textbox style="mso-fit-shape-to-text:t">
                <w:txbxContent>
                  <w:p w14:paraId="6B9A4B31" w14:textId="6C99611A" w:rsidR="00B91DE1" w:rsidRPr="00B91DE1" w:rsidRDefault="00B91DE1" w:rsidP="00B91DE1">
                    <w:pPr>
                      <w:jc w:val="center"/>
                      <w:rPr>
                        <w:rFonts w:ascii="Arial" w:hAnsi="Arial" w:cs="Arial"/>
                        <w:b/>
                        <w:color w:val="FF0000"/>
                        <w:sz w:val="24"/>
                      </w:rPr>
                    </w:pPr>
                  </w:p>
                </w:txbxContent>
              </v:textbox>
              <w10:wrap anchorx="margin" anchory="margin"/>
              <w10:anchorlock/>
            </v:shape>
          </w:pict>
        </mc:Fallback>
      </mc:AlternateContent>
    </w:r>
    <w:r w:rsidR="007E1738" w:rsidRPr="00E96A82">
      <w:rPr>
        <w:noProof/>
        <w:lang w:eastAsia="en-AU"/>
      </w:rPr>
      <mc:AlternateContent>
        <mc:Choice Requires="wpg">
          <w:drawing>
            <wp:anchor distT="0" distB="0" distL="114300" distR="114300" simplePos="0" relativeHeight="251658243" behindDoc="0" locked="1" layoutInCell="1" allowOverlap="1" wp14:anchorId="2674E034" wp14:editId="6CCA0387">
              <wp:simplePos x="0" y="0"/>
              <wp:positionH relativeFrom="page">
                <wp:posOffset>179705</wp:posOffset>
              </wp:positionH>
              <wp:positionV relativeFrom="page">
                <wp:posOffset>187960</wp:posOffset>
              </wp:positionV>
              <wp:extent cx="7199630" cy="1030986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6F082D07">
            <v:group id="Group 1" style="position:absolute;margin-left:14.15pt;margin-top:14.8pt;width:566.9pt;height:811.8pt;z-index:251658243;mso-position-horizontal-relative:page;mso-position-vertical-relative:page;mso-width-relative:margin;mso-height-relative:margin" coordsize="3016,4319" o:spid="_x0000_s1026" w14:anchorId="42A727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">
              <o:lock v:ext="edit" aspectratio="t"/>
              <v:shape id="Freeform 5" style="position:absolute;top:3658;width:2406;height:661;visibility:visible;mso-wrap-style:square;v-text-anchor:top" coordsize="1808,498" o:spid="_x0000_s1027" fillcolor="#8cb8cb [1951]" stroked="f" path="m1134,469v,,,,,c917,469,711,426,522,347,327,266,151,148,4,,,5,,5,,5,,222,,222,,222,135,335,287,429,452,498v8,,8,,8,c1134,498,1134,498,1134,498v674,,674,,674,c1745,347,1745,347,1745,347v-188,79,-395,122,-611,1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v:path arrowok="t" o:connecttype="custom" o:connectlocs="1509,623;1509,623;695,461;5,0;0,7;0,295;602,661;612,661;1509,661;2406,661;2322,461;1509,623" o:connectangles="0,0,0,0,0,0,0,0,0,0,0,0"/>
              </v:shape>
              <v:shape id="Freeform 6" style="position:absolute;left:2322;width:694;height:661;visibility:visible;mso-wrap-style:square;v-text-anchor:top" coordsize="522,498" o:spid="_x0000_s1028" fillcolor="#8cb8cb [1951]" stroked="f" path="m70,c63,,63,,63,,,151,,151,,151v195,81,371,199,518,347c522,493,522,493,522,493v,-217,,-217,,-217c387,163,235,69,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v:path arrowok="t" o:connecttype="custom" o:connectlocs="93,0;84,0;0,200;689,661;694,654;694,366;93,0" o:connectangles="0,0,0,0,0,0,0"/>
              </v:shape>
              <v:shape id="Freeform 7" style="position:absolute;top:759;width:331;height:700;visibility:visible;mso-wrap-style:square;v-text-anchor:top" coordsize="249,527" o:spid="_x0000_s1029" fillcolor="#4986a0 [3215]" stroked="f" path="m78,c51,27,25,56,,85,,527,,527,,527,62,394,147,274,249,171l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v:path arrowok="t" o:connecttype="custom" o:connectlocs="104,0;0,113;0,700;331,227;104,0" o:connectangles="0,0,0,0,0"/>
              </v:shape>
              <v:shape id="Freeform 8" style="position:absolute;left:1509;top:178;width:1507;height:1281;visibility:visible;mso-wrap-style:square;v-text-anchor:top" coordsize="1133,965" o:spid="_x0000_s1030" fillcolor="#4986a0 [3215]" stroked="f" path="m1055,438c917,300,753,190,571,114,395,41,202,,,,,242,,242,,242v169,,331,34,478,95c631,401,769,494,884,609v102,103,187,223,249,356c1133,523,1133,523,1133,523v-25,-29,-51,-58,-78,-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v:path arrowok="t" o:connecttype="custom" o:connectlocs="1403,581;759,151;0,0;0,321;636,447;1176,808;1507,1281;1507,694;1403,581" o:connectangles="0,0,0,0,0,0,0,0,0"/>
              </v:shape>
              <v:shape id="Freeform 9" style="position:absolute;top:2860;width:3016;height:1281;visibility:visible;mso-wrap-style:square;v-text-anchor:top" coordsize="2267,965" o:spid="_x0000_s1031" fillcolor="#4986a0 [3215]" stroked="f"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v:path arrowok="t" o:connecttype="custom" o:connectlocs="2145,834;1509,960;1509,960;871,834;331,473;0,0;0,587;104,700;748,1130;1509,1281;1509,1281;2268,1130;2912,700;3016,587;3016,0;2685,473;2145,834" o:connectangles="0,0,0,0,0,0,0,0,0,0,0,0,0,0,0,0,0"/>
              </v:shape>
              <v:shape id="Freeform 10" style="position:absolute;left:926;top:2669;width:1988;height:1009;visibility:visible;mso-wrap-style:square;v-text-anchor:top" coordsize="1494,760" o:spid="_x0000_s1032" fillcolor="#d50032 [3209]" stroked="f" path="m1366,v-51,123,-126,234,-218,326c1055,419,945,493,822,544,704,594,574,621,438,621v,,,,,c301,621,172,594,53,544,,672,,672,,672v135,56,283,88,438,88c438,760,438,760,438,760v155,,302,-32,437,-88c1015,614,1141,530,1246,424,1351,319,1436,193,1494,54l13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v:path arrowok="t" o:connecttype="custom" o:connectlocs="1818,0;1528,433;1094,722;583,824;583,824;71,722;0,892;583,1009;583,1009;1164,892;1658,563;1988,72;1818,0" o:connectangles="0,0,0,0,0,0,0,0,0,0,0,0,0"/>
              </v:shape>
              <v:shape id="Freeform 11" style="position:absolute;left:118;top:641;width:2466;height:1009;visibility:visible;mso-wrap-style:square;v-text-anchor:top" coordsize="1853,760" o:spid="_x0000_s1033" fillcolor="#d50032 [3209]" stroked="f" path="m1051,139v-2,,6,,6,c1057,139,1053,139,1051,139v134,1,261,28,378,77c1552,267,1662,341,1755,434v98,-98,98,-98,98,-98c1748,230,1622,146,1482,88,1351,33,1207,2,1057,v-12,,-12,,-12,c894,2,750,33,619,88,479,146,354,230,248,336,143,441,58,567,,706v128,54,128,54,128,54c179,637,254,526,346,434,439,341,549,267,672,216v117,-49,245,-76,379,-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8242" behindDoc="1" locked="1" layoutInCell="1" allowOverlap="1" wp14:anchorId="1CF64DAD" wp14:editId="300EB499">
          <wp:simplePos x="0" y="0"/>
          <wp:positionH relativeFrom="page">
            <wp:posOffset>720090</wp:posOffset>
          </wp:positionH>
          <wp:positionV relativeFrom="page">
            <wp:posOffset>720090</wp:posOffset>
          </wp:positionV>
          <wp:extent cx="2656800" cy="828000"/>
          <wp:effectExtent l="0" t="0" r="0" b="0"/>
          <wp:wrapTopAndBottom/>
          <wp:docPr id="770888176" name="Picture 77088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F2AB" w14:textId="77777777"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3F3327C0" wp14:editId="2888C63F">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w14:anchorId="1E7CB29B">
            <v:group id="Group 29" style="position:absolute;margin-left:522.25pt;margin-top:0;width:573.45pt;height:488.15pt;z-index:251658241;mso-position-horizontal:right;mso-position-horizontal-relative:page;mso-position-vertical:bottom;mso-position-vertical-relative:page;mso-width-relative:margin;mso-height-relative:margin" coordsize="72833,62009" o:spid="_x0000_s1026" w14:anchorId="10FBA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style="position:absolute;width:71214;height:60266" coordsize="4278,362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style="position:absolute;top:582;width:1506;height:3038;visibility:visible;mso-wrap-style:square;v-text-anchor:top" coordsize="790,1597" o:spid="_x0000_s1028" fillcolor="#4986a0 [3215]" stroked="f" path="m359,791c460,548,607,329,790,146,644,,644,,644,,442,202,279,444,167,712,60,971,,1254,,1552v,,,,,c,1567,,1582,,1597v208,,208,,208,c207,1582,207,1567,207,1552v,,,,,c207,1282,261,1025,359,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v:path arrowok="t" o:connecttype="custom" o:connectlocs="684,1505;1506,278;1228,0;318,1354;0,2952;0,2952;0,3038;397,3038;395,2952;395,2952;684,1505" o:connectangles="0,0,0,0,0,0,0,0,0,0,0"/>
                </v:shape>
                <v:shape id="Freeform 6" style="position:absolute;left:644;width:3634;height:3620;visibility:visible;mso-wrap-style:square;v-text-anchor:top" coordsize="1906,1903" o:spid="_x0000_s1029" fillcolor="#8cb8cb [1951]" stroked="f" path="m1858,v-1,,-1,,-1,c1606,,1366,50,1147,142,920,236,716,374,544,545,373,716,236,920,141,1147,50,1366,,1606,,1858v,,,,,c,1873,,1888,,1903v302,,302,,302,c301,1888,301,1873,301,1858v,,,,,c301,1647,343,1446,420,1262,499,1072,614,901,757,758,901,614,1072,499,1262,420v183,-76,385,-119,595,-119c1858,301,1858,301,1858,301v16,,32,,48,1c1906,1,1906,1,1906,1,1890,,1874,,18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v:path arrowok="t" o:connecttype="custom" o:connectlocs="3542,0;3541,0;2187,270;1037,1037;269,2182;0,3534;0,3534;0,3620;576,3620;574,3534;574,3534;801,2401;1443,1442;2406,799;3541,573;3542,573;3634,574;3634,2;3542,0" o:connectangles="0,0,0,0,0,0,0,0,0,0,0,0,0,0,0,0,0,0,0"/>
                </v:shape>
                <v:shape id="Freeform 7" style="position:absolute;left:1679;top:828;width:2599;height:1795;visibility:visible;mso-wrap-style:square;v-text-anchor:top" coordsize="1363,944" o:spid="_x0000_s1030" fillcolor="#ce0058 [3207]" stroked="f" path="m1315,v-1,,-1,,-1,c1122,,938,39,770,108,596,181,440,286,309,417,178,548,72,705,,878v159,66,159,66,159,66c223,792,315,654,431,539,546,424,683,331,836,268v148,-62,309,-96,478,-96c1315,172,1315,172,1315,172v16,,32,1,48,1c1363,,1363,,1363,v-16,,-3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v:path arrowok="t" o:connecttype="custom" o:connectlocs="2507,0;2506,0;1468,205;589,793;0,1670;303,1795;822,1025;1594,510;2506,327;2507,327;2599,329;2599,0;2507,0" o:connectangles="0,0,0,0,0,0,0,0,0,0,0,0,0"/>
                </v:shape>
              </v:group>
              <v:rect id="Rectangle 23" style="position:absolute;left:69233;top:58409;width:3600;height:3600;visibility:visible;mso-wrap-style:square;v-text-anchor:middle" o:spid="_x0000_s103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222A1C08" wp14:editId="44821AC6">
          <wp:simplePos x="0" y="0"/>
          <wp:positionH relativeFrom="page">
            <wp:posOffset>720090</wp:posOffset>
          </wp:positionH>
          <wp:positionV relativeFrom="page">
            <wp:posOffset>720090</wp:posOffset>
          </wp:positionV>
          <wp:extent cx="2656800" cy="828000"/>
          <wp:effectExtent l="0" t="0" r="0" b="0"/>
          <wp:wrapTopAndBottom/>
          <wp:docPr id="444558629" name="Picture 44455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F2E9" w14:textId="051F9327" w:rsidR="003A30F3" w:rsidRPr="00633068" w:rsidRDefault="003A30F3" w:rsidP="00633068">
    <w:pPr>
      <w:pStyle w:val="Header"/>
      <w:tabs>
        <w:tab w:val="clear" w:pos="4680"/>
        <w:tab w:val="clear" w:pos="9360"/>
        <w:tab w:val="left" w:pos="223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CF6E" w14:textId="0DC66C2A"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E8052EF"/>
    <w:multiLevelType w:val="multilevel"/>
    <w:tmpl w:val="DF4A9966"/>
    <w:numStyleLink w:val="TableBullets"/>
  </w:abstractNum>
  <w:abstractNum w:abstractNumId="2"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C7A717D"/>
    <w:multiLevelType w:val="hybridMultilevel"/>
    <w:tmpl w:val="3E361D76"/>
    <w:lvl w:ilvl="0" w:tplc="BAC0EB42">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95534E"/>
    <w:multiLevelType w:val="hybridMultilevel"/>
    <w:tmpl w:val="1D049B26"/>
    <w:lvl w:ilvl="0" w:tplc="850EE78C">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0AF3F3C"/>
    <w:multiLevelType w:val="hybridMultilevel"/>
    <w:tmpl w:val="2FECEB0C"/>
    <w:lvl w:ilvl="0" w:tplc="6F04882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2585939">
    <w:abstractNumId w:val="3"/>
  </w:num>
  <w:num w:numId="2" w16cid:durableId="711804848">
    <w:abstractNumId w:val="2"/>
  </w:num>
  <w:num w:numId="3" w16cid:durableId="1514102916">
    <w:abstractNumId w:val="4"/>
  </w:num>
  <w:num w:numId="4" w16cid:durableId="495270193">
    <w:abstractNumId w:val="7"/>
  </w:num>
  <w:num w:numId="5" w16cid:durableId="560530436">
    <w:abstractNumId w:val="1"/>
  </w:num>
  <w:num w:numId="6" w16cid:durableId="1781491648">
    <w:abstractNumId w:val="0"/>
  </w:num>
  <w:num w:numId="7" w16cid:durableId="436099854">
    <w:abstractNumId w:val="8"/>
  </w:num>
  <w:num w:numId="8" w16cid:durableId="63260334">
    <w:abstractNumId w:val="9"/>
  </w:num>
  <w:num w:numId="9" w16cid:durableId="1933391664">
    <w:abstractNumId w:val="5"/>
  </w:num>
  <w:num w:numId="10" w16cid:durableId="130550076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0778"/>
    <w:rsid w:val="0000123A"/>
    <w:rsid w:val="0000204B"/>
    <w:rsid w:val="000023C4"/>
    <w:rsid w:val="0000301F"/>
    <w:rsid w:val="00004129"/>
    <w:rsid w:val="000046BD"/>
    <w:rsid w:val="0000553E"/>
    <w:rsid w:val="00005837"/>
    <w:rsid w:val="00005DBE"/>
    <w:rsid w:val="000065FE"/>
    <w:rsid w:val="00007449"/>
    <w:rsid w:val="0000766A"/>
    <w:rsid w:val="00007A8E"/>
    <w:rsid w:val="0001037A"/>
    <w:rsid w:val="0001045C"/>
    <w:rsid w:val="00010A2B"/>
    <w:rsid w:val="00010B7D"/>
    <w:rsid w:val="00011503"/>
    <w:rsid w:val="0001160F"/>
    <w:rsid w:val="00012040"/>
    <w:rsid w:val="00012D26"/>
    <w:rsid w:val="00013B72"/>
    <w:rsid w:val="00013F30"/>
    <w:rsid w:val="00014044"/>
    <w:rsid w:val="000144FB"/>
    <w:rsid w:val="00014CEE"/>
    <w:rsid w:val="00015037"/>
    <w:rsid w:val="0001526B"/>
    <w:rsid w:val="00015588"/>
    <w:rsid w:val="0001641C"/>
    <w:rsid w:val="00016523"/>
    <w:rsid w:val="000167D0"/>
    <w:rsid w:val="0001684B"/>
    <w:rsid w:val="00016979"/>
    <w:rsid w:val="00017419"/>
    <w:rsid w:val="000174AE"/>
    <w:rsid w:val="000179C2"/>
    <w:rsid w:val="00017EA6"/>
    <w:rsid w:val="00017FEB"/>
    <w:rsid w:val="000203B5"/>
    <w:rsid w:val="00020B39"/>
    <w:rsid w:val="0002121D"/>
    <w:rsid w:val="000213BD"/>
    <w:rsid w:val="00021567"/>
    <w:rsid w:val="00022F8C"/>
    <w:rsid w:val="00023470"/>
    <w:rsid w:val="00023A88"/>
    <w:rsid w:val="00023D0C"/>
    <w:rsid w:val="000249D8"/>
    <w:rsid w:val="000250E4"/>
    <w:rsid w:val="00025142"/>
    <w:rsid w:val="000251F8"/>
    <w:rsid w:val="000259D4"/>
    <w:rsid w:val="00026115"/>
    <w:rsid w:val="000266A3"/>
    <w:rsid w:val="00030318"/>
    <w:rsid w:val="00030702"/>
    <w:rsid w:val="00030D2C"/>
    <w:rsid w:val="00031D0A"/>
    <w:rsid w:val="00032E0D"/>
    <w:rsid w:val="00032E10"/>
    <w:rsid w:val="00033155"/>
    <w:rsid w:val="00033642"/>
    <w:rsid w:val="00033780"/>
    <w:rsid w:val="000345B6"/>
    <w:rsid w:val="00034616"/>
    <w:rsid w:val="00034F2C"/>
    <w:rsid w:val="000352C3"/>
    <w:rsid w:val="00035B9D"/>
    <w:rsid w:val="00035CC1"/>
    <w:rsid w:val="000360B6"/>
    <w:rsid w:val="000362C9"/>
    <w:rsid w:val="00036771"/>
    <w:rsid w:val="00036BB4"/>
    <w:rsid w:val="00037A8E"/>
    <w:rsid w:val="00040F3C"/>
    <w:rsid w:val="00041FB1"/>
    <w:rsid w:val="00042B3E"/>
    <w:rsid w:val="00042CD8"/>
    <w:rsid w:val="000430B1"/>
    <w:rsid w:val="000430F8"/>
    <w:rsid w:val="00043580"/>
    <w:rsid w:val="00043BC5"/>
    <w:rsid w:val="0004463A"/>
    <w:rsid w:val="00044844"/>
    <w:rsid w:val="000449B0"/>
    <w:rsid w:val="00044EA9"/>
    <w:rsid w:val="000451B2"/>
    <w:rsid w:val="000460BC"/>
    <w:rsid w:val="000462FB"/>
    <w:rsid w:val="000470F2"/>
    <w:rsid w:val="000471B9"/>
    <w:rsid w:val="00047441"/>
    <w:rsid w:val="00047D5A"/>
    <w:rsid w:val="00047D98"/>
    <w:rsid w:val="00050387"/>
    <w:rsid w:val="00050EDE"/>
    <w:rsid w:val="0005131D"/>
    <w:rsid w:val="0005137A"/>
    <w:rsid w:val="000518F3"/>
    <w:rsid w:val="00051BEC"/>
    <w:rsid w:val="00051F81"/>
    <w:rsid w:val="00052122"/>
    <w:rsid w:val="00052A9B"/>
    <w:rsid w:val="00052D07"/>
    <w:rsid w:val="000537ED"/>
    <w:rsid w:val="000540F9"/>
    <w:rsid w:val="000553AC"/>
    <w:rsid w:val="00055445"/>
    <w:rsid w:val="0005556C"/>
    <w:rsid w:val="000566E0"/>
    <w:rsid w:val="00056842"/>
    <w:rsid w:val="00056A2A"/>
    <w:rsid w:val="00056AE1"/>
    <w:rsid w:val="00056F92"/>
    <w:rsid w:val="000571D0"/>
    <w:rsid w:val="0006076F"/>
    <w:rsid w:val="00060F1C"/>
    <w:rsid w:val="00061172"/>
    <w:rsid w:val="00061956"/>
    <w:rsid w:val="00061A8D"/>
    <w:rsid w:val="000624D0"/>
    <w:rsid w:val="00062AE4"/>
    <w:rsid w:val="00063922"/>
    <w:rsid w:val="00064D6A"/>
    <w:rsid w:val="00064D74"/>
    <w:rsid w:val="000650F0"/>
    <w:rsid w:val="00065A44"/>
    <w:rsid w:val="00065AC7"/>
    <w:rsid w:val="00065B4F"/>
    <w:rsid w:val="00065CC9"/>
    <w:rsid w:val="00065EB1"/>
    <w:rsid w:val="00066169"/>
    <w:rsid w:val="00066360"/>
    <w:rsid w:val="000665DF"/>
    <w:rsid w:val="00066B48"/>
    <w:rsid w:val="00066C3B"/>
    <w:rsid w:val="000672BB"/>
    <w:rsid w:val="00067A03"/>
    <w:rsid w:val="00067A10"/>
    <w:rsid w:val="00067DD9"/>
    <w:rsid w:val="00067ED7"/>
    <w:rsid w:val="00067FC9"/>
    <w:rsid w:val="0007015F"/>
    <w:rsid w:val="00070A44"/>
    <w:rsid w:val="00070EDC"/>
    <w:rsid w:val="000716FA"/>
    <w:rsid w:val="00071F65"/>
    <w:rsid w:val="000722A4"/>
    <w:rsid w:val="00072745"/>
    <w:rsid w:val="00072A90"/>
    <w:rsid w:val="00072E59"/>
    <w:rsid w:val="000736BE"/>
    <w:rsid w:val="000737E5"/>
    <w:rsid w:val="00074361"/>
    <w:rsid w:val="0007501A"/>
    <w:rsid w:val="000750BD"/>
    <w:rsid w:val="00075E6E"/>
    <w:rsid w:val="00077A24"/>
    <w:rsid w:val="00077BD2"/>
    <w:rsid w:val="00077E40"/>
    <w:rsid w:val="000809E6"/>
    <w:rsid w:val="00082513"/>
    <w:rsid w:val="000828A9"/>
    <w:rsid w:val="000840AE"/>
    <w:rsid w:val="0008414C"/>
    <w:rsid w:val="0008453A"/>
    <w:rsid w:val="00084AA3"/>
    <w:rsid w:val="00084AE0"/>
    <w:rsid w:val="00084DFF"/>
    <w:rsid w:val="000850A7"/>
    <w:rsid w:val="0008542C"/>
    <w:rsid w:val="00086484"/>
    <w:rsid w:val="0008668B"/>
    <w:rsid w:val="00087628"/>
    <w:rsid w:val="00087E2A"/>
    <w:rsid w:val="00090409"/>
    <w:rsid w:val="0009052C"/>
    <w:rsid w:val="0009097A"/>
    <w:rsid w:val="00090B37"/>
    <w:rsid w:val="00090C82"/>
    <w:rsid w:val="00091234"/>
    <w:rsid w:val="0009146E"/>
    <w:rsid w:val="00092A64"/>
    <w:rsid w:val="00092BC9"/>
    <w:rsid w:val="00092EC9"/>
    <w:rsid w:val="0009482E"/>
    <w:rsid w:val="00094C93"/>
    <w:rsid w:val="00094F02"/>
    <w:rsid w:val="00095AD1"/>
    <w:rsid w:val="00095D27"/>
    <w:rsid w:val="00095ECD"/>
    <w:rsid w:val="00096025"/>
    <w:rsid w:val="00096768"/>
    <w:rsid w:val="00096E96"/>
    <w:rsid w:val="00097243"/>
    <w:rsid w:val="000973BD"/>
    <w:rsid w:val="0009743B"/>
    <w:rsid w:val="000978B4"/>
    <w:rsid w:val="000979DF"/>
    <w:rsid w:val="00097BE4"/>
    <w:rsid w:val="000A07A2"/>
    <w:rsid w:val="000A0C8F"/>
    <w:rsid w:val="000A10C0"/>
    <w:rsid w:val="000A1292"/>
    <w:rsid w:val="000A1511"/>
    <w:rsid w:val="000A17C7"/>
    <w:rsid w:val="000A18C7"/>
    <w:rsid w:val="000A2A11"/>
    <w:rsid w:val="000A3960"/>
    <w:rsid w:val="000A3A7D"/>
    <w:rsid w:val="000A4FC4"/>
    <w:rsid w:val="000A5D15"/>
    <w:rsid w:val="000A759D"/>
    <w:rsid w:val="000A7FD9"/>
    <w:rsid w:val="000B16EB"/>
    <w:rsid w:val="000B17F7"/>
    <w:rsid w:val="000B319F"/>
    <w:rsid w:val="000B321A"/>
    <w:rsid w:val="000B3F46"/>
    <w:rsid w:val="000B447A"/>
    <w:rsid w:val="000B4FBF"/>
    <w:rsid w:val="000B5327"/>
    <w:rsid w:val="000B53EF"/>
    <w:rsid w:val="000B593F"/>
    <w:rsid w:val="000B5CDA"/>
    <w:rsid w:val="000B60F3"/>
    <w:rsid w:val="000B629D"/>
    <w:rsid w:val="000B694A"/>
    <w:rsid w:val="000B6A31"/>
    <w:rsid w:val="000B7B66"/>
    <w:rsid w:val="000C07C1"/>
    <w:rsid w:val="000C0C50"/>
    <w:rsid w:val="000C0DF9"/>
    <w:rsid w:val="000C11A2"/>
    <w:rsid w:val="000C21BF"/>
    <w:rsid w:val="000C26E1"/>
    <w:rsid w:val="000C2B51"/>
    <w:rsid w:val="000C3312"/>
    <w:rsid w:val="000C347E"/>
    <w:rsid w:val="000C3CC3"/>
    <w:rsid w:val="000C42FD"/>
    <w:rsid w:val="000C48F6"/>
    <w:rsid w:val="000C4A72"/>
    <w:rsid w:val="000C595E"/>
    <w:rsid w:val="000C5DAC"/>
    <w:rsid w:val="000C64DB"/>
    <w:rsid w:val="000C6CEB"/>
    <w:rsid w:val="000C6D70"/>
    <w:rsid w:val="000C6DE9"/>
    <w:rsid w:val="000C7344"/>
    <w:rsid w:val="000C77C1"/>
    <w:rsid w:val="000C7F8A"/>
    <w:rsid w:val="000D0654"/>
    <w:rsid w:val="000D06B4"/>
    <w:rsid w:val="000D08B5"/>
    <w:rsid w:val="000D0ACE"/>
    <w:rsid w:val="000D16B6"/>
    <w:rsid w:val="000D1DCD"/>
    <w:rsid w:val="000D1E8D"/>
    <w:rsid w:val="000D2D78"/>
    <w:rsid w:val="000D306E"/>
    <w:rsid w:val="000D35F2"/>
    <w:rsid w:val="000D4134"/>
    <w:rsid w:val="000D4513"/>
    <w:rsid w:val="000D4547"/>
    <w:rsid w:val="000D54E9"/>
    <w:rsid w:val="000D568D"/>
    <w:rsid w:val="000D56A2"/>
    <w:rsid w:val="000D629B"/>
    <w:rsid w:val="000D6820"/>
    <w:rsid w:val="000D6A80"/>
    <w:rsid w:val="000D6C3E"/>
    <w:rsid w:val="000D7B3F"/>
    <w:rsid w:val="000D7EB7"/>
    <w:rsid w:val="000E066E"/>
    <w:rsid w:val="000E0830"/>
    <w:rsid w:val="000E0C84"/>
    <w:rsid w:val="000E0DFD"/>
    <w:rsid w:val="000E17E8"/>
    <w:rsid w:val="000E1880"/>
    <w:rsid w:val="000E2602"/>
    <w:rsid w:val="000E28E6"/>
    <w:rsid w:val="000E385D"/>
    <w:rsid w:val="000E3C6E"/>
    <w:rsid w:val="000E3DF1"/>
    <w:rsid w:val="000E4561"/>
    <w:rsid w:val="000E4AFF"/>
    <w:rsid w:val="000E51FE"/>
    <w:rsid w:val="000E5273"/>
    <w:rsid w:val="000E55DB"/>
    <w:rsid w:val="000E5C37"/>
    <w:rsid w:val="000E6492"/>
    <w:rsid w:val="000E708A"/>
    <w:rsid w:val="000E7A5F"/>
    <w:rsid w:val="000F00E5"/>
    <w:rsid w:val="000F0618"/>
    <w:rsid w:val="000F0F25"/>
    <w:rsid w:val="000F0FD7"/>
    <w:rsid w:val="000F0FDB"/>
    <w:rsid w:val="000F105A"/>
    <w:rsid w:val="000F10D0"/>
    <w:rsid w:val="000F1414"/>
    <w:rsid w:val="000F1AEC"/>
    <w:rsid w:val="000F2004"/>
    <w:rsid w:val="000F3178"/>
    <w:rsid w:val="000F388E"/>
    <w:rsid w:val="000F3961"/>
    <w:rsid w:val="000F48C1"/>
    <w:rsid w:val="000F51DC"/>
    <w:rsid w:val="000F544D"/>
    <w:rsid w:val="000F54EC"/>
    <w:rsid w:val="000F6AA2"/>
    <w:rsid w:val="000F7CEF"/>
    <w:rsid w:val="000F7D40"/>
    <w:rsid w:val="0010037E"/>
    <w:rsid w:val="001017B6"/>
    <w:rsid w:val="001018F5"/>
    <w:rsid w:val="001030AC"/>
    <w:rsid w:val="00103D89"/>
    <w:rsid w:val="00103EA3"/>
    <w:rsid w:val="00103FF6"/>
    <w:rsid w:val="0010490C"/>
    <w:rsid w:val="00104D15"/>
    <w:rsid w:val="00105E3E"/>
    <w:rsid w:val="001061A0"/>
    <w:rsid w:val="00106608"/>
    <w:rsid w:val="00106EA1"/>
    <w:rsid w:val="00106FE5"/>
    <w:rsid w:val="00107141"/>
    <w:rsid w:val="0010730A"/>
    <w:rsid w:val="00110BB4"/>
    <w:rsid w:val="00110F8E"/>
    <w:rsid w:val="00111B5D"/>
    <w:rsid w:val="00113146"/>
    <w:rsid w:val="00113516"/>
    <w:rsid w:val="0011378B"/>
    <w:rsid w:val="0011389E"/>
    <w:rsid w:val="00113DAE"/>
    <w:rsid w:val="0011476B"/>
    <w:rsid w:val="001148DB"/>
    <w:rsid w:val="001152B9"/>
    <w:rsid w:val="00115A1C"/>
    <w:rsid w:val="00115AA6"/>
    <w:rsid w:val="00116995"/>
    <w:rsid w:val="00116C5A"/>
    <w:rsid w:val="00117D0B"/>
    <w:rsid w:val="001189D9"/>
    <w:rsid w:val="00120499"/>
    <w:rsid w:val="001209A3"/>
    <w:rsid w:val="001210EE"/>
    <w:rsid w:val="0012123B"/>
    <w:rsid w:val="00121717"/>
    <w:rsid w:val="001217D0"/>
    <w:rsid w:val="00121D36"/>
    <w:rsid w:val="0012214B"/>
    <w:rsid w:val="0012238B"/>
    <w:rsid w:val="001223A9"/>
    <w:rsid w:val="00122473"/>
    <w:rsid w:val="00122D28"/>
    <w:rsid w:val="00122F8A"/>
    <w:rsid w:val="00123026"/>
    <w:rsid w:val="001246E0"/>
    <w:rsid w:val="00124A28"/>
    <w:rsid w:val="001252B0"/>
    <w:rsid w:val="00125422"/>
    <w:rsid w:val="00126101"/>
    <w:rsid w:val="00126714"/>
    <w:rsid w:val="00126914"/>
    <w:rsid w:val="001273CC"/>
    <w:rsid w:val="0012784F"/>
    <w:rsid w:val="00127E1C"/>
    <w:rsid w:val="00131B2B"/>
    <w:rsid w:val="001320D9"/>
    <w:rsid w:val="001327CC"/>
    <w:rsid w:val="001329C3"/>
    <w:rsid w:val="00133130"/>
    <w:rsid w:val="00133B54"/>
    <w:rsid w:val="00133D5B"/>
    <w:rsid w:val="00134509"/>
    <w:rsid w:val="00134B06"/>
    <w:rsid w:val="0013569D"/>
    <w:rsid w:val="00136CD0"/>
    <w:rsid w:val="001370F2"/>
    <w:rsid w:val="00137529"/>
    <w:rsid w:val="00137CC4"/>
    <w:rsid w:val="00137D2C"/>
    <w:rsid w:val="00137E08"/>
    <w:rsid w:val="00137FED"/>
    <w:rsid w:val="0014006A"/>
    <w:rsid w:val="00140841"/>
    <w:rsid w:val="00140A7B"/>
    <w:rsid w:val="00140E57"/>
    <w:rsid w:val="00141788"/>
    <w:rsid w:val="00141EE7"/>
    <w:rsid w:val="00141EFD"/>
    <w:rsid w:val="00142BF8"/>
    <w:rsid w:val="00142E37"/>
    <w:rsid w:val="0014303C"/>
    <w:rsid w:val="0014306C"/>
    <w:rsid w:val="0014382C"/>
    <w:rsid w:val="00143B28"/>
    <w:rsid w:val="001442AB"/>
    <w:rsid w:val="00145534"/>
    <w:rsid w:val="00145802"/>
    <w:rsid w:val="001458B0"/>
    <w:rsid w:val="00145B1D"/>
    <w:rsid w:val="001461BC"/>
    <w:rsid w:val="00146297"/>
    <w:rsid w:val="001464AE"/>
    <w:rsid w:val="00146CC2"/>
    <w:rsid w:val="0014795F"/>
    <w:rsid w:val="00147E58"/>
    <w:rsid w:val="001500D7"/>
    <w:rsid w:val="001508B1"/>
    <w:rsid w:val="001517AC"/>
    <w:rsid w:val="001526F1"/>
    <w:rsid w:val="00152887"/>
    <w:rsid w:val="00153081"/>
    <w:rsid w:val="00153E0C"/>
    <w:rsid w:val="001543E0"/>
    <w:rsid w:val="00154715"/>
    <w:rsid w:val="0015634F"/>
    <w:rsid w:val="00156693"/>
    <w:rsid w:val="001566C3"/>
    <w:rsid w:val="0015732D"/>
    <w:rsid w:val="0015794E"/>
    <w:rsid w:val="00157C45"/>
    <w:rsid w:val="00157CFB"/>
    <w:rsid w:val="001607BB"/>
    <w:rsid w:val="00160F48"/>
    <w:rsid w:val="0016131F"/>
    <w:rsid w:val="001618C0"/>
    <w:rsid w:val="00161D9E"/>
    <w:rsid w:val="00162659"/>
    <w:rsid w:val="0016296D"/>
    <w:rsid w:val="00162EE3"/>
    <w:rsid w:val="001634F3"/>
    <w:rsid w:val="00163741"/>
    <w:rsid w:val="001637E6"/>
    <w:rsid w:val="00163DCF"/>
    <w:rsid w:val="00163DF6"/>
    <w:rsid w:val="001645C8"/>
    <w:rsid w:val="00164984"/>
    <w:rsid w:val="00164D7C"/>
    <w:rsid w:val="00164D96"/>
    <w:rsid w:val="00164FF0"/>
    <w:rsid w:val="001656FF"/>
    <w:rsid w:val="00165E5B"/>
    <w:rsid w:val="00165FD9"/>
    <w:rsid w:val="0016621C"/>
    <w:rsid w:val="0016693A"/>
    <w:rsid w:val="00166A10"/>
    <w:rsid w:val="00166BF9"/>
    <w:rsid w:val="00167270"/>
    <w:rsid w:val="00167591"/>
    <w:rsid w:val="001678CC"/>
    <w:rsid w:val="00167D8D"/>
    <w:rsid w:val="00167DF4"/>
    <w:rsid w:val="00170A88"/>
    <w:rsid w:val="00170F3C"/>
    <w:rsid w:val="00171195"/>
    <w:rsid w:val="0017122C"/>
    <w:rsid w:val="00171C4A"/>
    <w:rsid w:val="0017237F"/>
    <w:rsid w:val="00172A8A"/>
    <w:rsid w:val="00172E8B"/>
    <w:rsid w:val="00172ECD"/>
    <w:rsid w:val="00173058"/>
    <w:rsid w:val="00173B95"/>
    <w:rsid w:val="00173C5D"/>
    <w:rsid w:val="00173CB8"/>
    <w:rsid w:val="00173EF9"/>
    <w:rsid w:val="00174CAE"/>
    <w:rsid w:val="00175118"/>
    <w:rsid w:val="001753E1"/>
    <w:rsid w:val="00175579"/>
    <w:rsid w:val="00175CDF"/>
    <w:rsid w:val="00175DB7"/>
    <w:rsid w:val="00175FA9"/>
    <w:rsid w:val="001768E2"/>
    <w:rsid w:val="00177E64"/>
    <w:rsid w:val="001801E0"/>
    <w:rsid w:val="00180BDD"/>
    <w:rsid w:val="00181961"/>
    <w:rsid w:val="00181DE5"/>
    <w:rsid w:val="00181E55"/>
    <w:rsid w:val="00181EA8"/>
    <w:rsid w:val="00181EB3"/>
    <w:rsid w:val="00181EF2"/>
    <w:rsid w:val="001827D2"/>
    <w:rsid w:val="001839A0"/>
    <w:rsid w:val="00184CEF"/>
    <w:rsid w:val="00185073"/>
    <w:rsid w:val="0018543B"/>
    <w:rsid w:val="00185680"/>
    <w:rsid w:val="00185928"/>
    <w:rsid w:val="00185EAB"/>
    <w:rsid w:val="001869B0"/>
    <w:rsid w:val="00187467"/>
    <w:rsid w:val="00187766"/>
    <w:rsid w:val="00187ACF"/>
    <w:rsid w:val="00187F9E"/>
    <w:rsid w:val="00187FDF"/>
    <w:rsid w:val="001901DD"/>
    <w:rsid w:val="00190F71"/>
    <w:rsid w:val="0019146C"/>
    <w:rsid w:val="00192CDE"/>
    <w:rsid w:val="00192E00"/>
    <w:rsid w:val="00193254"/>
    <w:rsid w:val="001932A3"/>
    <w:rsid w:val="00193501"/>
    <w:rsid w:val="0019377B"/>
    <w:rsid w:val="0019411B"/>
    <w:rsid w:val="001945A2"/>
    <w:rsid w:val="00194A93"/>
    <w:rsid w:val="00194B2D"/>
    <w:rsid w:val="00194BE9"/>
    <w:rsid w:val="00194F7D"/>
    <w:rsid w:val="00195543"/>
    <w:rsid w:val="00195731"/>
    <w:rsid w:val="0019594A"/>
    <w:rsid w:val="00195D2E"/>
    <w:rsid w:val="001969A3"/>
    <w:rsid w:val="00196B6B"/>
    <w:rsid w:val="00196C9B"/>
    <w:rsid w:val="001970A3"/>
    <w:rsid w:val="00197383"/>
    <w:rsid w:val="00197636"/>
    <w:rsid w:val="0019779D"/>
    <w:rsid w:val="001A064B"/>
    <w:rsid w:val="001A0844"/>
    <w:rsid w:val="001A0CD6"/>
    <w:rsid w:val="001A1461"/>
    <w:rsid w:val="001A2EBA"/>
    <w:rsid w:val="001A3AF2"/>
    <w:rsid w:val="001A4A1E"/>
    <w:rsid w:val="001A4ACF"/>
    <w:rsid w:val="001A5061"/>
    <w:rsid w:val="001A506F"/>
    <w:rsid w:val="001A6E17"/>
    <w:rsid w:val="001A7330"/>
    <w:rsid w:val="001B064D"/>
    <w:rsid w:val="001B1EE4"/>
    <w:rsid w:val="001B2527"/>
    <w:rsid w:val="001B2D79"/>
    <w:rsid w:val="001B2F87"/>
    <w:rsid w:val="001B3615"/>
    <w:rsid w:val="001B3939"/>
    <w:rsid w:val="001B415D"/>
    <w:rsid w:val="001B4215"/>
    <w:rsid w:val="001B428F"/>
    <w:rsid w:val="001B4726"/>
    <w:rsid w:val="001B4A20"/>
    <w:rsid w:val="001B5052"/>
    <w:rsid w:val="001B5699"/>
    <w:rsid w:val="001B5714"/>
    <w:rsid w:val="001B6191"/>
    <w:rsid w:val="001B62D7"/>
    <w:rsid w:val="001B62FF"/>
    <w:rsid w:val="001B6587"/>
    <w:rsid w:val="001B6B53"/>
    <w:rsid w:val="001B6F13"/>
    <w:rsid w:val="001B77F5"/>
    <w:rsid w:val="001B7A44"/>
    <w:rsid w:val="001C01D1"/>
    <w:rsid w:val="001C0464"/>
    <w:rsid w:val="001C168E"/>
    <w:rsid w:val="001C1B8B"/>
    <w:rsid w:val="001C2E32"/>
    <w:rsid w:val="001C33EF"/>
    <w:rsid w:val="001C3508"/>
    <w:rsid w:val="001C372E"/>
    <w:rsid w:val="001C4301"/>
    <w:rsid w:val="001C5438"/>
    <w:rsid w:val="001C6BFB"/>
    <w:rsid w:val="001C7212"/>
    <w:rsid w:val="001C750A"/>
    <w:rsid w:val="001C7756"/>
    <w:rsid w:val="001C7DE0"/>
    <w:rsid w:val="001D01E3"/>
    <w:rsid w:val="001D07CD"/>
    <w:rsid w:val="001D0D29"/>
    <w:rsid w:val="001D1255"/>
    <w:rsid w:val="001D1CDA"/>
    <w:rsid w:val="001D1F4A"/>
    <w:rsid w:val="001D25BF"/>
    <w:rsid w:val="001D2AD1"/>
    <w:rsid w:val="001D305A"/>
    <w:rsid w:val="001D39B6"/>
    <w:rsid w:val="001D4240"/>
    <w:rsid w:val="001D658D"/>
    <w:rsid w:val="001D6C69"/>
    <w:rsid w:val="001D7414"/>
    <w:rsid w:val="001D7490"/>
    <w:rsid w:val="001D7610"/>
    <w:rsid w:val="001D7BEB"/>
    <w:rsid w:val="001E0C35"/>
    <w:rsid w:val="001E0C7E"/>
    <w:rsid w:val="001E0FB1"/>
    <w:rsid w:val="001E123F"/>
    <w:rsid w:val="001E17FE"/>
    <w:rsid w:val="001E1A1A"/>
    <w:rsid w:val="001E1CDA"/>
    <w:rsid w:val="001E1D3B"/>
    <w:rsid w:val="001E1F89"/>
    <w:rsid w:val="001E357E"/>
    <w:rsid w:val="001E3CE3"/>
    <w:rsid w:val="001E3E14"/>
    <w:rsid w:val="001E4C21"/>
    <w:rsid w:val="001E51D8"/>
    <w:rsid w:val="001E5357"/>
    <w:rsid w:val="001E5A1C"/>
    <w:rsid w:val="001E5D74"/>
    <w:rsid w:val="001E5E6D"/>
    <w:rsid w:val="001E6D5C"/>
    <w:rsid w:val="001E7744"/>
    <w:rsid w:val="001E7FE9"/>
    <w:rsid w:val="001F0359"/>
    <w:rsid w:val="001F0CF0"/>
    <w:rsid w:val="001F0D7E"/>
    <w:rsid w:val="001F1856"/>
    <w:rsid w:val="001F2D5C"/>
    <w:rsid w:val="001F35C2"/>
    <w:rsid w:val="001F36FA"/>
    <w:rsid w:val="001F37BA"/>
    <w:rsid w:val="001F3997"/>
    <w:rsid w:val="001F4088"/>
    <w:rsid w:val="001F4F34"/>
    <w:rsid w:val="001F510D"/>
    <w:rsid w:val="001F52C2"/>
    <w:rsid w:val="001F534B"/>
    <w:rsid w:val="001F64A3"/>
    <w:rsid w:val="001F6859"/>
    <w:rsid w:val="001F6B8E"/>
    <w:rsid w:val="001F6E26"/>
    <w:rsid w:val="001F6FA9"/>
    <w:rsid w:val="00200172"/>
    <w:rsid w:val="002009C1"/>
    <w:rsid w:val="00200A9B"/>
    <w:rsid w:val="002010BA"/>
    <w:rsid w:val="00202075"/>
    <w:rsid w:val="00202382"/>
    <w:rsid w:val="00202607"/>
    <w:rsid w:val="0020319D"/>
    <w:rsid w:val="00203398"/>
    <w:rsid w:val="002040CB"/>
    <w:rsid w:val="00204285"/>
    <w:rsid w:val="002049EF"/>
    <w:rsid w:val="00204C88"/>
    <w:rsid w:val="00204D68"/>
    <w:rsid w:val="002055FC"/>
    <w:rsid w:val="002056BA"/>
    <w:rsid w:val="002060B5"/>
    <w:rsid w:val="00206264"/>
    <w:rsid w:val="00206708"/>
    <w:rsid w:val="00206942"/>
    <w:rsid w:val="002070BA"/>
    <w:rsid w:val="00207556"/>
    <w:rsid w:val="00207862"/>
    <w:rsid w:val="002078B0"/>
    <w:rsid w:val="00210057"/>
    <w:rsid w:val="0021149F"/>
    <w:rsid w:val="00211574"/>
    <w:rsid w:val="002116BF"/>
    <w:rsid w:val="00211D27"/>
    <w:rsid w:val="00211D78"/>
    <w:rsid w:val="00211EF0"/>
    <w:rsid w:val="00212059"/>
    <w:rsid w:val="002120CC"/>
    <w:rsid w:val="00212108"/>
    <w:rsid w:val="00212A7A"/>
    <w:rsid w:val="002133B0"/>
    <w:rsid w:val="0021346B"/>
    <w:rsid w:val="0021368A"/>
    <w:rsid w:val="00213C7B"/>
    <w:rsid w:val="002141F0"/>
    <w:rsid w:val="0021425C"/>
    <w:rsid w:val="0021448C"/>
    <w:rsid w:val="002148A9"/>
    <w:rsid w:val="00215F54"/>
    <w:rsid w:val="002160DB"/>
    <w:rsid w:val="0021628C"/>
    <w:rsid w:val="00216751"/>
    <w:rsid w:val="0021719B"/>
    <w:rsid w:val="00220046"/>
    <w:rsid w:val="002206CA"/>
    <w:rsid w:val="00220A31"/>
    <w:rsid w:val="00221AA6"/>
    <w:rsid w:val="00222768"/>
    <w:rsid w:val="002227A5"/>
    <w:rsid w:val="00223154"/>
    <w:rsid w:val="00224219"/>
    <w:rsid w:val="00224AA5"/>
    <w:rsid w:val="00224E55"/>
    <w:rsid w:val="002257FD"/>
    <w:rsid w:val="00225827"/>
    <w:rsid w:val="00225CB9"/>
    <w:rsid w:val="002269F8"/>
    <w:rsid w:val="00226DC1"/>
    <w:rsid w:val="0022708E"/>
    <w:rsid w:val="002275FB"/>
    <w:rsid w:val="00227787"/>
    <w:rsid w:val="002277EA"/>
    <w:rsid w:val="00231E5C"/>
    <w:rsid w:val="00232181"/>
    <w:rsid w:val="00232581"/>
    <w:rsid w:val="002327B5"/>
    <w:rsid w:val="0023356C"/>
    <w:rsid w:val="00233896"/>
    <w:rsid w:val="00233F22"/>
    <w:rsid w:val="0023508B"/>
    <w:rsid w:val="00235973"/>
    <w:rsid w:val="00235B2E"/>
    <w:rsid w:val="002364F6"/>
    <w:rsid w:val="00236A90"/>
    <w:rsid w:val="00240069"/>
    <w:rsid w:val="002405E0"/>
    <w:rsid w:val="002409FC"/>
    <w:rsid w:val="00241C11"/>
    <w:rsid w:val="00242635"/>
    <w:rsid w:val="00242A1F"/>
    <w:rsid w:val="00242AA0"/>
    <w:rsid w:val="00243A5A"/>
    <w:rsid w:val="00243BF6"/>
    <w:rsid w:val="002443E3"/>
    <w:rsid w:val="002448B5"/>
    <w:rsid w:val="002453D3"/>
    <w:rsid w:val="002459DB"/>
    <w:rsid w:val="002467D1"/>
    <w:rsid w:val="00246892"/>
    <w:rsid w:val="0024791A"/>
    <w:rsid w:val="00247A8A"/>
    <w:rsid w:val="0025039A"/>
    <w:rsid w:val="0025048A"/>
    <w:rsid w:val="00250534"/>
    <w:rsid w:val="00251145"/>
    <w:rsid w:val="00251E32"/>
    <w:rsid w:val="00251FD4"/>
    <w:rsid w:val="002522FF"/>
    <w:rsid w:val="002526A3"/>
    <w:rsid w:val="00252F69"/>
    <w:rsid w:val="002534C4"/>
    <w:rsid w:val="002536E8"/>
    <w:rsid w:val="00254C76"/>
    <w:rsid w:val="00255291"/>
    <w:rsid w:val="002552B7"/>
    <w:rsid w:val="002563CC"/>
    <w:rsid w:val="00256950"/>
    <w:rsid w:val="00256A7D"/>
    <w:rsid w:val="00257904"/>
    <w:rsid w:val="00260419"/>
    <w:rsid w:val="002607CB"/>
    <w:rsid w:val="00260B5C"/>
    <w:rsid w:val="00261035"/>
    <w:rsid w:val="002611AD"/>
    <w:rsid w:val="002626E2"/>
    <w:rsid w:val="00262A32"/>
    <w:rsid w:val="002632B5"/>
    <w:rsid w:val="00263309"/>
    <w:rsid w:val="00263C50"/>
    <w:rsid w:val="002646AA"/>
    <w:rsid w:val="002646B2"/>
    <w:rsid w:val="0026494F"/>
    <w:rsid w:val="00264A08"/>
    <w:rsid w:val="00264A6F"/>
    <w:rsid w:val="0026652B"/>
    <w:rsid w:val="00266AEA"/>
    <w:rsid w:val="00267498"/>
    <w:rsid w:val="002678CB"/>
    <w:rsid w:val="00270200"/>
    <w:rsid w:val="002704DF"/>
    <w:rsid w:val="0027056B"/>
    <w:rsid w:val="00270840"/>
    <w:rsid w:val="00270D34"/>
    <w:rsid w:val="00270E82"/>
    <w:rsid w:val="00271D8D"/>
    <w:rsid w:val="0027222E"/>
    <w:rsid w:val="00273C13"/>
    <w:rsid w:val="00273DAA"/>
    <w:rsid w:val="002750C4"/>
    <w:rsid w:val="002751DE"/>
    <w:rsid w:val="00275E5F"/>
    <w:rsid w:val="00275EF4"/>
    <w:rsid w:val="00275EF6"/>
    <w:rsid w:val="00275FB8"/>
    <w:rsid w:val="0027629F"/>
    <w:rsid w:val="002763FA"/>
    <w:rsid w:val="00276AA3"/>
    <w:rsid w:val="00277851"/>
    <w:rsid w:val="00277A5F"/>
    <w:rsid w:val="00277F94"/>
    <w:rsid w:val="002809EE"/>
    <w:rsid w:val="00280D5B"/>
    <w:rsid w:val="00280D81"/>
    <w:rsid w:val="00281129"/>
    <w:rsid w:val="0028120B"/>
    <w:rsid w:val="00281713"/>
    <w:rsid w:val="00281F54"/>
    <w:rsid w:val="00281F7C"/>
    <w:rsid w:val="002822BE"/>
    <w:rsid w:val="0028293F"/>
    <w:rsid w:val="00282ABB"/>
    <w:rsid w:val="00283136"/>
    <w:rsid w:val="00283744"/>
    <w:rsid w:val="00283BC4"/>
    <w:rsid w:val="00284E42"/>
    <w:rsid w:val="002853E7"/>
    <w:rsid w:val="00285B29"/>
    <w:rsid w:val="002863A0"/>
    <w:rsid w:val="002863B8"/>
    <w:rsid w:val="00286D84"/>
    <w:rsid w:val="00287512"/>
    <w:rsid w:val="00290763"/>
    <w:rsid w:val="0029077C"/>
    <w:rsid w:val="0029089B"/>
    <w:rsid w:val="0029098B"/>
    <w:rsid w:val="00290A94"/>
    <w:rsid w:val="00290BAA"/>
    <w:rsid w:val="00290E11"/>
    <w:rsid w:val="002910C8"/>
    <w:rsid w:val="0029133C"/>
    <w:rsid w:val="00291E43"/>
    <w:rsid w:val="00292AA8"/>
    <w:rsid w:val="00292B5C"/>
    <w:rsid w:val="00293763"/>
    <w:rsid w:val="00293A00"/>
    <w:rsid w:val="00293B80"/>
    <w:rsid w:val="00293E27"/>
    <w:rsid w:val="002945FC"/>
    <w:rsid w:val="00295189"/>
    <w:rsid w:val="0029593D"/>
    <w:rsid w:val="00296395"/>
    <w:rsid w:val="002966CE"/>
    <w:rsid w:val="00296BFE"/>
    <w:rsid w:val="00296D16"/>
    <w:rsid w:val="0029722A"/>
    <w:rsid w:val="002A059D"/>
    <w:rsid w:val="002A1031"/>
    <w:rsid w:val="002A104F"/>
    <w:rsid w:val="002A1A7C"/>
    <w:rsid w:val="002A284E"/>
    <w:rsid w:val="002A2EE7"/>
    <w:rsid w:val="002A3E84"/>
    <w:rsid w:val="002A4936"/>
    <w:rsid w:val="002A4D30"/>
    <w:rsid w:val="002A5073"/>
    <w:rsid w:val="002A58AA"/>
    <w:rsid w:val="002A6983"/>
    <w:rsid w:val="002A7963"/>
    <w:rsid w:val="002B008C"/>
    <w:rsid w:val="002B12E8"/>
    <w:rsid w:val="002B223F"/>
    <w:rsid w:val="002B2F5F"/>
    <w:rsid w:val="002B3774"/>
    <w:rsid w:val="002B3FF1"/>
    <w:rsid w:val="002B4818"/>
    <w:rsid w:val="002B4959"/>
    <w:rsid w:val="002B4CFE"/>
    <w:rsid w:val="002B5123"/>
    <w:rsid w:val="002B595B"/>
    <w:rsid w:val="002B5B05"/>
    <w:rsid w:val="002B5BF3"/>
    <w:rsid w:val="002B5E50"/>
    <w:rsid w:val="002B6753"/>
    <w:rsid w:val="002B6B95"/>
    <w:rsid w:val="002B6EA9"/>
    <w:rsid w:val="002B7384"/>
    <w:rsid w:val="002B7C13"/>
    <w:rsid w:val="002C03C5"/>
    <w:rsid w:val="002C07E1"/>
    <w:rsid w:val="002C08E0"/>
    <w:rsid w:val="002C1034"/>
    <w:rsid w:val="002C2222"/>
    <w:rsid w:val="002C2ADF"/>
    <w:rsid w:val="002C3D59"/>
    <w:rsid w:val="002C61E2"/>
    <w:rsid w:val="002C652F"/>
    <w:rsid w:val="002C698C"/>
    <w:rsid w:val="002C7DF3"/>
    <w:rsid w:val="002D05C7"/>
    <w:rsid w:val="002D08C2"/>
    <w:rsid w:val="002D09DC"/>
    <w:rsid w:val="002D0ECA"/>
    <w:rsid w:val="002D1353"/>
    <w:rsid w:val="002D144C"/>
    <w:rsid w:val="002D1ABB"/>
    <w:rsid w:val="002D28D8"/>
    <w:rsid w:val="002D2F73"/>
    <w:rsid w:val="002D2FDD"/>
    <w:rsid w:val="002D33F4"/>
    <w:rsid w:val="002D3B02"/>
    <w:rsid w:val="002D438E"/>
    <w:rsid w:val="002D4455"/>
    <w:rsid w:val="002D4FAE"/>
    <w:rsid w:val="002D5220"/>
    <w:rsid w:val="002D5306"/>
    <w:rsid w:val="002D5374"/>
    <w:rsid w:val="002D53AC"/>
    <w:rsid w:val="002D56B7"/>
    <w:rsid w:val="002D604F"/>
    <w:rsid w:val="002D605D"/>
    <w:rsid w:val="002D61A3"/>
    <w:rsid w:val="002D64FF"/>
    <w:rsid w:val="002D682B"/>
    <w:rsid w:val="002D7961"/>
    <w:rsid w:val="002D7998"/>
    <w:rsid w:val="002E136F"/>
    <w:rsid w:val="002E139F"/>
    <w:rsid w:val="002E1C5D"/>
    <w:rsid w:val="002E26E3"/>
    <w:rsid w:val="002E2A6D"/>
    <w:rsid w:val="002E328F"/>
    <w:rsid w:val="002E3925"/>
    <w:rsid w:val="002E3B38"/>
    <w:rsid w:val="002E4084"/>
    <w:rsid w:val="002E48AC"/>
    <w:rsid w:val="002E499D"/>
    <w:rsid w:val="002E5017"/>
    <w:rsid w:val="002E501B"/>
    <w:rsid w:val="002E5307"/>
    <w:rsid w:val="002E54F4"/>
    <w:rsid w:val="002E59AE"/>
    <w:rsid w:val="002E5FC6"/>
    <w:rsid w:val="002E6DA1"/>
    <w:rsid w:val="002E73EC"/>
    <w:rsid w:val="002E75CD"/>
    <w:rsid w:val="002F00A2"/>
    <w:rsid w:val="002F031F"/>
    <w:rsid w:val="002F0865"/>
    <w:rsid w:val="002F1371"/>
    <w:rsid w:val="002F16D6"/>
    <w:rsid w:val="002F1AA7"/>
    <w:rsid w:val="002F2351"/>
    <w:rsid w:val="002F2979"/>
    <w:rsid w:val="002F29B2"/>
    <w:rsid w:val="002F3514"/>
    <w:rsid w:val="002F3CE2"/>
    <w:rsid w:val="002F4648"/>
    <w:rsid w:val="002F4769"/>
    <w:rsid w:val="002F4B78"/>
    <w:rsid w:val="002F4C05"/>
    <w:rsid w:val="002F5437"/>
    <w:rsid w:val="002F6E7F"/>
    <w:rsid w:val="002F7122"/>
    <w:rsid w:val="002F7375"/>
    <w:rsid w:val="002F767B"/>
    <w:rsid w:val="002F7AEB"/>
    <w:rsid w:val="0030010A"/>
    <w:rsid w:val="0030063B"/>
    <w:rsid w:val="003009A2"/>
    <w:rsid w:val="00301B53"/>
    <w:rsid w:val="00301CED"/>
    <w:rsid w:val="00301F13"/>
    <w:rsid w:val="00302183"/>
    <w:rsid w:val="00302251"/>
    <w:rsid w:val="00302977"/>
    <w:rsid w:val="0030298E"/>
    <w:rsid w:val="00303355"/>
    <w:rsid w:val="00303BB8"/>
    <w:rsid w:val="00304B71"/>
    <w:rsid w:val="003051CE"/>
    <w:rsid w:val="00305613"/>
    <w:rsid w:val="00305AC5"/>
    <w:rsid w:val="00306A31"/>
    <w:rsid w:val="003072E6"/>
    <w:rsid w:val="0030783B"/>
    <w:rsid w:val="00310027"/>
    <w:rsid w:val="00310A70"/>
    <w:rsid w:val="003112FF"/>
    <w:rsid w:val="00311FDC"/>
    <w:rsid w:val="0031215A"/>
    <w:rsid w:val="00312B1E"/>
    <w:rsid w:val="00312C0C"/>
    <w:rsid w:val="00312C60"/>
    <w:rsid w:val="00312DB7"/>
    <w:rsid w:val="00313C43"/>
    <w:rsid w:val="0031440B"/>
    <w:rsid w:val="003150C5"/>
    <w:rsid w:val="00315BF7"/>
    <w:rsid w:val="00315DD6"/>
    <w:rsid w:val="0031633A"/>
    <w:rsid w:val="003171E1"/>
    <w:rsid w:val="00317A8A"/>
    <w:rsid w:val="00317C67"/>
    <w:rsid w:val="00317D32"/>
    <w:rsid w:val="0032048F"/>
    <w:rsid w:val="003209CB"/>
    <w:rsid w:val="00321E72"/>
    <w:rsid w:val="00322662"/>
    <w:rsid w:val="00322958"/>
    <w:rsid w:val="0032350C"/>
    <w:rsid w:val="0032480A"/>
    <w:rsid w:val="003250B8"/>
    <w:rsid w:val="003255D6"/>
    <w:rsid w:val="003259A3"/>
    <w:rsid w:val="00326201"/>
    <w:rsid w:val="003266AC"/>
    <w:rsid w:val="003307AB"/>
    <w:rsid w:val="00331BD7"/>
    <w:rsid w:val="00331F27"/>
    <w:rsid w:val="003325E5"/>
    <w:rsid w:val="00332E4C"/>
    <w:rsid w:val="003334A3"/>
    <w:rsid w:val="003340C8"/>
    <w:rsid w:val="003344CE"/>
    <w:rsid w:val="00335790"/>
    <w:rsid w:val="00335F32"/>
    <w:rsid w:val="00336B52"/>
    <w:rsid w:val="00336BEF"/>
    <w:rsid w:val="003374AE"/>
    <w:rsid w:val="0034020F"/>
    <w:rsid w:val="00340FA1"/>
    <w:rsid w:val="00341CCF"/>
    <w:rsid w:val="00341E36"/>
    <w:rsid w:val="003431E2"/>
    <w:rsid w:val="003437AE"/>
    <w:rsid w:val="0034414D"/>
    <w:rsid w:val="00344381"/>
    <w:rsid w:val="00344D56"/>
    <w:rsid w:val="00346850"/>
    <w:rsid w:val="00346C6D"/>
    <w:rsid w:val="00346E2A"/>
    <w:rsid w:val="00346FBB"/>
    <w:rsid w:val="0034757F"/>
    <w:rsid w:val="00347675"/>
    <w:rsid w:val="0034780A"/>
    <w:rsid w:val="00347E29"/>
    <w:rsid w:val="00350673"/>
    <w:rsid w:val="003506F6"/>
    <w:rsid w:val="00350B70"/>
    <w:rsid w:val="00350C3E"/>
    <w:rsid w:val="003517D1"/>
    <w:rsid w:val="00351863"/>
    <w:rsid w:val="00353663"/>
    <w:rsid w:val="0035493B"/>
    <w:rsid w:val="00354AA2"/>
    <w:rsid w:val="00354BC5"/>
    <w:rsid w:val="00354F52"/>
    <w:rsid w:val="00355269"/>
    <w:rsid w:val="00355705"/>
    <w:rsid w:val="0035595B"/>
    <w:rsid w:val="00357353"/>
    <w:rsid w:val="0036000F"/>
    <w:rsid w:val="0036029A"/>
    <w:rsid w:val="00360763"/>
    <w:rsid w:val="00360CD8"/>
    <w:rsid w:val="003616FC"/>
    <w:rsid w:val="00361ABD"/>
    <w:rsid w:val="00362DFF"/>
    <w:rsid w:val="00362ED1"/>
    <w:rsid w:val="003634CA"/>
    <w:rsid w:val="0036468C"/>
    <w:rsid w:val="00365459"/>
    <w:rsid w:val="00365E0D"/>
    <w:rsid w:val="00366669"/>
    <w:rsid w:val="0036699D"/>
    <w:rsid w:val="00367C4D"/>
    <w:rsid w:val="00367CBC"/>
    <w:rsid w:val="003712E6"/>
    <w:rsid w:val="00371BC0"/>
    <w:rsid w:val="00372036"/>
    <w:rsid w:val="0037246D"/>
    <w:rsid w:val="00372824"/>
    <w:rsid w:val="00373940"/>
    <w:rsid w:val="00373A3C"/>
    <w:rsid w:val="00373AD4"/>
    <w:rsid w:val="0037447C"/>
    <w:rsid w:val="00374CD8"/>
    <w:rsid w:val="003755D2"/>
    <w:rsid w:val="00375955"/>
    <w:rsid w:val="00375C35"/>
    <w:rsid w:val="00375CBF"/>
    <w:rsid w:val="00375D13"/>
    <w:rsid w:val="00375EFC"/>
    <w:rsid w:val="0037662E"/>
    <w:rsid w:val="003767F1"/>
    <w:rsid w:val="00377A54"/>
    <w:rsid w:val="00377E33"/>
    <w:rsid w:val="00380371"/>
    <w:rsid w:val="003806B1"/>
    <w:rsid w:val="00380789"/>
    <w:rsid w:val="00380A8A"/>
    <w:rsid w:val="00380AE0"/>
    <w:rsid w:val="00381DFE"/>
    <w:rsid w:val="00381FD6"/>
    <w:rsid w:val="0038229E"/>
    <w:rsid w:val="00382C44"/>
    <w:rsid w:val="00383136"/>
    <w:rsid w:val="003835A0"/>
    <w:rsid w:val="00383769"/>
    <w:rsid w:val="003837CC"/>
    <w:rsid w:val="00383BF2"/>
    <w:rsid w:val="00384707"/>
    <w:rsid w:val="0038555E"/>
    <w:rsid w:val="00385BB3"/>
    <w:rsid w:val="003866CF"/>
    <w:rsid w:val="0038697E"/>
    <w:rsid w:val="003870C4"/>
    <w:rsid w:val="003878E1"/>
    <w:rsid w:val="0039001A"/>
    <w:rsid w:val="003904B9"/>
    <w:rsid w:val="00391BF2"/>
    <w:rsid w:val="00392854"/>
    <w:rsid w:val="003929E6"/>
    <w:rsid w:val="00392C13"/>
    <w:rsid w:val="00393044"/>
    <w:rsid w:val="003933BA"/>
    <w:rsid w:val="00394187"/>
    <w:rsid w:val="00394AB2"/>
    <w:rsid w:val="00394ECD"/>
    <w:rsid w:val="0039578B"/>
    <w:rsid w:val="003959C8"/>
    <w:rsid w:val="00395A84"/>
    <w:rsid w:val="00395CFE"/>
    <w:rsid w:val="00396174"/>
    <w:rsid w:val="003962B3"/>
    <w:rsid w:val="00396BC3"/>
    <w:rsid w:val="0039746A"/>
    <w:rsid w:val="0039781E"/>
    <w:rsid w:val="00397B89"/>
    <w:rsid w:val="00397E39"/>
    <w:rsid w:val="003A009E"/>
    <w:rsid w:val="003A14FF"/>
    <w:rsid w:val="003A16E1"/>
    <w:rsid w:val="003A1FA3"/>
    <w:rsid w:val="003A2748"/>
    <w:rsid w:val="003A2C7D"/>
    <w:rsid w:val="003A2F14"/>
    <w:rsid w:val="003A30F3"/>
    <w:rsid w:val="003A37FB"/>
    <w:rsid w:val="003A4178"/>
    <w:rsid w:val="003A4377"/>
    <w:rsid w:val="003A4396"/>
    <w:rsid w:val="003A5A89"/>
    <w:rsid w:val="003A6554"/>
    <w:rsid w:val="003A6681"/>
    <w:rsid w:val="003A686A"/>
    <w:rsid w:val="003A6C6E"/>
    <w:rsid w:val="003A76BA"/>
    <w:rsid w:val="003A797E"/>
    <w:rsid w:val="003A7B20"/>
    <w:rsid w:val="003B08B2"/>
    <w:rsid w:val="003B0CC5"/>
    <w:rsid w:val="003B0FBF"/>
    <w:rsid w:val="003B14D4"/>
    <w:rsid w:val="003B15A8"/>
    <w:rsid w:val="003B2001"/>
    <w:rsid w:val="003B2C87"/>
    <w:rsid w:val="003B3434"/>
    <w:rsid w:val="003B4321"/>
    <w:rsid w:val="003B4892"/>
    <w:rsid w:val="003B49D7"/>
    <w:rsid w:val="003B51C2"/>
    <w:rsid w:val="003B5933"/>
    <w:rsid w:val="003B5E56"/>
    <w:rsid w:val="003B686F"/>
    <w:rsid w:val="003B7453"/>
    <w:rsid w:val="003C00F9"/>
    <w:rsid w:val="003C066A"/>
    <w:rsid w:val="003C0EE2"/>
    <w:rsid w:val="003C144A"/>
    <w:rsid w:val="003C178D"/>
    <w:rsid w:val="003C1899"/>
    <w:rsid w:val="003C1ADA"/>
    <w:rsid w:val="003C1E96"/>
    <w:rsid w:val="003C20DE"/>
    <w:rsid w:val="003C2419"/>
    <w:rsid w:val="003C24A0"/>
    <w:rsid w:val="003C25D0"/>
    <w:rsid w:val="003C2E96"/>
    <w:rsid w:val="003C33CC"/>
    <w:rsid w:val="003C39F4"/>
    <w:rsid w:val="003C4391"/>
    <w:rsid w:val="003C559A"/>
    <w:rsid w:val="003C570F"/>
    <w:rsid w:val="003C5851"/>
    <w:rsid w:val="003C5CCB"/>
    <w:rsid w:val="003C6A46"/>
    <w:rsid w:val="003C716C"/>
    <w:rsid w:val="003D01E7"/>
    <w:rsid w:val="003D05E9"/>
    <w:rsid w:val="003D0E2E"/>
    <w:rsid w:val="003D0E9F"/>
    <w:rsid w:val="003D11C2"/>
    <w:rsid w:val="003D1458"/>
    <w:rsid w:val="003D1B44"/>
    <w:rsid w:val="003D1D21"/>
    <w:rsid w:val="003D28CE"/>
    <w:rsid w:val="003D2C6D"/>
    <w:rsid w:val="003D35BF"/>
    <w:rsid w:val="003D4C24"/>
    <w:rsid w:val="003D5DF9"/>
    <w:rsid w:val="003D69A1"/>
    <w:rsid w:val="003E086F"/>
    <w:rsid w:val="003E1215"/>
    <w:rsid w:val="003E1387"/>
    <w:rsid w:val="003E13B8"/>
    <w:rsid w:val="003E16E0"/>
    <w:rsid w:val="003E25C9"/>
    <w:rsid w:val="003E2B0B"/>
    <w:rsid w:val="003E2B66"/>
    <w:rsid w:val="003E30D5"/>
    <w:rsid w:val="003E329A"/>
    <w:rsid w:val="003E35FF"/>
    <w:rsid w:val="003E390A"/>
    <w:rsid w:val="003E47E3"/>
    <w:rsid w:val="003E5313"/>
    <w:rsid w:val="003E5B30"/>
    <w:rsid w:val="003E6514"/>
    <w:rsid w:val="003E6544"/>
    <w:rsid w:val="003E6B7B"/>
    <w:rsid w:val="003E6F3B"/>
    <w:rsid w:val="003E7679"/>
    <w:rsid w:val="003E7B2C"/>
    <w:rsid w:val="003F027A"/>
    <w:rsid w:val="003F0F30"/>
    <w:rsid w:val="003F1285"/>
    <w:rsid w:val="003F1961"/>
    <w:rsid w:val="003F2500"/>
    <w:rsid w:val="003F2539"/>
    <w:rsid w:val="003F261C"/>
    <w:rsid w:val="003F2633"/>
    <w:rsid w:val="003F2B44"/>
    <w:rsid w:val="003F2E92"/>
    <w:rsid w:val="003F33EB"/>
    <w:rsid w:val="003F347D"/>
    <w:rsid w:val="003F36E9"/>
    <w:rsid w:val="003F4746"/>
    <w:rsid w:val="003F6D05"/>
    <w:rsid w:val="003F7084"/>
    <w:rsid w:val="003F7C42"/>
    <w:rsid w:val="00400019"/>
    <w:rsid w:val="00400A32"/>
    <w:rsid w:val="00400A4C"/>
    <w:rsid w:val="00400D7E"/>
    <w:rsid w:val="00400EEE"/>
    <w:rsid w:val="0040169C"/>
    <w:rsid w:val="00401B2F"/>
    <w:rsid w:val="00402176"/>
    <w:rsid w:val="0040225B"/>
    <w:rsid w:val="00402332"/>
    <w:rsid w:val="00402793"/>
    <w:rsid w:val="00402854"/>
    <w:rsid w:val="0040287E"/>
    <w:rsid w:val="00402FDA"/>
    <w:rsid w:val="00403D92"/>
    <w:rsid w:val="00404548"/>
    <w:rsid w:val="004048F2"/>
    <w:rsid w:val="00404A55"/>
    <w:rsid w:val="00404D28"/>
    <w:rsid w:val="004056D6"/>
    <w:rsid w:val="00405801"/>
    <w:rsid w:val="00405D92"/>
    <w:rsid w:val="00405DF2"/>
    <w:rsid w:val="00405EEB"/>
    <w:rsid w:val="004062D1"/>
    <w:rsid w:val="004064CD"/>
    <w:rsid w:val="004122E4"/>
    <w:rsid w:val="00412A0E"/>
    <w:rsid w:val="00412E5E"/>
    <w:rsid w:val="00412F68"/>
    <w:rsid w:val="00412FA7"/>
    <w:rsid w:val="004135B7"/>
    <w:rsid w:val="004138A4"/>
    <w:rsid w:val="0041462B"/>
    <w:rsid w:val="00414AB9"/>
    <w:rsid w:val="00414BD2"/>
    <w:rsid w:val="00415A34"/>
    <w:rsid w:val="00415AB7"/>
    <w:rsid w:val="00415DA0"/>
    <w:rsid w:val="00415FA1"/>
    <w:rsid w:val="00416A14"/>
    <w:rsid w:val="00417227"/>
    <w:rsid w:val="00417BE8"/>
    <w:rsid w:val="00417DB1"/>
    <w:rsid w:val="00420268"/>
    <w:rsid w:val="004205C4"/>
    <w:rsid w:val="0042072B"/>
    <w:rsid w:val="0042161E"/>
    <w:rsid w:val="00421DBD"/>
    <w:rsid w:val="00422383"/>
    <w:rsid w:val="004225DB"/>
    <w:rsid w:val="00422C1C"/>
    <w:rsid w:val="004236C1"/>
    <w:rsid w:val="00423C9A"/>
    <w:rsid w:val="00423D7D"/>
    <w:rsid w:val="00424459"/>
    <w:rsid w:val="004252AD"/>
    <w:rsid w:val="004253FB"/>
    <w:rsid w:val="00426374"/>
    <w:rsid w:val="00426479"/>
    <w:rsid w:val="004268A3"/>
    <w:rsid w:val="00427533"/>
    <w:rsid w:val="00427843"/>
    <w:rsid w:val="00427E51"/>
    <w:rsid w:val="0043011C"/>
    <w:rsid w:val="004303C5"/>
    <w:rsid w:val="0043066B"/>
    <w:rsid w:val="00430881"/>
    <w:rsid w:val="004309BF"/>
    <w:rsid w:val="00431880"/>
    <w:rsid w:val="00431C20"/>
    <w:rsid w:val="00433E2C"/>
    <w:rsid w:val="0043456A"/>
    <w:rsid w:val="00434B13"/>
    <w:rsid w:val="00434BF4"/>
    <w:rsid w:val="0043537D"/>
    <w:rsid w:val="004355B1"/>
    <w:rsid w:val="00435640"/>
    <w:rsid w:val="00436335"/>
    <w:rsid w:val="004378CA"/>
    <w:rsid w:val="0043793B"/>
    <w:rsid w:val="004405FF"/>
    <w:rsid w:val="004412D5"/>
    <w:rsid w:val="004426A2"/>
    <w:rsid w:val="0044277B"/>
    <w:rsid w:val="004428D9"/>
    <w:rsid w:val="00442F82"/>
    <w:rsid w:val="00443149"/>
    <w:rsid w:val="004436B8"/>
    <w:rsid w:val="00444354"/>
    <w:rsid w:val="004444DC"/>
    <w:rsid w:val="004452D5"/>
    <w:rsid w:val="00445634"/>
    <w:rsid w:val="0044587E"/>
    <w:rsid w:val="00445E80"/>
    <w:rsid w:val="00446C8B"/>
    <w:rsid w:val="004470E0"/>
    <w:rsid w:val="004472BE"/>
    <w:rsid w:val="00450025"/>
    <w:rsid w:val="004502EE"/>
    <w:rsid w:val="00450E79"/>
    <w:rsid w:val="00451092"/>
    <w:rsid w:val="004513BA"/>
    <w:rsid w:val="00451D74"/>
    <w:rsid w:val="00451FE9"/>
    <w:rsid w:val="004528F4"/>
    <w:rsid w:val="004530DD"/>
    <w:rsid w:val="00453436"/>
    <w:rsid w:val="00453B15"/>
    <w:rsid w:val="00453C42"/>
    <w:rsid w:val="00453FEA"/>
    <w:rsid w:val="004544AA"/>
    <w:rsid w:val="00454CDD"/>
    <w:rsid w:val="00454DAC"/>
    <w:rsid w:val="00454EC6"/>
    <w:rsid w:val="0045518F"/>
    <w:rsid w:val="004558CC"/>
    <w:rsid w:val="004558D1"/>
    <w:rsid w:val="00455979"/>
    <w:rsid w:val="004559C6"/>
    <w:rsid w:val="004562FB"/>
    <w:rsid w:val="00456557"/>
    <w:rsid w:val="00456A55"/>
    <w:rsid w:val="00456A5F"/>
    <w:rsid w:val="00456C8F"/>
    <w:rsid w:val="00457009"/>
    <w:rsid w:val="00457469"/>
    <w:rsid w:val="004603EC"/>
    <w:rsid w:val="00460517"/>
    <w:rsid w:val="00460816"/>
    <w:rsid w:val="00460F71"/>
    <w:rsid w:val="00461C7B"/>
    <w:rsid w:val="00462A57"/>
    <w:rsid w:val="00462CEB"/>
    <w:rsid w:val="0046312A"/>
    <w:rsid w:val="00465B51"/>
    <w:rsid w:val="00465EBC"/>
    <w:rsid w:val="004661F5"/>
    <w:rsid w:val="004663B1"/>
    <w:rsid w:val="0046688A"/>
    <w:rsid w:val="004668D7"/>
    <w:rsid w:val="004670E4"/>
    <w:rsid w:val="00467D01"/>
    <w:rsid w:val="0047053D"/>
    <w:rsid w:val="00471448"/>
    <w:rsid w:val="00471BC4"/>
    <w:rsid w:val="00471EFB"/>
    <w:rsid w:val="0047263A"/>
    <w:rsid w:val="00472A16"/>
    <w:rsid w:val="00472A26"/>
    <w:rsid w:val="00472E27"/>
    <w:rsid w:val="00472E99"/>
    <w:rsid w:val="00472F39"/>
    <w:rsid w:val="004733E3"/>
    <w:rsid w:val="00473A38"/>
    <w:rsid w:val="00473FC0"/>
    <w:rsid w:val="00474097"/>
    <w:rsid w:val="004741D8"/>
    <w:rsid w:val="00474670"/>
    <w:rsid w:val="004746EF"/>
    <w:rsid w:val="00474996"/>
    <w:rsid w:val="00474F54"/>
    <w:rsid w:val="004752C9"/>
    <w:rsid w:val="004767A6"/>
    <w:rsid w:val="00476807"/>
    <w:rsid w:val="00476B2B"/>
    <w:rsid w:val="0047759A"/>
    <w:rsid w:val="0047775E"/>
    <w:rsid w:val="00477F05"/>
    <w:rsid w:val="0048012F"/>
    <w:rsid w:val="00480327"/>
    <w:rsid w:val="00480C0C"/>
    <w:rsid w:val="00481D6F"/>
    <w:rsid w:val="00482127"/>
    <w:rsid w:val="00482377"/>
    <w:rsid w:val="004824EA"/>
    <w:rsid w:val="00483867"/>
    <w:rsid w:val="00484A1C"/>
    <w:rsid w:val="00484B3D"/>
    <w:rsid w:val="00484F2D"/>
    <w:rsid w:val="00484F42"/>
    <w:rsid w:val="00484FB2"/>
    <w:rsid w:val="0048544B"/>
    <w:rsid w:val="004855CE"/>
    <w:rsid w:val="0048571A"/>
    <w:rsid w:val="0048578F"/>
    <w:rsid w:val="00485B1D"/>
    <w:rsid w:val="00486450"/>
    <w:rsid w:val="004864FE"/>
    <w:rsid w:val="00486D86"/>
    <w:rsid w:val="00487B5F"/>
    <w:rsid w:val="004907E1"/>
    <w:rsid w:val="00490E36"/>
    <w:rsid w:val="00490F7F"/>
    <w:rsid w:val="004920B5"/>
    <w:rsid w:val="00492742"/>
    <w:rsid w:val="00492A46"/>
    <w:rsid w:val="00492DD1"/>
    <w:rsid w:val="00494047"/>
    <w:rsid w:val="004941E7"/>
    <w:rsid w:val="004942B1"/>
    <w:rsid w:val="0049504B"/>
    <w:rsid w:val="0049570B"/>
    <w:rsid w:val="0049592C"/>
    <w:rsid w:val="00495B20"/>
    <w:rsid w:val="00495C9C"/>
    <w:rsid w:val="00495E2E"/>
    <w:rsid w:val="00495E6B"/>
    <w:rsid w:val="0049626E"/>
    <w:rsid w:val="004969E7"/>
    <w:rsid w:val="00496CF9"/>
    <w:rsid w:val="004971FE"/>
    <w:rsid w:val="004973CA"/>
    <w:rsid w:val="00497975"/>
    <w:rsid w:val="00497D0A"/>
    <w:rsid w:val="004A0ED5"/>
    <w:rsid w:val="004A14D7"/>
    <w:rsid w:val="004A1891"/>
    <w:rsid w:val="004A245D"/>
    <w:rsid w:val="004A268B"/>
    <w:rsid w:val="004A2880"/>
    <w:rsid w:val="004A28A3"/>
    <w:rsid w:val="004A296E"/>
    <w:rsid w:val="004A307A"/>
    <w:rsid w:val="004A3846"/>
    <w:rsid w:val="004A3D38"/>
    <w:rsid w:val="004A3E10"/>
    <w:rsid w:val="004A3F38"/>
    <w:rsid w:val="004A3F8B"/>
    <w:rsid w:val="004A41D0"/>
    <w:rsid w:val="004A4529"/>
    <w:rsid w:val="004A6261"/>
    <w:rsid w:val="004A66B1"/>
    <w:rsid w:val="004A7489"/>
    <w:rsid w:val="004A74D7"/>
    <w:rsid w:val="004A7897"/>
    <w:rsid w:val="004A7B75"/>
    <w:rsid w:val="004A7C18"/>
    <w:rsid w:val="004B028C"/>
    <w:rsid w:val="004B0C51"/>
    <w:rsid w:val="004B0EAF"/>
    <w:rsid w:val="004B1099"/>
    <w:rsid w:val="004B248E"/>
    <w:rsid w:val="004B28FE"/>
    <w:rsid w:val="004B2C83"/>
    <w:rsid w:val="004B36F6"/>
    <w:rsid w:val="004B419B"/>
    <w:rsid w:val="004B41B8"/>
    <w:rsid w:val="004B4402"/>
    <w:rsid w:val="004B4C36"/>
    <w:rsid w:val="004B5061"/>
    <w:rsid w:val="004B51BB"/>
    <w:rsid w:val="004B57E6"/>
    <w:rsid w:val="004B5D90"/>
    <w:rsid w:val="004B6474"/>
    <w:rsid w:val="004B7C6D"/>
    <w:rsid w:val="004B7D6B"/>
    <w:rsid w:val="004C0190"/>
    <w:rsid w:val="004C0284"/>
    <w:rsid w:val="004C043D"/>
    <w:rsid w:val="004C06F9"/>
    <w:rsid w:val="004C0D7D"/>
    <w:rsid w:val="004C107B"/>
    <w:rsid w:val="004C1866"/>
    <w:rsid w:val="004C1DBB"/>
    <w:rsid w:val="004C2B6F"/>
    <w:rsid w:val="004C31F1"/>
    <w:rsid w:val="004C3B1A"/>
    <w:rsid w:val="004C3D69"/>
    <w:rsid w:val="004C3E74"/>
    <w:rsid w:val="004C5F7D"/>
    <w:rsid w:val="004C654B"/>
    <w:rsid w:val="004C6CAD"/>
    <w:rsid w:val="004C709E"/>
    <w:rsid w:val="004C796D"/>
    <w:rsid w:val="004C7A5D"/>
    <w:rsid w:val="004C7D9D"/>
    <w:rsid w:val="004C7EA5"/>
    <w:rsid w:val="004C7F8D"/>
    <w:rsid w:val="004D021F"/>
    <w:rsid w:val="004D0670"/>
    <w:rsid w:val="004D0838"/>
    <w:rsid w:val="004D12B2"/>
    <w:rsid w:val="004D20BF"/>
    <w:rsid w:val="004D2D90"/>
    <w:rsid w:val="004D4544"/>
    <w:rsid w:val="004D473A"/>
    <w:rsid w:val="004D4750"/>
    <w:rsid w:val="004D481C"/>
    <w:rsid w:val="004D4AEE"/>
    <w:rsid w:val="004D5642"/>
    <w:rsid w:val="004D56C7"/>
    <w:rsid w:val="004D5A29"/>
    <w:rsid w:val="004D6741"/>
    <w:rsid w:val="004D7B02"/>
    <w:rsid w:val="004E022C"/>
    <w:rsid w:val="004E0651"/>
    <w:rsid w:val="004E0C0D"/>
    <w:rsid w:val="004E0FF2"/>
    <w:rsid w:val="004E10BE"/>
    <w:rsid w:val="004E126E"/>
    <w:rsid w:val="004E2012"/>
    <w:rsid w:val="004E207A"/>
    <w:rsid w:val="004E2BD4"/>
    <w:rsid w:val="004E2C53"/>
    <w:rsid w:val="004E32B0"/>
    <w:rsid w:val="004E3602"/>
    <w:rsid w:val="004E3C8E"/>
    <w:rsid w:val="004E4433"/>
    <w:rsid w:val="004E46F7"/>
    <w:rsid w:val="004E6040"/>
    <w:rsid w:val="004E63DD"/>
    <w:rsid w:val="004E648A"/>
    <w:rsid w:val="004E6E19"/>
    <w:rsid w:val="004E7115"/>
    <w:rsid w:val="004F04EB"/>
    <w:rsid w:val="004F053D"/>
    <w:rsid w:val="004F0A03"/>
    <w:rsid w:val="004F0D85"/>
    <w:rsid w:val="004F0F85"/>
    <w:rsid w:val="004F13E8"/>
    <w:rsid w:val="004F20B3"/>
    <w:rsid w:val="004F24E0"/>
    <w:rsid w:val="004F25E3"/>
    <w:rsid w:val="004F3A8D"/>
    <w:rsid w:val="004F3BB1"/>
    <w:rsid w:val="004F532F"/>
    <w:rsid w:val="004F558D"/>
    <w:rsid w:val="004F621C"/>
    <w:rsid w:val="004F69F2"/>
    <w:rsid w:val="004F7668"/>
    <w:rsid w:val="004F7938"/>
    <w:rsid w:val="004F7989"/>
    <w:rsid w:val="004F7BA4"/>
    <w:rsid w:val="004F7E33"/>
    <w:rsid w:val="0050064B"/>
    <w:rsid w:val="005006A0"/>
    <w:rsid w:val="00500B88"/>
    <w:rsid w:val="005012DC"/>
    <w:rsid w:val="005014C6"/>
    <w:rsid w:val="0050225F"/>
    <w:rsid w:val="00502A00"/>
    <w:rsid w:val="0050316A"/>
    <w:rsid w:val="00503C13"/>
    <w:rsid w:val="00503C48"/>
    <w:rsid w:val="005040A0"/>
    <w:rsid w:val="0050438D"/>
    <w:rsid w:val="00505855"/>
    <w:rsid w:val="00505F30"/>
    <w:rsid w:val="0050610C"/>
    <w:rsid w:val="00506156"/>
    <w:rsid w:val="00506CA2"/>
    <w:rsid w:val="00507429"/>
    <w:rsid w:val="005075B2"/>
    <w:rsid w:val="005079B4"/>
    <w:rsid w:val="00507BE8"/>
    <w:rsid w:val="00507E38"/>
    <w:rsid w:val="00507FDC"/>
    <w:rsid w:val="0051031B"/>
    <w:rsid w:val="00510DCE"/>
    <w:rsid w:val="00511462"/>
    <w:rsid w:val="00511BB8"/>
    <w:rsid w:val="00511F02"/>
    <w:rsid w:val="005123BA"/>
    <w:rsid w:val="00512A0F"/>
    <w:rsid w:val="00512B50"/>
    <w:rsid w:val="00513CAB"/>
    <w:rsid w:val="00514391"/>
    <w:rsid w:val="00514A60"/>
    <w:rsid w:val="00514D6A"/>
    <w:rsid w:val="00516439"/>
    <w:rsid w:val="005164F1"/>
    <w:rsid w:val="005169F1"/>
    <w:rsid w:val="00516EA4"/>
    <w:rsid w:val="00517C11"/>
    <w:rsid w:val="00520910"/>
    <w:rsid w:val="00520920"/>
    <w:rsid w:val="00520A37"/>
    <w:rsid w:val="00520AF3"/>
    <w:rsid w:val="00521208"/>
    <w:rsid w:val="00521B5E"/>
    <w:rsid w:val="00523606"/>
    <w:rsid w:val="0052374C"/>
    <w:rsid w:val="00523E87"/>
    <w:rsid w:val="005254C5"/>
    <w:rsid w:val="005255A2"/>
    <w:rsid w:val="00525872"/>
    <w:rsid w:val="00525BC5"/>
    <w:rsid w:val="00525CA9"/>
    <w:rsid w:val="00526777"/>
    <w:rsid w:val="00526BBC"/>
    <w:rsid w:val="00527666"/>
    <w:rsid w:val="0052772E"/>
    <w:rsid w:val="00527A02"/>
    <w:rsid w:val="00527C0B"/>
    <w:rsid w:val="00530932"/>
    <w:rsid w:val="00530B99"/>
    <w:rsid w:val="005321BD"/>
    <w:rsid w:val="005326B9"/>
    <w:rsid w:val="00532A02"/>
    <w:rsid w:val="00532A74"/>
    <w:rsid w:val="005335A8"/>
    <w:rsid w:val="00533E47"/>
    <w:rsid w:val="00534B42"/>
    <w:rsid w:val="00534E12"/>
    <w:rsid w:val="005371AF"/>
    <w:rsid w:val="00537775"/>
    <w:rsid w:val="00537BC3"/>
    <w:rsid w:val="005401F9"/>
    <w:rsid w:val="00540340"/>
    <w:rsid w:val="00540DFC"/>
    <w:rsid w:val="00541477"/>
    <w:rsid w:val="00541F19"/>
    <w:rsid w:val="00541F9A"/>
    <w:rsid w:val="00542304"/>
    <w:rsid w:val="005424D8"/>
    <w:rsid w:val="005426A1"/>
    <w:rsid w:val="00543CC8"/>
    <w:rsid w:val="00544385"/>
    <w:rsid w:val="005445E4"/>
    <w:rsid w:val="0054535D"/>
    <w:rsid w:val="0054553F"/>
    <w:rsid w:val="00545E3C"/>
    <w:rsid w:val="00545F2D"/>
    <w:rsid w:val="00546247"/>
    <w:rsid w:val="00546E5A"/>
    <w:rsid w:val="00547223"/>
    <w:rsid w:val="0055107A"/>
    <w:rsid w:val="00551288"/>
    <w:rsid w:val="005515E3"/>
    <w:rsid w:val="00551D21"/>
    <w:rsid w:val="00552295"/>
    <w:rsid w:val="0055386F"/>
    <w:rsid w:val="00554257"/>
    <w:rsid w:val="00555C62"/>
    <w:rsid w:val="00556958"/>
    <w:rsid w:val="00560330"/>
    <w:rsid w:val="005603FA"/>
    <w:rsid w:val="00560E1B"/>
    <w:rsid w:val="00561306"/>
    <w:rsid w:val="005622A2"/>
    <w:rsid w:val="00562C80"/>
    <w:rsid w:val="00563AD8"/>
    <w:rsid w:val="00563D14"/>
    <w:rsid w:val="00564062"/>
    <w:rsid w:val="00564BE8"/>
    <w:rsid w:val="00564E11"/>
    <w:rsid w:val="005651CE"/>
    <w:rsid w:val="005653F1"/>
    <w:rsid w:val="0056671C"/>
    <w:rsid w:val="005667D8"/>
    <w:rsid w:val="0056687B"/>
    <w:rsid w:val="0056687F"/>
    <w:rsid w:val="0056750F"/>
    <w:rsid w:val="00570090"/>
    <w:rsid w:val="00570596"/>
    <w:rsid w:val="005706EF"/>
    <w:rsid w:val="005709F7"/>
    <w:rsid w:val="00570E5B"/>
    <w:rsid w:val="00570EC1"/>
    <w:rsid w:val="0057102B"/>
    <w:rsid w:val="00571273"/>
    <w:rsid w:val="00571591"/>
    <w:rsid w:val="00571D10"/>
    <w:rsid w:val="005720F4"/>
    <w:rsid w:val="005722E8"/>
    <w:rsid w:val="00572588"/>
    <w:rsid w:val="0057299D"/>
    <w:rsid w:val="00573084"/>
    <w:rsid w:val="005731D5"/>
    <w:rsid w:val="0057333E"/>
    <w:rsid w:val="00573A03"/>
    <w:rsid w:val="00574376"/>
    <w:rsid w:val="005754F6"/>
    <w:rsid w:val="00576B3C"/>
    <w:rsid w:val="00576E19"/>
    <w:rsid w:val="005771C8"/>
    <w:rsid w:val="00577C82"/>
    <w:rsid w:val="00577F22"/>
    <w:rsid w:val="00580178"/>
    <w:rsid w:val="005812D2"/>
    <w:rsid w:val="00581478"/>
    <w:rsid w:val="00581670"/>
    <w:rsid w:val="005826D0"/>
    <w:rsid w:val="005827E1"/>
    <w:rsid w:val="00582CE4"/>
    <w:rsid w:val="00583113"/>
    <w:rsid w:val="005838A3"/>
    <w:rsid w:val="00583B1E"/>
    <w:rsid w:val="00583E8C"/>
    <w:rsid w:val="005845D1"/>
    <w:rsid w:val="00584B08"/>
    <w:rsid w:val="00584F64"/>
    <w:rsid w:val="005858FE"/>
    <w:rsid w:val="00585CFD"/>
    <w:rsid w:val="005867EC"/>
    <w:rsid w:val="00586AB1"/>
    <w:rsid w:val="005870C6"/>
    <w:rsid w:val="00587350"/>
    <w:rsid w:val="005873B7"/>
    <w:rsid w:val="0059092C"/>
    <w:rsid w:val="00590FF6"/>
    <w:rsid w:val="00591032"/>
    <w:rsid w:val="00591597"/>
    <w:rsid w:val="0059166B"/>
    <w:rsid w:val="00591AB4"/>
    <w:rsid w:val="00591CE8"/>
    <w:rsid w:val="00592180"/>
    <w:rsid w:val="0059282A"/>
    <w:rsid w:val="00592A36"/>
    <w:rsid w:val="00592F65"/>
    <w:rsid w:val="0059368E"/>
    <w:rsid w:val="005947A8"/>
    <w:rsid w:val="005949C8"/>
    <w:rsid w:val="00594C2C"/>
    <w:rsid w:val="00595400"/>
    <w:rsid w:val="00595E2D"/>
    <w:rsid w:val="005964B6"/>
    <w:rsid w:val="005975CB"/>
    <w:rsid w:val="00597808"/>
    <w:rsid w:val="00597948"/>
    <w:rsid w:val="005A0753"/>
    <w:rsid w:val="005A12B8"/>
    <w:rsid w:val="005A1350"/>
    <w:rsid w:val="005A1443"/>
    <w:rsid w:val="005A15A2"/>
    <w:rsid w:val="005A17F3"/>
    <w:rsid w:val="005A19C6"/>
    <w:rsid w:val="005A1AB5"/>
    <w:rsid w:val="005A2859"/>
    <w:rsid w:val="005A2CCB"/>
    <w:rsid w:val="005A2DB4"/>
    <w:rsid w:val="005A30F4"/>
    <w:rsid w:val="005A38E9"/>
    <w:rsid w:val="005A3C46"/>
    <w:rsid w:val="005A3D98"/>
    <w:rsid w:val="005A44D8"/>
    <w:rsid w:val="005A4C73"/>
    <w:rsid w:val="005A6135"/>
    <w:rsid w:val="005A67C8"/>
    <w:rsid w:val="005A6840"/>
    <w:rsid w:val="005A6CD1"/>
    <w:rsid w:val="005A6FB5"/>
    <w:rsid w:val="005A725A"/>
    <w:rsid w:val="005B047C"/>
    <w:rsid w:val="005B096E"/>
    <w:rsid w:val="005B0C51"/>
    <w:rsid w:val="005B125A"/>
    <w:rsid w:val="005B1E44"/>
    <w:rsid w:val="005B25DC"/>
    <w:rsid w:val="005B2ACD"/>
    <w:rsid w:val="005B2FC3"/>
    <w:rsid w:val="005B4116"/>
    <w:rsid w:val="005B474F"/>
    <w:rsid w:val="005B490A"/>
    <w:rsid w:val="005B4B6C"/>
    <w:rsid w:val="005B5BDA"/>
    <w:rsid w:val="005B6769"/>
    <w:rsid w:val="005B6922"/>
    <w:rsid w:val="005B7041"/>
    <w:rsid w:val="005B7136"/>
    <w:rsid w:val="005B76A7"/>
    <w:rsid w:val="005B7E02"/>
    <w:rsid w:val="005C0486"/>
    <w:rsid w:val="005C0E87"/>
    <w:rsid w:val="005C1482"/>
    <w:rsid w:val="005C2438"/>
    <w:rsid w:val="005C2D55"/>
    <w:rsid w:val="005C2DB6"/>
    <w:rsid w:val="005C32FF"/>
    <w:rsid w:val="005C375F"/>
    <w:rsid w:val="005C3E94"/>
    <w:rsid w:val="005C4697"/>
    <w:rsid w:val="005C56A4"/>
    <w:rsid w:val="005C5837"/>
    <w:rsid w:val="005C5DDD"/>
    <w:rsid w:val="005C629B"/>
    <w:rsid w:val="005C66DC"/>
    <w:rsid w:val="005C6E04"/>
    <w:rsid w:val="005C7092"/>
    <w:rsid w:val="005C75B2"/>
    <w:rsid w:val="005C7727"/>
    <w:rsid w:val="005C78B5"/>
    <w:rsid w:val="005C7BE1"/>
    <w:rsid w:val="005D05A8"/>
    <w:rsid w:val="005D1D43"/>
    <w:rsid w:val="005D1D5F"/>
    <w:rsid w:val="005D1E2A"/>
    <w:rsid w:val="005D2576"/>
    <w:rsid w:val="005D3147"/>
    <w:rsid w:val="005D34EA"/>
    <w:rsid w:val="005D3AF4"/>
    <w:rsid w:val="005D3CCE"/>
    <w:rsid w:val="005D4527"/>
    <w:rsid w:val="005D4AA9"/>
    <w:rsid w:val="005D4E6C"/>
    <w:rsid w:val="005D607B"/>
    <w:rsid w:val="005D75F1"/>
    <w:rsid w:val="005D76AB"/>
    <w:rsid w:val="005D78E3"/>
    <w:rsid w:val="005D7CF2"/>
    <w:rsid w:val="005E04B2"/>
    <w:rsid w:val="005E063C"/>
    <w:rsid w:val="005E081B"/>
    <w:rsid w:val="005E0828"/>
    <w:rsid w:val="005E16B8"/>
    <w:rsid w:val="005E1DA3"/>
    <w:rsid w:val="005E2093"/>
    <w:rsid w:val="005E2A78"/>
    <w:rsid w:val="005E2E03"/>
    <w:rsid w:val="005E4180"/>
    <w:rsid w:val="005E43BB"/>
    <w:rsid w:val="005E43C4"/>
    <w:rsid w:val="005E47D1"/>
    <w:rsid w:val="005E4D30"/>
    <w:rsid w:val="005E544F"/>
    <w:rsid w:val="005E65F9"/>
    <w:rsid w:val="005E7450"/>
    <w:rsid w:val="005E74E6"/>
    <w:rsid w:val="005E7A60"/>
    <w:rsid w:val="005E7B6B"/>
    <w:rsid w:val="005E7C37"/>
    <w:rsid w:val="005E7D79"/>
    <w:rsid w:val="005E7E33"/>
    <w:rsid w:val="005E7E65"/>
    <w:rsid w:val="005F0611"/>
    <w:rsid w:val="005F0A49"/>
    <w:rsid w:val="005F0A59"/>
    <w:rsid w:val="005F13A5"/>
    <w:rsid w:val="005F2128"/>
    <w:rsid w:val="005F2676"/>
    <w:rsid w:val="005F2B15"/>
    <w:rsid w:val="005F2CDF"/>
    <w:rsid w:val="005F3025"/>
    <w:rsid w:val="005F3081"/>
    <w:rsid w:val="005F31A9"/>
    <w:rsid w:val="005F3620"/>
    <w:rsid w:val="005F3BCD"/>
    <w:rsid w:val="005F3C99"/>
    <w:rsid w:val="005F3D90"/>
    <w:rsid w:val="005F42B2"/>
    <w:rsid w:val="005F4522"/>
    <w:rsid w:val="005F4696"/>
    <w:rsid w:val="005F4DD0"/>
    <w:rsid w:val="005F516A"/>
    <w:rsid w:val="005F5578"/>
    <w:rsid w:val="005F59A3"/>
    <w:rsid w:val="005F5BD6"/>
    <w:rsid w:val="005F5C56"/>
    <w:rsid w:val="005F7503"/>
    <w:rsid w:val="005F7601"/>
    <w:rsid w:val="005F7E35"/>
    <w:rsid w:val="006008AC"/>
    <w:rsid w:val="0060100D"/>
    <w:rsid w:val="006010E5"/>
    <w:rsid w:val="0060132A"/>
    <w:rsid w:val="00601CD2"/>
    <w:rsid w:val="00601DC9"/>
    <w:rsid w:val="006022DF"/>
    <w:rsid w:val="00602475"/>
    <w:rsid w:val="00603F6D"/>
    <w:rsid w:val="006041D8"/>
    <w:rsid w:val="00604399"/>
    <w:rsid w:val="006046B5"/>
    <w:rsid w:val="00604AFC"/>
    <w:rsid w:val="00604DAE"/>
    <w:rsid w:val="006053DB"/>
    <w:rsid w:val="00605AC8"/>
    <w:rsid w:val="00605D7E"/>
    <w:rsid w:val="00605E0B"/>
    <w:rsid w:val="00605F67"/>
    <w:rsid w:val="00606153"/>
    <w:rsid w:val="00606969"/>
    <w:rsid w:val="00606D2E"/>
    <w:rsid w:val="00606EEB"/>
    <w:rsid w:val="006110B2"/>
    <w:rsid w:val="006119F5"/>
    <w:rsid w:val="00613591"/>
    <w:rsid w:val="00614125"/>
    <w:rsid w:val="00614142"/>
    <w:rsid w:val="006152A0"/>
    <w:rsid w:val="0061562D"/>
    <w:rsid w:val="006157EF"/>
    <w:rsid w:val="00615C35"/>
    <w:rsid w:val="00615C49"/>
    <w:rsid w:val="006161BE"/>
    <w:rsid w:val="00617212"/>
    <w:rsid w:val="0061782E"/>
    <w:rsid w:val="00617CC3"/>
    <w:rsid w:val="00617D3A"/>
    <w:rsid w:val="0062015F"/>
    <w:rsid w:val="00620213"/>
    <w:rsid w:val="00620A5F"/>
    <w:rsid w:val="00620A8C"/>
    <w:rsid w:val="00620CE3"/>
    <w:rsid w:val="00621D3F"/>
    <w:rsid w:val="006225E5"/>
    <w:rsid w:val="00622EBD"/>
    <w:rsid w:val="006230FE"/>
    <w:rsid w:val="006235F6"/>
    <w:rsid w:val="00623875"/>
    <w:rsid w:val="00623CFB"/>
    <w:rsid w:val="006261F6"/>
    <w:rsid w:val="00626521"/>
    <w:rsid w:val="0062741A"/>
    <w:rsid w:val="00627523"/>
    <w:rsid w:val="0063087C"/>
    <w:rsid w:val="00630882"/>
    <w:rsid w:val="00630BEB"/>
    <w:rsid w:val="006312ED"/>
    <w:rsid w:val="0063193A"/>
    <w:rsid w:val="0063201D"/>
    <w:rsid w:val="0063239C"/>
    <w:rsid w:val="00632548"/>
    <w:rsid w:val="00633068"/>
    <w:rsid w:val="00633305"/>
    <w:rsid w:val="00633455"/>
    <w:rsid w:val="006340CC"/>
    <w:rsid w:val="006348D2"/>
    <w:rsid w:val="0063494B"/>
    <w:rsid w:val="006358FC"/>
    <w:rsid w:val="00636E4B"/>
    <w:rsid w:val="006373A0"/>
    <w:rsid w:val="006374AA"/>
    <w:rsid w:val="0063768B"/>
    <w:rsid w:val="00637ED0"/>
    <w:rsid w:val="00640346"/>
    <w:rsid w:val="0064078F"/>
    <w:rsid w:val="006409A4"/>
    <w:rsid w:val="00640A64"/>
    <w:rsid w:val="00640D1D"/>
    <w:rsid w:val="006414C6"/>
    <w:rsid w:val="006415DC"/>
    <w:rsid w:val="00641953"/>
    <w:rsid w:val="00641A27"/>
    <w:rsid w:val="0064270B"/>
    <w:rsid w:val="0064313D"/>
    <w:rsid w:val="006450C2"/>
    <w:rsid w:val="006459C2"/>
    <w:rsid w:val="00645C28"/>
    <w:rsid w:val="0064650F"/>
    <w:rsid w:val="00646FEC"/>
    <w:rsid w:val="006471EF"/>
    <w:rsid w:val="00647AD8"/>
    <w:rsid w:val="00647B79"/>
    <w:rsid w:val="00650A24"/>
    <w:rsid w:val="006518EE"/>
    <w:rsid w:val="00652D95"/>
    <w:rsid w:val="00653120"/>
    <w:rsid w:val="00654E38"/>
    <w:rsid w:val="00655848"/>
    <w:rsid w:val="00655D0F"/>
    <w:rsid w:val="00655DB8"/>
    <w:rsid w:val="0065646D"/>
    <w:rsid w:val="00656AE1"/>
    <w:rsid w:val="00657525"/>
    <w:rsid w:val="00657FB3"/>
    <w:rsid w:val="006607A5"/>
    <w:rsid w:val="00660C13"/>
    <w:rsid w:val="00660C5E"/>
    <w:rsid w:val="00660CA1"/>
    <w:rsid w:val="0066133D"/>
    <w:rsid w:val="00661EBE"/>
    <w:rsid w:val="006626C8"/>
    <w:rsid w:val="006629AD"/>
    <w:rsid w:val="006629E3"/>
    <w:rsid w:val="006629FC"/>
    <w:rsid w:val="00662D46"/>
    <w:rsid w:val="00663539"/>
    <w:rsid w:val="00665C43"/>
    <w:rsid w:val="00666190"/>
    <w:rsid w:val="0066680E"/>
    <w:rsid w:val="0066694B"/>
    <w:rsid w:val="00666C35"/>
    <w:rsid w:val="006670C8"/>
    <w:rsid w:val="00667CFB"/>
    <w:rsid w:val="00667DAD"/>
    <w:rsid w:val="00667ED0"/>
    <w:rsid w:val="00667FE5"/>
    <w:rsid w:val="006700D6"/>
    <w:rsid w:val="00670265"/>
    <w:rsid w:val="0067146F"/>
    <w:rsid w:val="00671513"/>
    <w:rsid w:val="00671A03"/>
    <w:rsid w:val="0067201E"/>
    <w:rsid w:val="006729BD"/>
    <w:rsid w:val="00672A6C"/>
    <w:rsid w:val="00672DBB"/>
    <w:rsid w:val="006747CA"/>
    <w:rsid w:val="00675331"/>
    <w:rsid w:val="006757C4"/>
    <w:rsid w:val="00675BF8"/>
    <w:rsid w:val="00677183"/>
    <w:rsid w:val="006775A0"/>
    <w:rsid w:val="006779BF"/>
    <w:rsid w:val="00677ECE"/>
    <w:rsid w:val="00680A5B"/>
    <w:rsid w:val="00680FA2"/>
    <w:rsid w:val="00681322"/>
    <w:rsid w:val="006817B0"/>
    <w:rsid w:val="0068184B"/>
    <w:rsid w:val="006818DE"/>
    <w:rsid w:val="006819AB"/>
    <w:rsid w:val="00682236"/>
    <w:rsid w:val="0068275B"/>
    <w:rsid w:val="00682DE1"/>
    <w:rsid w:val="00683118"/>
    <w:rsid w:val="0068332B"/>
    <w:rsid w:val="006833DF"/>
    <w:rsid w:val="00683802"/>
    <w:rsid w:val="00683D9D"/>
    <w:rsid w:val="0068455B"/>
    <w:rsid w:val="006845B2"/>
    <w:rsid w:val="00684D78"/>
    <w:rsid w:val="00685196"/>
    <w:rsid w:val="0068533B"/>
    <w:rsid w:val="00685D9E"/>
    <w:rsid w:val="00686293"/>
    <w:rsid w:val="00686B3E"/>
    <w:rsid w:val="00687002"/>
    <w:rsid w:val="00687651"/>
    <w:rsid w:val="00687796"/>
    <w:rsid w:val="00687E8D"/>
    <w:rsid w:val="00690764"/>
    <w:rsid w:val="00690A5F"/>
    <w:rsid w:val="00691010"/>
    <w:rsid w:val="006917DC"/>
    <w:rsid w:val="00692002"/>
    <w:rsid w:val="0069207E"/>
    <w:rsid w:val="006924A8"/>
    <w:rsid w:val="006925CC"/>
    <w:rsid w:val="006925EF"/>
    <w:rsid w:val="00692CDF"/>
    <w:rsid w:val="00693178"/>
    <w:rsid w:val="00693B98"/>
    <w:rsid w:val="00694392"/>
    <w:rsid w:val="0069441A"/>
    <w:rsid w:val="00695ED8"/>
    <w:rsid w:val="0069636F"/>
    <w:rsid w:val="006964AF"/>
    <w:rsid w:val="006976AE"/>
    <w:rsid w:val="00697700"/>
    <w:rsid w:val="006978DB"/>
    <w:rsid w:val="00697942"/>
    <w:rsid w:val="006A0AC0"/>
    <w:rsid w:val="006A10A0"/>
    <w:rsid w:val="006A17BD"/>
    <w:rsid w:val="006A1949"/>
    <w:rsid w:val="006A26C1"/>
    <w:rsid w:val="006A2CC7"/>
    <w:rsid w:val="006A2E40"/>
    <w:rsid w:val="006A2EDE"/>
    <w:rsid w:val="006A31C6"/>
    <w:rsid w:val="006A3B6E"/>
    <w:rsid w:val="006A3D4C"/>
    <w:rsid w:val="006A429C"/>
    <w:rsid w:val="006A4F6E"/>
    <w:rsid w:val="006A527A"/>
    <w:rsid w:val="006A54FD"/>
    <w:rsid w:val="006A5895"/>
    <w:rsid w:val="006A597F"/>
    <w:rsid w:val="006A5E01"/>
    <w:rsid w:val="006A6930"/>
    <w:rsid w:val="006A6DE1"/>
    <w:rsid w:val="006A72D7"/>
    <w:rsid w:val="006A74B3"/>
    <w:rsid w:val="006B0A78"/>
    <w:rsid w:val="006B0AB4"/>
    <w:rsid w:val="006B14C0"/>
    <w:rsid w:val="006B15B8"/>
    <w:rsid w:val="006B1A51"/>
    <w:rsid w:val="006B2CB5"/>
    <w:rsid w:val="006B2E4D"/>
    <w:rsid w:val="006B301E"/>
    <w:rsid w:val="006B3E06"/>
    <w:rsid w:val="006B4596"/>
    <w:rsid w:val="006B5F8B"/>
    <w:rsid w:val="006B60D6"/>
    <w:rsid w:val="006B61FD"/>
    <w:rsid w:val="006B667C"/>
    <w:rsid w:val="006B7379"/>
    <w:rsid w:val="006B7A44"/>
    <w:rsid w:val="006C0024"/>
    <w:rsid w:val="006C01DD"/>
    <w:rsid w:val="006C1A17"/>
    <w:rsid w:val="006C208B"/>
    <w:rsid w:val="006C20A0"/>
    <w:rsid w:val="006C29C5"/>
    <w:rsid w:val="006C2EA1"/>
    <w:rsid w:val="006C2EE5"/>
    <w:rsid w:val="006C2FC0"/>
    <w:rsid w:val="006C38DB"/>
    <w:rsid w:val="006C3EE6"/>
    <w:rsid w:val="006C4904"/>
    <w:rsid w:val="006C4C68"/>
    <w:rsid w:val="006C5083"/>
    <w:rsid w:val="006C5203"/>
    <w:rsid w:val="006C57F3"/>
    <w:rsid w:val="006C59BB"/>
    <w:rsid w:val="006C60EC"/>
    <w:rsid w:val="006C6CC4"/>
    <w:rsid w:val="006C74CB"/>
    <w:rsid w:val="006C74EB"/>
    <w:rsid w:val="006C7FC8"/>
    <w:rsid w:val="006D0532"/>
    <w:rsid w:val="006D0A5E"/>
    <w:rsid w:val="006D0A63"/>
    <w:rsid w:val="006D0C7B"/>
    <w:rsid w:val="006D1A4E"/>
    <w:rsid w:val="006D22C5"/>
    <w:rsid w:val="006D2EB2"/>
    <w:rsid w:val="006D3110"/>
    <w:rsid w:val="006D3969"/>
    <w:rsid w:val="006D3AF3"/>
    <w:rsid w:val="006D3C8E"/>
    <w:rsid w:val="006D3E33"/>
    <w:rsid w:val="006D4934"/>
    <w:rsid w:val="006D4AF0"/>
    <w:rsid w:val="006D4CD9"/>
    <w:rsid w:val="006D507A"/>
    <w:rsid w:val="006D57C2"/>
    <w:rsid w:val="006D6E63"/>
    <w:rsid w:val="006D6EB1"/>
    <w:rsid w:val="006D7581"/>
    <w:rsid w:val="006D7C8D"/>
    <w:rsid w:val="006E0C00"/>
    <w:rsid w:val="006E12E3"/>
    <w:rsid w:val="006E1340"/>
    <w:rsid w:val="006E1CDB"/>
    <w:rsid w:val="006E1D47"/>
    <w:rsid w:val="006E23B6"/>
    <w:rsid w:val="006E28B1"/>
    <w:rsid w:val="006E3F23"/>
    <w:rsid w:val="006E417D"/>
    <w:rsid w:val="006E4FE8"/>
    <w:rsid w:val="006E5073"/>
    <w:rsid w:val="006E54B5"/>
    <w:rsid w:val="006E578C"/>
    <w:rsid w:val="006E5EBB"/>
    <w:rsid w:val="006E61AC"/>
    <w:rsid w:val="006E61E1"/>
    <w:rsid w:val="006E6549"/>
    <w:rsid w:val="006E65A4"/>
    <w:rsid w:val="006E6721"/>
    <w:rsid w:val="006E6B2B"/>
    <w:rsid w:val="006E770B"/>
    <w:rsid w:val="006E7A5F"/>
    <w:rsid w:val="006E7BDB"/>
    <w:rsid w:val="006F0633"/>
    <w:rsid w:val="006F0924"/>
    <w:rsid w:val="006F0E61"/>
    <w:rsid w:val="006F2836"/>
    <w:rsid w:val="006F29EA"/>
    <w:rsid w:val="006F30EB"/>
    <w:rsid w:val="006F314E"/>
    <w:rsid w:val="006F31DF"/>
    <w:rsid w:val="006F3663"/>
    <w:rsid w:val="006F377A"/>
    <w:rsid w:val="006F4604"/>
    <w:rsid w:val="006F47BD"/>
    <w:rsid w:val="006F4CCB"/>
    <w:rsid w:val="006F6A44"/>
    <w:rsid w:val="006F6C2F"/>
    <w:rsid w:val="006F78F7"/>
    <w:rsid w:val="007002DD"/>
    <w:rsid w:val="0070038F"/>
    <w:rsid w:val="007011A7"/>
    <w:rsid w:val="007013C1"/>
    <w:rsid w:val="00701A6A"/>
    <w:rsid w:val="00701DDC"/>
    <w:rsid w:val="007025D0"/>
    <w:rsid w:val="00702826"/>
    <w:rsid w:val="00702871"/>
    <w:rsid w:val="00702D1C"/>
    <w:rsid w:val="00703117"/>
    <w:rsid w:val="007035B9"/>
    <w:rsid w:val="0070386D"/>
    <w:rsid w:val="007038C6"/>
    <w:rsid w:val="00703ACB"/>
    <w:rsid w:val="00703C67"/>
    <w:rsid w:val="007047A0"/>
    <w:rsid w:val="00704DC0"/>
    <w:rsid w:val="007059A0"/>
    <w:rsid w:val="00705FF3"/>
    <w:rsid w:val="007060FE"/>
    <w:rsid w:val="0070700C"/>
    <w:rsid w:val="00707350"/>
    <w:rsid w:val="00707549"/>
    <w:rsid w:val="007077E4"/>
    <w:rsid w:val="00707815"/>
    <w:rsid w:val="00707B2F"/>
    <w:rsid w:val="00707DC0"/>
    <w:rsid w:val="00707FB9"/>
    <w:rsid w:val="00710537"/>
    <w:rsid w:val="00710792"/>
    <w:rsid w:val="00710813"/>
    <w:rsid w:val="00710D23"/>
    <w:rsid w:val="007117E9"/>
    <w:rsid w:val="0071181D"/>
    <w:rsid w:val="00711BA5"/>
    <w:rsid w:val="0071211C"/>
    <w:rsid w:val="00713128"/>
    <w:rsid w:val="00713205"/>
    <w:rsid w:val="00713533"/>
    <w:rsid w:val="00714657"/>
    <w:rsid w:val="00714DB8"/>
    <w:rsid w:val="0071543E"/>
    <w:rsid w:val="00715753"/>
    <w:rsid w:val="00715F99"/>
    <w:rsid w:val="00716168"/>
    <w:rsid w:val="00717994"/>
    <w:rsid w:val="0071799F"/>
    <w:rsid w:val="00717CCA"/>
    <w:rsid w:val="00717D55"/>
    <w:rsid w:val="007202C6"/>
    <w:rsid w:val="00720663"/>
    <w:rsid w:val="0072073A"/>
    <w:rsid w:val="00720DF8"/>
    <w:rsid w:val="00721484"/>
    <w:rsid w:val="007226FE"/>
    <w:rsid w:val="00722938"/>
    <w:rsid w:val="00722C7E"/>
    <w:rsid w:val="00722D29"/>
    <w:rsid w:val="0072308F"/>
    <w:rsid w:val="00723190"/>
    <w:rsid w:val="00723758"/>
    <w:rsid w:val="007242BE"/>
    <w:rsid w:val="00724337"/>
    <w:rsid w:val="0072442D"/>
    <w:rsid w:val="007248F5"/>
    <w:rsid w:val="007250FA"/>
    <w:rsid w:val="007254AC"/>
    <w:rsid w:val="00725823"/>
    <w:rsid w:val="00725A53"/>
    <w:rsid w:val="00725F29"/>
    <w:rsid w:val="00727E73"/>
    <w:rsid w:val="00727EEE"/>
    <w:rsid w:val="0073069C"/>
    <w:rsid w:val="00730DD8"/>
    <w:rsid w:val="00730F8B"/>
    <w:rsid w:val="007310FB"/>
    <w:rsid w:val="007318AE"/>
    <w:rsid w:val="00732334"/>
    <w:rsid w:val="00732F07"/>
    <w:rsid w:val="00733002"/>
    <w:rsid w:val="0073377E"/>
    <w:rsid w:val="00733AFC"/>
    <w:rsid w:val="00733B2F"/>
    <w:rsid w:val="00733C5A"/>
    <w:rsid w:val="00734324"/>
    <w:rsid w:val="00734D09"/>
    <w:rsid w:val="00735167"/>
    <w:rsid w:val="007352AA"/>
    <w:rsid w:val="007356D2"/>
    <w:rsid w:val="00736E58"/>
    <w:rsid w:val="007371D1"/>
    <w:rsid w:val="00740681"/>
    <w:rsid w:val="00740720"/>
    <w:rsid w:val="00740BDD"/>
    <w:rsid w:val="007415BB"/>
    <w:rsid w:val="007428CA"/>
    <w:rsid w:val="00742940"/>
    <w:rsid w:val="00742AF8"/>
    <w:rsid w:val="00742B2D"/>
    <w:rsid w:val="0074392E"/>
    <w:rsid w:val="00743997"/>
    <w:rsid w:val="00743B1E"/>
    <w:rsid w:val="0074407C"/>
    <w:rsid w:val="007448B0"/>
    <w:rsid w:val="00744B6D"/>
    <w:rsid w:val="00745039"/>
    <w:rsid w:val="0074609F"/>
    <w:rsid w:val="00746138"/>
    <w:rsid w:val="00747255"/>
    <w:rsid w:val="00747563"/>
    <w:rsid w:val="007477B2"/>
    <w:rsid w:val="0074784C"/>
    <w:rsid w:val="00747A32"/>
    <w:rsid w:val="00747AE2"/>
    <w:rsid w:val="0075004D"/>
    <w:rsid w:val="0075026C"/>
    <w:rsid w:val="00750303"/>
    <w:rsid w:val="00750525"/>
    <w:rsid w:val="00750535"/>
    <w:rsid w:val="00751692"/>
    <w:rsid w:val="00751A71"/>
    <w:rsid w:val="00751A82"/>
    <w:rsid w:val="0075229E"/>
    <w:rsid w:val="00752308"/>
    <w:rsid w:val="007523FA"/>
    <w:rsid w:val="00753B31"/>
    <w:rsid w:val="00754368"/>
    <w:rsid w:val="00754DE5"/>
    <w:rsid w:val="007552E0"/>
    <w:rsid w:val="00755FBF"/>
    <w:rsid w:val="007563AB"/>
    <w:rsid w:val="00757301"/>
    <w:rsid w:val="00757FB6"/>
    <w:rsid w:val="007600C5"/>
    <w:rsid w:val="00760103"/>
    <w:rsid w:val="0076094A"/>
    <w:rsid w:val="007612BB"/>
    <w:rsid w:val="00761CA7"/>
    <w:rsid w:val="0076243F"/>
    <w:rsid w:val="00762A5F"/>
    <w:rsid w:val="00764333"/>
    <w:rsid w:val="007659B4"/>
    <w:rsid w:val="00765D24"/>
    <w:rsid w:val="00765DC8"/>
    <w:rsid w:val="00766156"/>
    <w:rsid w:val="00766282"/>
    <w:rsid w:val="0076707A"/>
    <w:rsid w:val="0077028A"/>
    <w:rsid w:val="007702CA"/>
    <w:rsid w:val="007703C3"/>
    <w:rsid w:val="007709F6"/>
    <w:rsid w:val="00770C75"/>
    <w:rsid w:val="0077126E"/>
    <w:rsid w:val="00771736"/>
    <w:rsid w:val="0077182E"/>
    <w:rsid w:val="0077236A"/>
    <w:rsid w:val="00772EB1"/>
    <w:rsid w:val="00773089"/>
    <w:rsid w:val="007732E6"/>
    <w:rsid w:val="00773920"/>
    <w:rsid w:val="007751E8"/>
    <w:rsid w:val="007753EC"/>
    <w:rsid w:val="00775627"/>
    <w:rsid w:val="007772E1"/>
    <w:rsid w:val="0077786E"/>
    <w:rsid w:val="00777CBA"/>
    <w:rsid w:val="00777E1E"/>
    <w:rsid w:val="00780B5D"/>
    <w:rsid w:val="00780DA8"/>
    <w:rsid w:val="00781227"/>
    <w:rsid w:val="0078131F"/>
    <w:rsid w:val="00781C11"/>
    <w:rsid w:val="007823EE"/>
    <w:rsid w:val="007824E3"/>
    <w:rsid w:val="00782790"/>
    <w:rsid w:val="00782E55"/>
    <w:rsid w:val="00783FD8"/>
    <w:rsid w:val="00784416"/>
    <w:rsid w:val="007845E8"/>
    <w:rsid w:val="00784673"/>
    <w:rsid w:val="00784A09"/>
    <w:rsid w:val="00784DEB"/>
    <w:rsid w:val="007859D0"/>
    <w:rsid w:val="00785A2E"/>
    <w:rsid w:val="007862D5"/>
    <w:rsid w:val="007862E0"/>
    <w:rsid w:val="007874B2"/>
    <w:rsid w:val="00790043"/>
    <w:rsid w:val="007903EA"/>
    <w:rsid w:val="007907A5"/>
    <w:rsid w:val="00790ECA"/>
    <w:rsid w:val="00791055"/>
    <w:rsid w:val="00791578"/>
    <w:rsid w:val="007922F3"/>
    <w:rsid w:val="00792920"/>
    <w:rsid w:val="00792923"/>
    <w:rsid w:val="00792B10"/>
    <w:rsid w:val="00793474"/>
    <w:rsid w:val="0079357E"/>
    <w:rsid w:val="00794082"/>
    <w:rsid w:val="007943AC"/>
    <w:rsid w:val="00794939"/>
    <w:rsid w:val="00795199"/>
    <w:rsid w:val="007951FD"/>
    <w:rsid w:val="0079557F"/>
    <w:rsid w:val="0079598E"/>
    <w:rsid w:val="00795A99"/>
    <w:rsid w:val="007961D7"/>
    <w:rsid w:val="00796324"/>
    <w:rsid w:val="00796928"/>
    <w:rsid w:val="00797B0E"/>
    <w:rsid w:val="007A02DF"/>
    <w:rsid w:val="007A0A72"/>
    <w:rsid w:val="007A0D1D"/>
    <w:rsid w:val="007A1542"/>
    <w:rsid w:val="007A164B"/>
    <w:rsid w:val="007A1A14"/>
    <w:rsid w:val="007A2123"/>
    <w:rsid w:val="007A2495"/>
    <w:rsid w:val="007A2E31"/>
    <w:rsid w:val="007A3586"/>
    <w:rsid w:val="007A3B7D"/>
    <w:rsid w:val="007A3CCF"/>
    <w:rsid w:val="007A3D91"/>
    <w:rsid w:val="007A43B3"/>
    <w:rsid w:val="007A4761"/>
    <w:rsid w:val="007A4AA4"/>
    <w:rsid w:val="007A518B"/>
    <w:rsid w:val="007A5734"/>
    <w:rsid w:val="007A5AF1"/>
    <w:rsid w:val="007A5F3E"/>
    <w:rsid w:val="007A6A61"/>
    <w:rsid w:val="007A75A7"/>
    <w:rsid w:val="007A7832"/>
    <w:rsid w:val="007B00BF"/>
    <w:rsid w:val="007B04FA"/>
    <w:rsid w:val="007B0627"/>
    <w:rsid w:val="007B06C6"/>
    <w:rsid w:val="007B0E7A"/>
    <w:rsid w:val="007B1039"/>
    <w:rsid w:val="007B25B2"/>
    <w:rsid w:val="007B2C2A"/>
    <w:rsid w:val="007B44FA"/>
    <w:rsid w:val="007B47B5"/>
    <w:rsid w:val="007B49A4"/>
    <w:rsid w:val="007B4AA0"/>
    <w:rsid w:val="007B50BE"/>
    <w:rsid w:val="007B51F6"/>
    <w:rsid w:val="007B565F"/>
    <w:rsid w:val="007B63B1"/>
    <w:rsid w:val="007B65AB"/>
    <w:rsid w:val="007B6C8C"/>
    <w:rsid w:val="007B74AC"/>
    <w:rsid w:val="007B770F"/>
    <w:rsid w:val="007B7C96"/>
    <w:rsid w:val="007B7D62"/>
    <w:rsid w:val="007C0AC0"/>
    <w:rsid w:val="007C0BD4"/>
    <w:rsid w:val="007C106D"/>
    <w:rsid w:val="007C1E38"/>
    <w:rsid w:val="007C2736"/>
    <w:rsid w:val="007C2E84"/>
    <w:rsid w:val="007C3327"/>
    <w:rsid w:val="007C371B"/>
    <w:rsid w:val="007C408E"/>
    <w:rsid w:val="007C44FA"/>
    <w:rsid w:val="007C46C2"/>
    <w:rsid w:val="007C4F8C"/>
    <w:rsid w:val="007C591E"/>
    <w:rsid w:val="007C59B9"/>
    <w:rsid w:val="007C61DC"/>
    <w:rsid w:val="007C652A"/>
    <w:rsid w:val="007C6554"/>
    <w:rsid w:val="007C6F8E"/>
    <w:rsid w:val="007C74D3"/>
    <w:rsid w:val="007C7610"/>
    <w:rsid w:val="007C7B01"/>
    <w:rsid w:val="007C7C18"/>
    <w:rsid w:val="007C7E2D"/>
    <w:rsid w:val="007D02DA"/>
    <w:rsid w:val="007D0511"/>
    <w:rsid w:val="007D0B25"/>
    <w:rsid w:val="007D126B"/>
    <w:rsid w:val="007D13F4"/>
    <w:rsid w:val="007D1C68"/>
    <w:rsid w:val="007D1DCD"/>
    <w:rsid w:val="007D2434"/>
    <w:rsid w:val="007D33AB"/>
    <w:rsid w:val="007D495A"/>
    <w:rsid w:val="007D55F4"/>
    <w:rsid w:val="007D57D1"/>
    <w:rsid w:val="007D5F94"/>
    <w:rsid w:val="007D60FF"/>
    <w:rsid w:val="007D67F1"/>
    <w:rsid w:val="007D68A0"/>
    <w:rsid w:val="007D6BBD"/>
    <w:rsid w:val="007D6C75"/>
    <w:rsid w:val="007D7AA3"/>
    <w:rsid w:val="007D7B3D"/>
    <w:rsid w:val="007E01F6"/>
    <w:rsid w:val="007E066E"/>
    <w:rsid w:val="007E098A"/>
    <w:rsid w:val="007E0A88"/>
    <w:rsid w:val="007E1738"/>
    <w:rsid w:val="007E226A"/>
    <w:rsid w:val="007E35CB"/>
    <w:rsid w:val="007E374C"/>
    <w:rsid w:val="007E39A7"/>
    <w:rsid w:val="007E452C"/>
    <w:rsid w:val="007E57DE"/>
    <w:rsid w:val="007E62D5"/>
    <w:rsid w:val="007E6726"/>
    <w:rsid w:val="007E6C67"/>
    <w:rsid w:val="007E7714"/>
    <w:rsid w:val="007E79B8"/>
    <w:rsid w:val="007F0289"/>
    <w:rsid w:val="007F069A"/>
    <w:rsid w:val="007F07A0"/>
    <w:rsid w:val="007F09D1"/>
    <w:rsid w:val="007F0C2A"/>
    <w:rsid w:val="007F0E9B"/>
    <w:rsid w:val="007F1307"/>
    <w:rsid w:val="007F14C9"/>
    <w:rsid w:val="007F1605"/>
    <w:rsid w:val="007F22DA"/>
    <w:rsid w:val="007F2A01"/>
    <w:rsid w:val="007F39B5"/>
    <w:rsid w:val="007F3FED"/>
    <w:rsid w:val="007F4C04"/>
    <w:rsid w:val="007F59F5"/>
    <w:rsid w:val="007F6624"/>
    <w:rsid w:val="007F6FB1"/>
    <w:rsid w:val="007F7351"/>
    <w:rsid w:val="007F7B2F"/>
    <w:rsid w:val="007F7DEF"/>
    <w:rsid w:val="00800EA1"/>
    <w:rsid w:val="00802091"/>
    <w:rsid w:val="008027A5"/>
    <w:rsid w:val="00802AB0"/>
    <w:rsid w:val="00802BF7"/>
    <w:rsid w:val="008031EA"/>
    <w:rsid w:val="00803718"/>
    <w:rsid w:val="00803E8A"/>
    <w:rsid w:val="00804555"/>
    <w:rsid w:val="00804A65"/>
    <w:rsid w:val="0080522A"/>
    <w:rsid w:val="00805325"/>
    <w:rsid w:val="00805693"/>
    <w:rsid w:val="00805C43"/>
    <w:rsid w:val="0080611A"/>
    <w:rsid w:val="008062AF"/>
    <w:rsid w:val="00806D2E"/>
    <w:rsid w:val="0080711B"/>
    <w:rsid w:val="0080760E"/>
    <w:rsid w:val="00807689"/>
    <w:rsid w:val="00807CBD"/>
    <w:rsid w:val="00807E4A"/>
    <w:rsid w:val="008104B3"/>
    <w:rsid w:val="00810FC8"/>
    <w:rsid w:val="00811892"/>
    <w:rsid w:val="00812F26"/>
    <w:rsid w:val="00814E77"/>
    <w:rsid w:val="00815055"/>
    <w:rsid w:val="008155E1"/>
    <w:rsid w:val="00815825"/>
    <w:rsid w:val="00816868"/>
    <w:rsid w:val="00817058"/>
    <w:rsid w:val="008172BA"/>
    <w:rsid w:val="00817440"/>
    <w:rsid w:val="008175AC"/>
    <w:rsid w:val="00820AF3"/>
    <w:rsid w:val="00820D1A"/>
    <w:rsid w:val="00821FD9"/>
    <w:rsid w:val="008221D7"/>
    <w:rsid w:val="008222A0"/>
    <w:rsid w:val="00822686"/>
    <w:rsid w:val="0082290B"/>
    <w:rsid w:val="00822DC2"/>
    <w:rsid w:val="00824321"/>
    <w:rsid w:val="00824A12"/>
    <w:rsid w:val="00824DFA"/>
    <w:rsid w:val="00825549"/>
    <w:rsid w:val="0082593F"/>
    <w:rsid w:val="00825AE9"/>
    <w:rsid w:val="0082643D"/>
    <w:rsid w:val="00826F50"/>
    <w:rsid w:val="0082745A"/>
    <w:rsid w:val="00830DDC"/>
    <w:rsid w:val="0083116D"/>
    <w:rsid w:val="00831260"/>
    <w:rsid w:val="00831691"/>
    <w:rsid w:val="008316E8"/>
    <w:rsid w:val="00831A38"/>
    <w:rsid w:val="00831B18"/>
    <w:rsid w:val="00833723"/>
    <w:rsid w:val="00833905"/>
    <w:rsid w:val="0083407A"/>
    <w:rsid w:val="00834357"/>
    <w:rsid w:val="00834B21"/>
    <w:rsid w:val="008357F5"/>
    <w:rsid w:val="008359BC"/>
    <w:rsid w:val="00835A3F"/>
    <w:rsid w:val="00835BEC"/>
    <w:rsid w:val="008361FB"/>
    <w:rsid w:val="0083704C"/>
    <w:rsid w:val="008377EC"/>
    <w:rsid w:val="00837DA8"/>
    <w:rsid w:val="00840314"/>
    <w:rsid w:val="0084094E"/>
    <w:rsid w:val="00840A2C"/>
    <w:rsid w:val="00842389"/>
    <w:rsid w:val="00842699"/>
    <w:rsid w:val="00842770"/>
    <w:rsid w:val="00842D41"/>
    <w:rsid w:val="00843109"/>
    <w:rsid w:val="00843B58"/>
    <w:rsid w:val="00843B74"/>
    <w:rsid w:val="008443B1"/>
    <w:rsid w:val="008445ED"/>
    <w:rsid w:val="00844720"/>
    <w:rsid w:val="00845328"/>
    <w:rsid w:val="00845369"/>
    <w:rsid w:val="008453D0"/>
    <w:rsid w:val="00845565"/>
    <w:rsid w:val="00845DF5"/>
    <w:rsid w:val="00845F50"/>
    <w:rsid w:val="00846BB4"/>
    <w:rsid w:val="00847CCE"/>
    <w:rsid w:val="00847D24"/>
    <w:rsid w:val="00850332"/>
    <w:rsid w:val="00850368"/>
    <w:rsid w:val="00850908"/>
    <w:rsid w:val="008517A1"/>
    <w:rsid w:val="00851D47"/>
    <w:rsid w:val="008525AE"/>
    <w:rsid w:val="00852858"/>
    <w:rsid w:val="008529B5"/>
    <w:rsid w:val="00852D08"/>
    <w:rsid w:val="008542F9"/>
    <w:rsid w:val="00855A2F"/>
    <w:rsid w:val="00856C54"/>
    <w:rsid w:val="008602DB"/>
    <w:rsid w:val="008608A1"/>
    <w:rsid w:val="00861340"/>
    <w:rsid w:val="008615B7"/>
    <w:rsid w:val="00861ED6"/>
    <w:rsid w:val="0086326A"/>
    <w:rsid w:val="0086398A"/>
    <w:rsid w:val="00863E0D"/>
    <w:rsid w:val="00864223"/>
    <w:rsid w:val="008646F7"/>
    <w:rsid w:val="008653D4"/>
    <w:rsid w:val="008653D9"/>
    <w:rsid w:val="00865618"/>
    <w:rsid w:val="00865B17"/>
    <w:rsid w:val="00865C77"/>
    <w:rsid w:val="00865ECE"/>
    <w:rsid w:val="008664CA"/>
    <w:rsid w:val="008668ED"/>
    <w:rsid w:val="00866DF2"/>
    <w:rsid w:val="00870050"/>
    <w:rsid w:val="0087075F"/>
    <w:rsid w:val="00870906"/>
    <w:rsid w:val="00870A81"/>
    <w:rsid w:val="00870C86"/>
    <w:rsid w:val="00870CE0"/>
    <w:rsid w:val="008710BC"/>
    <w:rsid w:val="00871190"/>
    <w:rsid w:val="0087198B"/>
    <w:rsid w:val="00872A28"/>
    <w:rsid w:val="00872F26"/>
    <w:rsid w:val="00873768"/>
    <w:rsid w:val="0087399B"/>
    <w:rsid w:val="00874299"/>
    <w:rsid w:val="00874D8F"/>
    <w:rsid w:val="008769EB"/>
    <w:rsid w:val="00876B99"/>
    <w:rsid w:val="00876BFE"/>
    <w:rsid w:val="00877023"/>
    <w:rsid w:val="0087739D"/>
    <w:rsid w:val="008777A6"/>
    <w:rsid w:val="00877A2B"/>
    <w:rsid w:val="00877D27"/>
    <w:rsid w:val="00881D32"/>
    <w:rsid w:val="00881D42"/>
    <w:rsid w:val="00881E07"/>
    <w:rsid w:val="008825AF"/>
    <w:rsid w:val="00882783"/>
    <w:rsid w:val="00882791"/>
    <w:rsid w:val="008829C0"/>
    <w:rsid w:val="00882BE4"/>
    <w:rsid w:val="00883E22"/>
    <w:rsid w:val="00883FCE"/>
    <w:rsid w:val="008842D5"/>
    <w:rsid w:val="00884708"/>
    <w:rsid w:val="00884A06"/>
    <w:rsid w:val="00884AAC"/>
    <w:rsid w:val="00885265"/>
    <w:rsid w:val="008855EE"/>
    <w:rsid w:val="008856C7"/>
    <w:rsid w:val="00885AF5"/>
    <w:rsid w:val="00885E42"/>
    <w:rsid w:val="008861AF"/>
    <w:rsid w:val="0088633D"/>
    <w:rsid w:val="008863FE"/>
    <w:rsid w:val="00886A3A"/>
    <w:rsid w:val="00886F89"/>
    <w:rsid w:val="00887BA3"/>
    <w:rsid w:val="00887C76"/>
    <w:rsid w:val="0089000A"/>
    <w:rsid w:val="008907B5"/>
    <w:rsid w:val="00891639"/>
    <w:rsid w:val="008918C8"/>
    <w:rsid w:val="008919A2"/>
    <w:rsid w:val="00892532"/>
    <w:rsid w:val="00892B76"/>
    <w:rsid w:val="00892D87"/>
    <w:rsid w:val="00893130"/>
    <w:rsid w:val="00893290"/>
    <w:rsid w:val="00893C67"/>
    <w:rsid w:val="0089498B"/>
    <w:rsid w:val="008949CF"/>
    <w:rsid w:val="00894C6F"/>
    <w:rsid w:val="008954B5"/>
    <w:rsid w:val="0089696D"/>
    <w:rsid w:val="00896D0D"/>
    <w:rsid w:val="0089772D"/>
    <w:rsid w:val="00897E82"/>
    <w:rsid w:val="008A099E"/>
    <w:rsid w:val="008A14C6"/>
    <w:rsid w:val="008A171A"/>
    <w:rsid w:val="008A1E8C"/>
    <w:rsid w:val="008A1F03"/>
    <w:rsid w:val="008A20B3"/>
    <w:rsid w:val="008A3406"/>
    <w:rsid w:val="008A3409"/>
    <w:rsid w:val="008A3871"/>
    <w:rsid w:val="008A3A28"/>
    <w:rsid w:val="008A3BE8"/>
    <w:rsid w:val="008A3CD1"/>
    <w:rsid w:val="008A4C8B"/>
    <w:rsid w:val="008A5A89"/>
    <w:rsid w:val="008A5C88"/>
    <w:rsid w:val="008A6452"/>
    <w:rsid w:val="008A6981"/>
    <w:rsid w:val="008A7162"/>
    <w:rsid w:val="008A7A8E"/>
    <w:rsid w:val="008A7BAF"/>
    <w:rsid w:val="008B02C1"/>
    <w:rsid w:val="008B0844"/>
    <w:rsid w:val="008B0E2A"/>
    <w:rsid w:val="008B0FE4"/>
    <w:rsid w:val="008B1717"/>
    <w:rsid w:val="008B1FC1"/>
    <w:rsid w:val="008B26A7"/>
    <w:rsid w:val="008B3445"/>
    <w:rsid w:val="008B3479"/>
    <w:rsid w:val="008B3A53"/>
    <w:rsid w:val="008B4398"/>
    <w:rsid w:val="008B4DEB"/>
    <w:rsid w:val="008B5270"/>
    <w:rsid w:val="008B53AB"/>
    <w:rsid w:val="008B5B66"/>
    <w:rsid w:val="008B6874"/>
    <w:rsid w:val="008B6D3E"/>
    <w:rsid w:val="008B7210"/>
    <w:rsid w:val="008C097D"/>
    <w:rsid w:val="008C0C5B"/>
    <w:rsid w:val="008C1818"/>
    <w:rsid w:val="008C1AA9"/>
    <w:rsid w:val="008C2A3E"/>
    <w:rsid w:val="008C2D4F"/>
    <w:rsid w:val="008C40DE"/>
    <w:rsid w:val="008C4208"/>
    <w:rsid w:val="008C42A2"/>
    <w:rsid w:val="008C53F2"/>
    <w:rsid w:val="008C59E9"/>
    <w:rsid w:val="008C5EF8"/>
    <w:rsid w:val="008C706C"/>
    <w:rsid w:val="008C7450"/>
    <w:rsid w:val="008C7688"/>
    <w:rsid w:val="008C76EF"/>
    <w:rsid w:val="008D12F5"/>
    <w:rsid w:val="008D16CB"/>
    <w:rsid w:val="008D1973"/>
    <w:rsid w:val="008D1E99"/>
    <w:rsid w:val="008D22B2"/>
    <w:rsid w:val="008D2314"/>
    <w:rsid w:val="008D2571"/>
    <w:rsid w:val="008D2864"/>
    <w:rsid w:val="008D2C44"/>
    <w:rsid w:val="008D3548"/>
    <w:rsid w:val="008D36B3"/>
    <w:rsid w:val="008D4136"/>
    <w:rsid w:val="008D4883"/>
    <w:rsid w:val="008D488E"/>
    <w:rsid w:val="008D5BB4"/>
    <w:rsid w:val="008D5E13"/>
    <w:rsid w:val="008D5EE8"/>
    <w:rsid w:val="008D64DF"/>
    <w:rsid w:val="008D66E8"/>
    <w:rsid w:val="008D717E"/>
    <w:rsid w:val="008D735F"/>
    <w:rsid w:val="008E0672"/>
    <w:rsid w:val="008E14F1"/>
    <w:rsid w:val="008E19AB"/>
    <w:rsid w:val="008E3723"/>
    <w:rsid w:val="008E47F3"/>
    <w:rsid w:val="008E48B1"/>
    <w:rsid w:val="008E4B37"/>
    <w:rsid w:val="008E505D"/>
    <w:rsid w:val="008E5FC0"/>
    <w:rsid w:val="008E63A9"/>
    <w:rsid w:val="008E7CE9"/>
    <w:rsid w:val="008E7D96"/>
    <w:rsid w:val="008F03A7"/>
    <w:rsid w:val="008F0448"/>
    <w:rsid w:val="008F16F5"/>
    <w:rsid w:val="008F238B"/>
    <w:rsid w:val="008F268B"/>
    <w:rsid w:val="008F2F1F"/>
    <w:rsid w:val="008F391C"/>
    <w:rsid w:val="008F3A71"/>
    <w:rsid w:val="008F5C48"/>
    <w:rsid w:val="008F5D4E"/>
    <w:rsid w:val="008F5EC4"/>
    <w:rsid w:val="008F6BA9"/>
    <w:rsid w:val="008F6DC4"/>
    <w:rsid w:val="008F7087"/>
    <w:rsid w:val="008F7CB1"/>
    <w:rsid w:val="00901132"/>
    <w:rsid w:val="00901D95"/>
    <w:rsid w:val="00901EBF"/>
    <w:rsid w:val="00902A23"/>
    <w:rsid w:val="00902AA9"/>
    <w:rsid w:val="00902B6C"/>
    <w:rsid w:val="00902F1E"/>
    <w:rsid w:val="009045F5"/>
    <w:rsid w:val="009058B1"/>
    <w:rsid w:val="00905FFF"/>
    <w:rsid w:val="00906288"/>
    <w:rsid w:val="009063E6"/>
    <w:rsid w:val="00906768"/>
    <w:rsid w:val="009103E3"/>
    <w:rsid w:val="00910FC4"/>
    <w:rsid w:val="00911181"/>
    <w:rsid w:val="0091240A"/>
    <w:rsid w:val="00912595"/>
    <w:rsid w:val="009125AF"/>
    <w:rsid w:val="00913485"/>
    <w:rsid w:val="00913A7D"/>
    <w:rsid w:val="00913F2C"/>
    <w:rsid w:val="00914330"/>
    <w:rsid w:val="00914959"/>
    <w:rsid w:val="0091586C"/>
    <w:rsid w:val="00916721"/>
    <w:rsid w:val="00916792"/>
    <w:rsid w:val="00916AC1"/>
    <w:rsid w:val="00916C32"/>
    <w:rsid w:val="00917B99"/>
    <w:rsid w:val="00917CAD"/>
    <w:rsid w:val="00920006"/>
    <w:rsid w:val="00920ED8"/>
    <w:rsid w:val="009218EE"/>
    <w:rsid w:val="00922283"/>
    <w:rsid w:val="009225EB"/>
    <w:rsid w:val="00922AD2"/>
    <w:rsid w:val="009230CE"/>
    <w:rsid w:val="00923174"/>
    <w:rsid w:val="00923A95"/>
    <w:rsid w:val="00924153"/>
    <w:rsid w:val="00924B50"/>
    <w:rsid w:val="00924B70"/>
    <w:rsid w:val="00924CF0"/>
    <w:rsid w:val="00925172"/>
    <w:rsid w:val="00925284"/>
    <w:rsid w:val="009252C8"/>
    <w:rsid w:val="00925F26"/>
    <w:rsid w:val="00926620"/>
    <w:rsid w:val="00926799"/>
    <w:rsid w:val="0092713C"/>
    <w:rsid w:val="00927A7E"/>
    <w:rsid w:val="009302CB"/>
    <w:rsid w:val="00930BD1"/>
    <w:rsid w:val="0093252B"/>
    <w:rsid w:val="0093279E"/>
    <w:rsid w:val="00933313"/>
    <w:rsid w:val="00933679"/>
    <w:rsid w:val="00934302"/>
    <w:rsid w:val="00934701"/>
    <w:rsid w:val="00934BA0"/>
    <w:rsid w:val="009358A5"/>
    <w:rsid w:val="00935A10"/>
    <w:rsid w:val="00935EDD"/>
    <w:rsid w:val="009373C8"/>
    <w:rsid w:val="00940095"/>
    <w:rsid w:val="0094039C"/>
    <w:rsid w:val="009409D1"/>
    <w:rsid w:val="00940F0B"/>
    <w:rsid w:val="009411D6"/>
    <w:rsid w:val="00941982"/>
    <w:rsid w:val="00942811"/>
    <w:rsid w:val="00942AE4"/>
    <w:rsid w:val="00943966"/>
    <w:rsid w:val="00943A12"/>
    <w:rsid w:val="00943BDE"/>
    <w:rsid w:val="00944827"/>
    <w:rsid w:val="00944952"/>
    <w:rsid w:val="009449E4"/>
    <w:rsid w:val="00944A8B"/>
    <w:rsid w:val="0094524E"/>
    <w:rsid w:val="00946B08"/>
    <w:rsid w:val="00946F64"/>
    <w:rsid w:val="009476A7"/>
    <w:rsid w:val="009478C1"/>
    <w:rsid w:val="00947D36"/>
    <w:rsid w:val="009509E4"/>
    <w:rsid w:val="0095146B"/>
    <w:rsid w:val="00951896"/>
    <w:rsid w:val="00951BF9"/>
    <w:rsid w:val="00951D5C"/>
    <w:rsid w:val="00952304"/>
    <w:rsid w:val="009525C4"/>
    <w:rsid w:val="00952CFD"/>
    <w:rsid w:val="00953767"/>
    <w:rsid w:val="00953A31"/>
    <w:rsid w:val="00953CAD"/>
    <w:rsid w:val="00953F4A"/>
    <w:rsid w:val="009546D3"/>
    <w:rsid w:val="009557F0"/>
    <w:rsid w:val="00956820"/>
    <w:rsid w:val="00956B25"/>
    <w:rsid w:val="00956C20"/>
    <w:rsid w:val="00956CFB"/>
    <w:rsid w:val="00956FED"/>
    <w:rsid w:val="009578F2"/>
    <w:rsid w:val="00957B64"/>
    <w:rsid w:val="009602E1"/>
    <w:rsid w:val="00960722"/>
    <w:rsid w:val="00960FD2"/>
    <w:rsid w:val="00961C79"/>
    <w:rsid w:val="00962168"/>
    <w:rsid w:val="00962372"/>
    <w:rsid w:val="009623AB"/>
    <w:rsid w:val="00962859"/>
    <w:rsid w:val="00962926"/>
    <w:rsid w:val="0096357C"/>
    <w:rsid w:val="009635A2"/>
    <w:rsid w:val="00964677"/>
    <w:rsid w:val="00964CC1"/>
    <w:rsid w:val="00965119"/>
    <w:rsid w:val="0096566A"/>
    <w:rsid w:val="00965AB6"/>
    <w:rsid w:val="00966125"/>
    <w:rsid w:val="00970252"/>
    <w:rsid w:val="0097081D"/>
    <w:rsid w:val="00970CC9"/>
    <w:rsid w:val="00971034"/>
    <w:rsid w:val="00971C1E"/>
    <w:rsid w:val="00971FC8"/>
    <w:rsid w:val="009724B7"/>
    <w:rsid w:val="009724C5"/>
    <w:rsid w:val="00973065"/>
    <w:rsid w:val="00973E33"/>
    <w:rsid w:val="0097425F"/>
    <w:rsid w:val="00974C7D"/>
    <w:rsid w:val="0097699C"/>
    <w:rsid w:val="00976F4D"/>
    <w:rsid w:val="00977043"/>
    <w:rsid w:val="00977206"/>
    <w:rsid w:val="0097728A"/>
    <w:rsid w:val="00977417"/>
    <w:rsid w:val="0097741C"/>
    <w:rsid w:val="00977592"/>
    <w:rsid w:val="009778A2"/>
    <w:rsid w:val="00977A60"/>
    <w:rsid w:val="00980CD4"/>
    <w:rsid w:val="0098107B"/>
    <w:rsid w:val="00981186"/>
    <w:rsid w:val="00981972"/>
    <w:rsid w:val="00981D25"/>
    <w:rsid w:val="00982666"/>
    <w:rsid w:val="009827BC"/>
    <w:rsid w:val="009829F2"/>
    <w:rsid w:val="00982F20"/>
    <w:rsid w:val="0098383B"/>
    <w:rsid w:val="00983CA9"/>
    <w:rsid w:val="009843B3"/>
    <w:rsid w:val="009846FC"/>
    <w:rsid w:val="00984AB5"/>
    <w:rsid w:val="00984F16"/>
    <w:rsid w:val="009859E0"/>
    <w:rsid w:val="00986CF3"/>
    <w:rsid w:val="0098739C"/>
    <w:rsid w:val="00987FBB"/>
    <w:rsid w:val="00990496"/>
    <w:rsid w:val="009905DE"/>
    <w:rsid w:val="00990651"/>
    <w:rsid w:val="009907DA"/>
    <w:rsid w:val="00990DBE"/>
    <w:rsid w:val="00991062"/>
    <w:rsid w:val="00991ABF"/>
    <w:rsid w:val="009920E9"/>
    <w:rsid w:val="0099259A"/>
    <w:rsid w:val="00992CBE"/>
    <w:rsid w:val="00993704"/>
    <w:rsid w:val="0099383C"/>
    <w:rsid w:val="00993C73"/>
    <w:rsid w:val="009940BF"/>
    <w:rsid w:val="009944DD"/>
    <w:rsid w:val="00994581"/>
    <w:rsid w:val="00994BEE"/>
    <w:rsid w:val="00994F15"/>
    <w:rsid w:val="00995C1D"/>
    <w:rsid w:val="00996D59"/>
    <w:rsid w:val="00996E98"/>
    <w:rsid w:val="009973C9"/>
    <w:rsid w:val="0099749F"/>
    <w:rsid w:val="009975D9"/>
    <w:rsid w:val="009976DB"/>
    <w:rsid w:val="00997EF5"/>
    <w:rsid w:val="009A0620"/>
    <w:rsid w:val="009A066F"/>
    <w:rsid w:val="009A086C"/>
    <w:rsid w:val="009A1826"/>
    <w:rsid w:val="009A1FFD"/>
    <w:rsid w:val="009A284D"/>
    <w:rsid w:val="009A28AD"/>
    <w:rsid w:val="009A3393"/>
    <w:rsid w:val="009A369B"/>
    <w:rsid w:val="009A3B1B"/>
    <w:rsid w:val="009A4029"/>
    <w:rsid w:val="009A41B1"/>
    <w:rsid w:val="009A4A7F"/>
    <w:rsid w:val="009A4DB9"/>
    <w:rsid w:val="009A4FC7"/>
    <w:rsid w:val="009A5A92"/>
    <w:rsid w:val="009A5B64"/>
    <w:rsid w:val="009A6005"/>
    <w:rsid w:val="009A7444"/>
    <w:rsid w:val="009A74D7"/>
    <w:rsid w:val="009B0868"/>
    <w:rsid w:val="009B15CF"/>
    <w:rsid w:val="009B2B26"/>
    <w:rsid w:val="009B2E0A"/>
    <w:rsid w:val="009B381F"/>
    <w:rsid w:val="009B3ECA"/>
    <w:rsid w:val="009B4A54"/>
    <w:rsid w:val="009B4D63"/>
    <w:rsid w:val="009B51F0"/>
    <w:rsid w:val="009B5320"/>
    <w:rsid w:val="009B583F"/>
    <w:rsid w:val="009B5A61"/>
    <w:rsid w:val="009B65DE"/>
    <w:rsid w:val="009B6726"/>
    <w:rsid w:val="009B76ED"/>
    <w:rsid w:val="009B7863"/>
    <w:rsid w:val="009B787C"/>
    <w:rsid w:val="009C0007"/>
    <w:rsid w:val="009C01E0"/>
    <w:rsid w:val="009C1AC3"/>
    <w:rsid w:val="009C1C2E"/>
    <w:rsid w:val="009C31C0"/>
    <w:rsid w:val="009C3395"/>
    <w:rsid w:val="009C3565"/>
    <w:rsid w:val="009C361F"/>
    <w:rsid w:val="009C3790"/>
    <w:rsid w:val="009C380F"/>
    <w:rsid w:val="009C4B79"/>
    <w:rsid w:val="009C4ECD"/>
    <w:rsid w:val="009C512A"/>
    <w:rsid w:val="009C54A5"/>
    <w:rsid w:val="009C5F1B"/>
    <w:rsid w:val="009C6A03"/>
    <w:rsid w:val="009C6E1D"/>
    <w:rsid w:val="009C6F57"/>
    <w:rsid w:val="009C7321"/>
    <w:rsid w:val="009C73E9"/>
    <w:rsid w:val="009C7BED"/>
    <w:rsid w:val="009D069E"/>
    <w:rsid w:val="009D0C97"/>
    <w:rsid w:val="009D11FD"/>
    <w:rsid w:val="009D19FD"/>
    <w:rsid w:val="009D1A71"/>
    <w:rsid w:val="009D1D91"/>
    <w:rsid w:val="009D2631"/>
    <w:rsid w:val="009D2A91"/>
    <w:rsid w:val="009D30DF"/>
    <w:rsid w:val="009D313E"/>
    <w:rsid w:val="009D37B0"/>
    <w:rsid w:val="009D38DA"/>
    <w:rsid w:val="009D3A77"/>
    <w:rsid w:val="009D471A"/>
    <w:rsid w:val="009D483C"/>
    <w:rsid w:val="009D5137"/>
    <w:rsid w:val="009D52B4"/>
    <w:rsid w:val="009D539B"/>
    <w:rsid w:val="009D5766"/>
    <w:rsid w:val="009D58CB"/>
    <w:rsid w:val="009D595C"/>
    <w:rsid w:val="009D66E4"/>
    <w:rsid w:val="009D6AFB"/>
    <w:rsid w:val="009D7373"/>
    <w:rsid w:val="009D7752"/>
    <w:rsid w:val="009E0B98"/>
    <w:rsid w:val="009E11B0"/>
    <w:rsid w:val="009E13D6"/>
    <w:rsid w:val="009E15D6"/>
    <w:rsid w:val="009E2015"/>
    <w:rsid w:val="009E242F"/>
    <w:rsid w:val="009E2C7E"/>
    <w:rsid w:val="009E2E65"/>
    <w:rsid w:val="009E2FA8"/>
    <w:rsid w:val="009E38BE"/>
    <w:rsid w:val="009E40EA"/>
    <w:rsid w:val="009E48DC"/>
    <w:rsid w:val="009E5702"/>
    <w:rsid w:val="009E587A"/>
    <w:rsid w:val="009E5934"/>
    <w:rsid w:val="009E5A2C"/>
    <w:rsid w:val="009E657C"/>
    <w:rsid w:val="009E7150"/>
    <w:rsid w:val="009E7379"/>
    <w:rsid w:val="009E7829"/>
    <w:rsid w:val="009F0253"/>
    <w:rsid w:val="009F035D"/>
    <w:rsid w:val="009F0D7E"/>
    <w:rsid w:val="009F0E9A"/>
    <w:rsid w:val="009F1070"/>
    <w:rsid w:val="009F1632"/>
    <w:rsid w:val="009F18A0"/>
    <w:rsid w:val="009F1D8D"/>
    <w:rsid w:val="009F26CF"/>
    <w:rsid w:val="009F2DE2"/>
    <w:rsid w:val="009F339E"/>
    <w:rsid w:val="009F3CC9"/>
    <w:rsid w:val="009F444D"/>
    <w:rsid w:val="009F480B"/>
    <w:rsid w:val="009F56E2"/>
    <w:rsid w:val="009F5BD0"/>
    <w:rsid w:val="009F6148"/>
    <w:rsid w:val="009F6476"/>
    <w:rsid w:val="009F6527"/>
    <w:rsid w:val="009F6785"/>
    <w:rsid w:val="009F6F73"/>
    <w:rsid w:val="009F7570"/>
    <w:rsid w:val="00A00177"/>
    <w:rsid w:val="00A01877"/>
    <w:rsid w:val="00A018A5"/>
    <w:rsid w:val="00A019BB"/>
    <w:rsid w:val="00A02C46"/>
    <w:rsid w:val="00A030DE"/>
    <w:rsid w:val="00A0317F"/>
    <w:rsid w:val="00A0381E"/>
    <w:rsid w:val="00A039CB"/>
    <w:rsid w:val="00A03D04"/>
    <w:rsid w:val="00A04462"/>
    <w:rsid w:val="00A0463A"/>
    <w:rsid w:val="00A04B34"/>
    <w:rsid w:val="00A04F35"/>
    <w:rsid w:val="00A04FBF"/>
    <w:rsid w:val="00A05255"/>
    <w:rsid w:val="00A056AE"/>
    <w:rsid w:val="00A057E7"/>
    <w:rsid w:val="00A0690F"/>
    <w:rsid w:val="00A06CAF"/>
    <w:rsid w:val="00A06EDA"/>
    <w:rsid w:val="00A103D7"/>
    <w:rsid w:val="00A106E9"/>
    <w:rsid w:val="00A10D54"/>
    <w:rsid w:val="00A11F49"/>
    <w:rsid w:val="00A12452"/>
    <w:rsid w:val="00A128D8"/>
    <w:rsid w:val="00A12EE9"/>
    <w:rsid w:val="00A12FC5"/>
    <w:rsid w:val="00A13B83"/>
    <w:rsid w:val="00A1434E"/>
    <w:rsid w:val="00A15566"/>
    <w:rsid w:val="00A162D2"/>
    <w:rsid w:val="00A163B6"/>
    <w:rsid w:val="00A17182"/>
    <w:rsid w:val="00A171DC"/>
    <w:rsid w:val="00A17CD4"/>
    <w:rsid w:val="00A17E21"/>
    <w:rsid w:val="00A17F38"/>
    <w:rsid w:val="00A203DA"/>
    <w:rsid w:val="00A206B7"/>
    <w:rsid w:val="00A21DBF"/>
    <w:rsid w:val="00A22378"/>
    <w:rsid w:val="00A22A71"/>
    <w:rsid w:val="00A22BE7"/>
    <w:rsid w:val="00A243F2"/>
    <w:rsid w:val="00A249FA"/>
    <w:rsid w:val="00A24C74"/>
    <w:rsid w:val="00A24E70"/>
    <w:rsid w:val="00A261AF"/>
    <w:rsid w:val="00A266D3"/>
    <w:rsid w:val="00A2716E"/>
    <w:rsid w:val="00A276ED"/>
    <w:rsid w:val="00A27C06"/>
    <w:rsid w:val="00A27D94"/>
    <w:rsid w:val="00A300EB"/>
    <w:rsid w:val="00A3015F"/>
    <w:rsid w:val="00A301D5"/>
    <w:rsid w:val="00A3022E"/>
    <w:rsid w:val="00A30277"/>
    <w:rsid w:val="00A302A7"/>
    <w:rsid w:val="00A307E6"/>
    <w:rsid w:val="00A309F2"/>
    <w:rsid w:val="00A31295"/>
    <w:rsid w:val="00A31D07"/>
    <w:rsid w:val="00A31E28"/>
    <w:rsid w:val="00A32C69"/>
    <w:rsid w:val="00A345FC"/>
    <w:rsid w:val="00A353F0"/>
    <w:rsid w:val="00A36352"/>
    <w:rsid w:val="00A367AC"/>
    <w:rsid w:val="00A370A1"/>
    <w:rsid w:val="00A37684"/>
    <w:rsid w:val="00A379EC"/>
    <w:rsid w:val="00A4036E"/>
    <w:rsid w:val="00A40963"/>
    <w:rsid w:val="00A41CEA"/>
    <w:rsid w:val="00A41EB0"/>
    <w:rsid w:val="00A4226F"/>
    <w:rsid w:val="00A426FB"/>
    <w:rsid w:val="00A4272F"/>
    <w:rsid w:val="00A429B0"/>
    <w:rsid w:val="00A42D96"/>
    <w:rsid w:val="00A43EF4"/>
    <w:rsid w:val="00A43F2E"/>
    <w:rsid w:val="00A447FD"/>
    <w:rsid w:val="00A44AF0"/>
    <w:rsid w:val="00A45E6E"/>
    <w:rsid w:val="00A46205"/>
    <w:rsid w:val="00A462E7"/>
    <w:rsid w:val="00A46607"/>
    <w:rsid w:val="00A46A0F"/>
    <w:rsid w:val="00A4701E"/>
    <w:rsid w:val="00A4716D"/>
    <w:rsid w:val="00A472C7"/>
    <w:rsid w:val="00A47D71"/>
    <w:rsid w:val="00A47DA6"/>
    <w:rsid w:val="00A501C7"/>
    <w:rsid w:val="00A52032"/>
    <w:rsid w:val="00A532C7"/>
    <w:rsid w:val="00A5391A"/>
    <w:rsid w:val="00A53A46"/>
    <w:rsid w:val="00A54086"/>
    <w:rsid w:val="00A54D89"/>
    <w:rsid w:val="00A55B13"/>
    <w:rsid w:val="00A55CF2"/>
    <w:rsid w:val="00A55D36"/>
    <w:rsid w:val="00A562C3"/>
    <w:rsid w:val="00A56408"/>
    <w:rsid w:val="00A56A80"/>
    <w:rsid w:val="00A57581"/>
    <w:rsid w:val="00A57615"/>
    <w:rsid w:val="00A5797D"/>
    <w:rsid w:val="00A60034"/>
    <w:rsid w:val="00A60227"/>
    <w:rsid w:val="00A60E44"/>
    <w:rsid w:val="00A6143D"/>
    <w:rsid w:val="00A61467"/>
    <w:rsid w:val="00A61A3E"/>
    <w:rsid w:val="00A62B40"/>
    <w:rsid w:val="00A63A19"/>
    <w:rsid w:val="00A63DC0"/>
    <w:rsid w:val="00A6409A"/>
    <w:rsid w:val="00A6515D"/>
    <w:rsid w:val="00A65B4C"/>
    <w:rsid w:val="00A65C4C"/>
    <w:rsid w:val="00A65F1B"/>
    <w:rsid w:val="00A666BE"/>
    <w:rsid w:val="00A6679B"/>
    <w:rsid w:val="00A672AE"/>
    <w:rsid w:val="00A675FF"/>
    <w:rsid w:val="00A67795"/>
    <w:rsid w:val="00A67A25"/>
    <w:rsid w:val="00A67C0E"/>
    <w:rsid w:val="00A67C6C"/>
    <w:rsid w:val="00A70703"/>
    <w:rsid w:val="00A70D91"/>
    <w:rsid w:val="00A711B5"/>
    <w:rsid w:val="00A71237"/>
    <w:rsid w:val="00A716F0"/>
    <w:rsid w:val="00A71796"/>
    <w:rsid w:val="00A71936"/>
    <w:rsid w:val="00A72141"/>
    <w:rsid w:val="00A728FF"/>
    <w:rsid w:val="00A73198"/>
    <w:rsid w:val="00A7387D"/>
    <w:rsid w:val="00A73B91"/>
    <w:rsid w:val="00A7402F"/>
    <w:rsid w:val="00A7458A"/>
    <w:rsid w:val="00A74690"/>
    <w:rsid w:val="00A747BF"/>
    <w:rsid w:val="00A75C28"/>
    <w:rsid w:val="00A75DA7"/>
    <w:rsid w:val="00A7706B"/>
    <w:rsid w:val="00A812A3"/>
    <w:rsid w:val="00A831EF"/>
    <w:rsid w:val="00A8388A"/>
    <w:rsid w:val="00A840F3"/>
    <w:rsid w:val="00A844B2"/>
    <w:rsid w:val="00A84724"/>
    <w:rsid w:val="00A84BA9"/>
    <w:rsid w:val="00A85306"/>
    <w:rsid w:val="00A85D58"/>
    <w:rsid w:val="00A86017"/>
    <w:rsid w:val="00A865F4"/>
    <w:rsid w:val="00A9062F"/>
    <w:rsid w:val="00A9085A"/>
    <w:rsid w:val="00A908A9"/>
    <w:rsid w:val="00A90C3B"/>
    <w:rsid w:val="00A90D3C"/>
    <w:rsid w:val="00A9100E"/>
    <w:rsid w:val="00A910B1"/>
    <w:rsid w:val="00A916B7"/>
    <w:rsid w:val="00A92741"/>
    <w:rsid w:val="00A9311E"/>
    <w:rsid w:val="00A931FF"/>
    <w:rsid w:val="00A93724"/>
    <w:rsid w:val="00A93779"/>
    <w:rsid w:val="00A93A22"/>
    <w:rsid w:val="00A93CAF"/>
    <w:rsid w:val="00A94BAC"/>
    <w:rsid w:val="00A94D74"/>
    <w:rsid w:val="00A94E62"/>
    <w:rsid w:val="00A95450"/>
    <w:rsid w:val="00A959A0"/>
    <w:rsid w:val="00A96ADA"/>
    <w:rsid w:val="00A97827"/>
    <w:rsid w:val="00A97CFA"/>
    <w:rsid w:val="00A97E77"/>
    <w:rsid w:val="00A97FA4"/>
    <w:rsid w:val="00AA02A8"/>
    <w:rsid w:val="00AA073D"/>
    <w:rsid w:val="00AA0C7E"/>
    <w:rsid w:val="00AA0D6F"/>
    <w:rsid w:val="00AA158D"/>
    <w:rsid w:val="00AA18C3"/>
    <w:rsid w:val="00AA1C5F"/>
    <w:rsid w:val="00AA29BB"/>
    <w:rsid w:val="00AA2CBE"/>
    <w:rsid w:val="00AA2E69"/>
    <w:rsid w:val="00AA34C0"/>
    <w:rsid w:val="00AA3B8E"/>
    <w:rsid w:val="00AA4317"/>
    <w:rsid w:val="00AA48F5"/>
    <w:rsid w:val="00AA4937"/>
    <w:rsid w:val="00AA4D4D"/>
    <w:rsid w:val="00AA4DE3"/>
    <w:rsid w:val="00AA5609"/>
    <w:rsid w:val="00AA6175"/>
    <w:rsid w:val="00AA6313"/>
    <w:rsid w:val="00AA6675"/>
    <w:rsid w:val="00AA6E63"/>
    <w:rsid w:val="00AA6FAE"/>
    <w:rsid w:val="00AA71D9"/>
    <w:rsid w:val="00AA7271"/>
    <w:rsid w:val="00AA7616"/>
    <w:rsid w:val="00AA7984"/>
    <w:rsid w:val="00AA7AAB"/>
    <w:rsid w:val="00AA7DF6"/>
    <w:rsid w:val="00AB043C"/>
    <w:rsid w:val="00AB0692"/>
    <w:rsid w:val="00AB0CA8"/>
    <w:rsid w:val="00AB0F81"/>
    <w:rsid w:val="00AB1102"/>
    <w:rsid w:val="00AB1808"/>
    <w:rsid w:val="00AB1DED"/>
    <w:rsid w:val="00AB1F11"/>
    <w:rsid w:val="00AB2385"/>
    <w:rsid w:val="00AB25E0"/>
    <w:rsid w:val="00AB2699"/>
    <w:rsid w:val="00AB2A73"/>
    <w:rsid w:val="00AB3299"/>
    <w:rsid w:val="00AB34D9"/>
    <w:rsid w:val="00AB4944"/>
    <w:rsid w:val="00AB4BC2"/>
    <w:rsid w:val="00AB4C21"/>
    <w:rsid w:val="00AB4D55"/>
    <w:rsid w:val="00AB577D"/>
    <w:rsid w:val="00AB5A99"/>
    <w:rsid w:val="00AB63AC"/>
    <w:rsid w:val="00AB697E"/>
    <w:rsid w:val="00AB6A55"/>
    <w:rsid w:val="00AB70AB"/>
    <w:rsid w:val="00AB750E"/>
    <w:rsid w:val="00AB7BD4"/>
    <w:rsid w:val="00AB7D6A"/>
    <w:rsid w:val="00AB7F67"/>
    <w:rsid w:val="00AC00C8"/>
    <w:rsid w:val="00AC046F"/>
    <w:rsid w:val="00AC0B96"/>
    <w:rsid w:val="00AC1821"/>
    <w:rsid w:val="00AC18C1"/>
    <w:rsid w:val="00AC28FB"/>
    <w:rsid w:val="00AC2EB3"/>
    <w:rsid w:val="00AC30AA"/>
    <w:rsid w:val="00AC3713"/>
    <w:rsid w:val="00AC3BF8"/>
    <w:rsid w:val="00AC3DD5"/>
    <w:rsid w:val="00AC3E8E"/>
    <w:rsid w:val="00AC4F32"/>
    <w:rsid w:val="00AC5338"/>
    <w:rsid w:val="00AC66E6"/>
    <w:rsid w:val="00AC6F4A"/>
    <w:rsid w:val="00AC79B9"/>
    <w:rsid w:val="00AC7FEF"/>
    <w:rsid w:val="00AD014E"/>
    <w:rsid w:val="00AD047E"/>
    <w:rsid w:val="00AD0AF9"/>
    <w:rsid w:val="00AD1A9D"/>
    <w:rsid w:val="00AD1FDD"/>
    <w:rsid w:val="00AD29CB"/>
    <w:rsid w:val="00AD2C13"/>
    <w:rsid w:val="00AD2E14"/>
    <w:rsid w:val="00AD382D"/>
    <w:rsid w:val="00AD3B44"/>
    <w:rsid w:val="00AD474B"/>
    <w:rsid w:val="00AD48D5"/>
    <w:rsid w:val="00AD512B"/>
    <w:rsid w:val="00AD53B9"/>
    <w:rsid w:val="00AD5520"/>
    <w:rsid w:val="00AD568D"/>
    <w:rsid w:val="00AD5C43"/>
    <w:rsid w:val="00AD65AC"/>
    <w:rsid w:val="00AD6D43"/>
    <w:rsid w:val="00AD7456"/>
    <w:rsid w:val="00AD7780"/>
    <w:rsid w:val="00AE019C"/>
    <w:rsid w:val="00AE03FA"/>
    <w:rsid w:val="00AE08E4"/>
    <w:rsid w:val="00AE0C8F"/>
    <w:rsid w:val="00AE11B4"/>
    <w:rsid w:val="00AE1316"/>
    <w:rsid w:val="00AE18DE"/>
    <w:rsid w:val="00AE1FBA"/>
    <w:rsid w:val="00AE1FE0"/>
    <w:rsid w:val="00AE22EA"/>
    <w:rsid w:val="00AE2C10"/>
    <w:rsid w:val="00AE2C4D"/>
    <w:rsid w:val="00AE2F0D"/>
    <w:rsid w:val="00AE3684"/>
    <w:rsid w:val="00AE3E96"/>
    <w:rsid w:val="00AE3F3D"/>
    <w:rsid w:val="00AE4413"/>
    <w:rsid w:val="00AE4ADC"/>
    <w:rsid w:val="00AE5237"/>
    <w:rsid w:val="00AE52CC"/>
    <w:rsid w:val="00AE5742"/>
    <w:rsid w:val="00AE621D"/>
    <w:rsid w:val="00AE6C7C"/>
    <w:rsid w:val="00AE78DC"/>
    <w:rsid w:val="00AE7D27"/>
    <w:rsid w:val="00AF005D"/>
    <w:rsid w:val="00AF0412"/>
    <w:rsid w:val="00AF0601"/>
    <w:rsid w:val="00AF0637"/>
    <w:rsid w:val="00AF136F"/>
    <w:rsid w:val="00AF18E2"/>
    <w:rsid w:val="00AF2715"/>
    <w:rsid w:val="00AF427A"/>
    <w:rsid w:val="00AF4436"/>
    <w:rsid w:val="00AF4AB2"/>
    <w:rsid w:val="00AF4C6D"/>
    <w:rsid w:val="00AF5EE3"/>
    <w:rsid w:val="00AF5F67"/>
    <w:rsid w:val="00AF63AC"/>
    <w:rsid w:val="00AF6675"/>
    <w:rsid w:val="00AF6866"/>
    <w:rsid w:val="00AF6D58"/>
    <w:rsid w:val="00AF6F49"/>
    <w:rsid w:val="00AF7894"/>
    <w:rsid w:val="00AF7A0D"/>
    <w:rsid w:val="00B004E3"/>
    <w:rsid w:val="00B00DF3"/>
    <w:rsid w:val="00B01D46"/>
    <w:rsid w:val="00B02169"/>
    <w:rsid w:val="00B027ED"/>
    <w:rsid w:val="00B02C75"/>
    <w:rsid w:val="00B03600"/>
    <w:rsid w:val="00B0382A"/>
    <w:rsid w:val="00B03A26"/>
    <w:rsid w:val="00B0430B"/>
    <w:rsid w:val="00B04857"/>
    <w:rsid w:val="00B04906"/>
    <w:rsid w:val="00B04C8C"/>
    <w:rsid w:val="00B05227"/>
    <w:rsid w:val="00B05672"/>
    <w:rsid w:val="00B056AF"/>
    <w:rsid w:val="00B05BBA"/>
    <w:rsid w:val="00B06165"/>
    <w:rsid w:val="00B06518"/>
    <w:rsid w:val="00B06A5B"/>
    <w:rsid w:val="00B06AA6"/>
    <w:rsid w:val="00B07316"/>
    <w:rsid w:val="00B10394"/>
    <w:rsid w:val="00B108FE"/>
    <w:rsid w:val="00B118C0"/>
    <w:rsid w:val="00B11913"/>
    <w:rsid w:val="00B11FB5"/>
    <w:rsid w:val="00B12477"/>
    <w:rsid w:val="00B12EC9"/>
    <w:rsid w:val="00B13423"/>
    <w:rsid w:val="00B1388D"/>
    <w:rsid w:val="00B13951"/>
    <w:rsid w:val="00B147EE"/>
    <w:rsid w:val="00B147F8"/>
    <w:rsid w:val="00B14BA6"/>
    <w:rsid w:val="00B14BF7"/>
    <w:rsid w:val="00B156BB"/>
    <w:rsid w:val="00B1575C"/>
    <w:rsid w:val="00B1588E"/>
    <w:rsid w:val="00B158E6"/>
    <w:rsid w:val="00B15FED"/>
    <w:rsid w:val="00B16292"/>
    <w:rsid w:val="00B16637"/>
    <w:rsid w:val="00B171E8"/>
    <w:rsid w:val="00B175C1"/>
    <w:rsid w:val="00B17C61"/>
    <w:rsid w:val="00B2025A"/>
    <w:rsid w:val="00B207BD"/>
    <w:rsid w:val="00B20840"/>
    <w:rsid w:val="00B21056"/>
    <w:rsid w:val="00B210C3"/>
    <w:rsid w:val="00B21414"/>
    <w:rsid w:val="00B21643"/>
    <w:rsid w:val="00B21BB9"/>
    <w:rsid w:val="00B21DE7"/>
    <w:rsid w:val="00B21E6D"/>
    <w:rsid w:val="00B22164"/>
    <w:rsid w:val="00B22D0A"/>
    <w:rsid w:val="00B23D3E"/>
    <w:rsid w:val="00B24621"/>
    <w:rsid w:val="00B2487B"/>
    <w:rsid w:val="00B250AE"/>
    <w:rsid w:val="00B25DF8"/>
    <w:rsid w:val="00B26A98"/>
    <w:rsid w:val="00B26AE9"/>
    <w:rsid w:val="00B26BDC"/>
    <w:rsid w:val="00B26EF6"/>
    <w:rsid w:val="00B270A0"/>
    <w:rsid w:val="00B27877"/>
    <w:rsid w:val="00B2787A"/>
    <w:rsid w:val="00B30BBB"/>
    <w:rsid w:val="00B317A7"/>
    <w:rsid w:val="00B31B48"/>
    <w:rsid w:val="00B3233D"/>
    <w:rsid w:val="00B32C18"/>
    <w:rsid w:val="00B3376C"/>
    <w:rsid w:val="00B342B9"/>
    <w:rsid w:val="00B343F0"/>
    <w:rsid w:val="00B3496A"/>
    <w:rsid w:val="00B349CB"/>
    <w:rsid w:val="00B3591D"/>
    <w:rsid w:val="00B35E8A"/>
    <w:rsid w:val="00B36282"/>
    <w:rsid w:val="00B36954"/>
    <w:rsid w:val="00B37284"/>
    <w:rsid w:val="00B37A15"/>
    <w:rsid w:val="00B37A87"/>
    <w:rsid w:val="00B37B8A"/>
    <w:rsid w:val="00B37FD9"/>
    <w:rsid w:val="00B40001"/>
    <w:rsid w:val="00B40064"/>
    <w:rsid w:val="00B4041F"/>
    <w:rsid w:val="00B4042A"/>
    <w:rsid w:val="00B407FC"/>
    <w:rsid w:val="00B40B50"/>
    <w:rsid w:val="00B40DE6"/>
    <w:rsid w:val="00B41F65"/>
    <w:rsid w:val="00B42CB0"/>
    <w:rsid w:val="00B42DC7"/>
    <w:rsid w:val="00B42DCC"/>
    <w:rsid w:val="00B42DD6"/>
    <w:rsid w:val="00B43E2F"/>
    <w:rsid w:val="00B44404"/>
    <w:rsid w:val="00B445FC"/>
    <w:rsid w:val="00B447A3"/>
    <w:rsid w:val="00B44BAE"/>
    <w:rsid w:val="00B44BE2"/>
    <w:rsid w:val="00B44BE4"/>
    <w:rsid w:val="00B45684"/>
    <w:rsid w:val="00B4570F"/>
    <w:rsid w:val="00B457F3"/>
    <w:rsid w:val="00B45BA5"/>
    <w:rsid w:val="00B45DB6"/>
    <w:rsid w:val="00B45E10"/>
    <w:rsid w:val="00B46310"/>
    <w:rsid w:val="00B503C2"/>
    <w:rsid w:val="00B5072D"/>
    <w:rsid w:val="00B50D08"/>
    <w:rsid w:val="00B50E3A"/>
    <w:rsid w:val="00B51491"/>
    <w:rsid w:val="00B5176B"/>
    <w:rsid w:val="00B51B91"/>
    <w:rsid w:val="00B52345"/>
    <w:rsid w:val="00B52E6C"/>
    <w:rsid w:val="00B5446B"/>
    <w:rsid w:val="00B54E06"/>
    <w:rsid w:val="00B55108"/>
    <w:rsid w:val="00B55170"/>
    <w:rsid w:val="00B556D0"/>
    <w:rsid w:val="00B55D9A"/>
    <w:rsid w:val="00B55EAA"/>
    <w:rsid w:val="00B5612E"/>
    <w:rsid w:val="00B567EC"/>
    <w:rsid w:val="00B57377"/>
    <w:rsid w:val="00B579A4"/>
    <w:rsid w:val="00B57C14"/>
    <w:rsid w:val="00B6004E"/>
    <w:rsid w:val="00B601A8"/>
    <w:rsid w:val="00B60397"/>
    <w:rsid w:val="00B60A2F"/>
    <w:rsid w:val="00B60BD9"/>
    <w:rsid w:val="00B60CBE"/>
    <w:rsid w:val="00B6173A"/>
    <w:rsid w:val="00B61870"/>
    <w:rsid w:val="00B61FCF"/>
    <w:rsid w:val="00B621E0"/>
    <w:rsid w:val="00B63D44"/>
    <w:rsid w:val="00B64CC2"/>
    <w:rsid w:val="00B653E3"/>
    <w:rsid w:val="00B655D9"/>
    <w:rsid w:val="00B65608"/>
    <w:rsid w:val="00B67700"/>
    <w:rsid w:val="00B67A54"/>
    <w:rsid w:val="00B703DB"/>
    <w:rsid w:val="00B70C82"/>
    <w:rsid w:val="00B71202"/>
    <w:rsid w:val="00B715DD"/>
    <w:rsid w:val="00B71C38"/>
    <w:rsid w:val="00B72165"/>
    <w:rsid w:val="00B7234F"/>
    <w:rsid w:val="00B724DB"/>
    <w:rsid w:val="00B72600"/>
    <w:rsid w:val="00B7287E"/>
    <w:rsid w:val="00B72AB0"/>
    <w:rsid w:val="00B7326F"/>
    <w:rsid w:val="00B7357F"/>
    <w:rsid w:val="00B73F49"/>
    <w:rsid w:val="00B74CB1"/>
    <w:rsid w:val="00B74D38"/>
    <w:rsid w:val="00B753C0"/>
    <w:rsid w:val="00B75E3B"/>
    <w:rsid w:val="00B76CFA"/>
    <w:rsid w:val="00B774F5"/>
    <w:rsid w:val="00B77AF4"/>
    <w:rsid w:val="00B77E16"/>
    <w:rsid w:val="00B77E8D"/>
    <w:rsid w:val="00B80056"/>
    <w:rsid w:val="00B815AF"/>
    <w:rsid w:val="00B81748"/>
    <w:rsid w:val="00B817DB"/>
    <w:rsid w:val="00B81B98"/>
    <w:rsid w:val="00B821C3"/>
    <w:rsid w:val="00B8276E"/>
    <w:rsid w:val="00B83117"/>
    <w:rsid w:val="00B8334F"/>
    <w:rsid w:val="00B834A6"/>
    <w:rsid w:val="00B83DC1"/>
    <w:rsid w:val="00B85575"/>
    <w:rsid w:val="00B85AC9"/>
    <w:rsid w:val="00B85DBF"/>
    <w:rsid w:val="00B860F9"/>
    <w:rsid w:val="00B869EE"/>
    <w:rsid w:val="00B86FC3"/>
    <w:rsid w:val="00B87D24"/>
    <w:rsid w:val="00B87EF8"/>
    <w:rsid w:val="00B901A5"/>
    <w:rsid w:val="00B90256"/>
    <w:rsid w:val="00B9044A"/>
    <w:rsid w:val="00B90BCD"/>
    <w:rsid w:val="00B9161F"/>
    <w:rsid w:val="00B916BE"/>
    <w:rsid w:val="00B91707"/>
    <w:rsid w:val="00B91DE1"/>
    <w:rsid w:val="00B92040"/>
    <w:rsid w:val="00B929F5"/>
    <w:rsid w:val="00B92C9C"/>
    <w:rsid w:val="00B92FDE"/>
    <w:rsid w:val="00B932F2"/>
    <w:rsid w:val="00B933C9"/>
    <w:rsid w:val="00B937FE"/>
    <w:rsid w:val="00B93C05"/>
    <w:rsid w:val="00B94239"/>
    <w:rsid w:val="00B947C7"/>
    <w:rsid w:val="00B94D24"/>
    <w:rsid w:val="00B94F9A"/>
    <w:rsid w:val="00B953C4"/>
    <w:rsid w:val="00B97272"/>
    <w:rsid w:val="00B973A9"/>
    <w:rsid w:val="00B97845"/>
    <w:rsid w:val="00BA1303"/>
    <w:rsid w:val="00BA2074"/>
    <w:rsid w:val="00BA2116"/>
    <w:rsid w:val="00BA2BCF"/>
    <w:rsid w:val="00BA38BE"/>
    <w:rsid w:val="00BA3DE1"/>
    <w:rsid w:val="00BA441F"/>
    <w:rsid w:val="00BA44B8"/>
    <w:rsid w:val="00BA4F6C"/>
    <w:rsid w:val="00BA53E7"/>
    <w:rsid w:val="00BA57F1"/>
    <w:rsid w:val="00BA5856"/>
    <w:rsid w:val="00BA58F3"/>
    <w:rsid w:val="00BA62B2"/>
    <w:rsid w:val="00BA6447"/>
    <w:rsid w:val="00BA64FA"/>
    <w:rsid w:val="00BA6A2A"/>
    <w:rsid w:val="00BA6B8C"/>
    <w:rsid w:val="00BA6C1E"/>
    <w:rsid w:val="00BB07E0"/>
    <w:rsid w:val="00BB0D74"/>
    <w:rsid w:val="00BB11FB"/>
    <w:rsid w:val="00BB1D5A"/>
    <w:rsid w:val="00BB278D"/>
    <w:rsid w:val="00BB30CC"/>
    <w:rsid w:val="00BB3851"/>
    <w:rsid w:val="00BB3C4A"/>
    <w:rsid w:val="00BB3D0A"/>
    <w:rsid w:val="00BB4C23"/>
    <w:rsid w:val="00BB4C73"/>
    <w:rsid w:val="00BB5299"/>
    <w:rsid w:val="00BB52CA"/>
    <w:rsid w:val="00BB5A32"/>
    <w:rsid w:val="00BB6258"/>
    <w:rsid w:val="00BB7D13"/>
    <w:rsid w:val="00BC019D"/>
    <w:rsid w:val="00BC0A64"/>
    <w:rsid w:val="00BC0E1F"/>
    <w:rsid w:val="00BC1016"/>
    <w:rsid w:val="00BC1CA8"/>
    <w:rsid w:val="00BC213A"/>
    <w:rsid w:val="00BC2E09"/>
    <w:rsid w:val="00BC2EB3"/>
    <w:rsid w:val="00BC3513"/>
    <w:rsid w:val="00BC369E"/>
    <w:rsid w:val="00BC389E"/>
    <w:rsid w:val="00BC456B"/>
    <w:rsid w:val="00BC4BDB"/>
    <w:rsid w:val="00BC5241"/>
    <w:rsid w:val="00BC5BE0"/>
    <w:rsid w:val="00BC5D73"/>
    <w:rsid w:val="00BC6E05"/>
    <w:rsid w:val="00BC7013"/>
    <w:rsid w:val="00BD0409"/>
    <w:rsid w:val="00BD0611"/>
    <w:rsid w:val="00BD0706"/>
    <w:rsid w:val="00BD1250"/>
    <w:rsid w:val="00BD19DB"/>
    <w:rsid w:val="00BD203C"/>
    <w:rsid w:val="00BD220B"/>
    <w:rsid w:val="00BD2324"/>
    <w:rsid w:val="00BD24AA"/>
    <w:rsid w:val="00BD29A5"/>
    <w:rsid w:val="00BD2E0D"/>
    <w:rsid w:val="00BD31CF"/>
    <w:rsid w:val="00BD4382"/>
    <w:rsid w:val="00BD527F"/>
    <w:rsid w:val="00BD5D73"/>
    <w:rsid w:val="00BD5DC7"/>
    <w:rsid w:val="00BD6076"/>
    <w:rsid w:val="00BD6244"/>
    <w:rsid w:val="00BD65A4"/>
    <w:rsid w:val="00BD6DDE"/>
    <w:rsid w:val="00BD7605"/>
    <w:rsid w:val="00BD7619"/>
    <w:rsid w:val="00BE0031"/>
    <w:rsid w:val="00BE084E"/>
    <w:rsid w:val="00BE09A5"/>
    <w:rsid w:val="00BE0EB0"/>
    <w:rsid w:val="00BE0F74"/>
    <w:rsid w:val="00BE1909"/>
    <w:rsid w:val="00BE1911"/>
    <w:rsid w:val="00BE1B57"/>
    <w:rsid w:val="00BE25A4"/>
    <w:rsid w:val="00BE2CAF"/>
    <w:rsid w:val="00BE2F82"/>
    <w:rsid w:val="00BE2FD9"/>
    <w:rsid w:val="00BE31D5"/>
    <w:rsid w:val="00BE3F27"/>
    <w:rsid w:val="00BE4937"/>
    <w:rsid w:val="00BE49C7"/>
    <w:rsid w:val="00BE4AD3"/>
    <w:rsid w:val="00BE4B13"/>
    <w:rsid w:val="00BE4E29"/>
    <w:rsid w:val="00BE5538"/>
    <w:rsid w:val="00BE5619"/>
    <w:rsid w:val="00BE63C5"/>
    <w:rsid w:val="00BE6A48"/>
    <w:rsid w:val="00BE7B3F"/>
    <w:rsid w:val="00BE7D09"/>
    <w:rsid w:val="00BF0CBD"/>
    <w:rsid w:val="00BF0E64"/>
    <w:rsid w:val="00BF1153"/>
    <w:rsid w:val="00BF23CF"/>
    <w:rsid w:val="00BF2469"/>
    <w:rsid w:val="00BF271E"/>
    <w:rsid w:val="00BF28E3"/>
    <w:rsid w:val="00BF2EFF"/>
    <w:rsid w:val="00BF365C"/>
    <w:rsid w:val="00BF417A"/>
    <w:rsid w:val="00BF42FA"/>
    <w:rsid w:val="00BF473A"/>
    <w:rsid w:val="00BF4E99"/>
    <w:rsid w:val="00BF4F3E"/>
    <w:rsid w:val="00BF5636"/>
    <w:rsid w:val="00BF61D6"/>
    <w:rsid w:val="00BF620F"/>
    <w:rsid w:val="00BF624E"/>
    <w:rsid w:val="00BF69D6"/>
    <w:rsid w:val="00BF6A38"/>
    <w:rsid w:val="00BF7514"/>
    <w:rsid w:val="00BF7591"/>
    <w:rsid w:val="00BF79AE"/>
    <w:rsid w:val="00C0034E"/>
    <w:rsid w:val="00C0106B"/>
    <w:rsid w:val="00C010F7"/>
    <w:rsid w:val="00C014AC"/>
    <w:rsid w:val="00C01BA2"/>
    <w:rsid w:val="00C020CF"/>
    <w:rsid w:val="00C02730"/>
    <w:rsid w:val="00C02D31"/>
    <w:rsid w:val="00C035C2"/>
    <w:rsid w:val="00C03B3C"/>
    <w:rsid w:val="00C04133"/>
    <w:rsid w:val="00C042BA"/>
    <w:rsid w:val="00C0432C"/>
    <w:rsid w:val="00C044D3"/>
    <w:rsid w:val="00C04733"/>
    <w:rsid w:val="00C0685C"/>
    <w:rsid w:val="00C07962"/>
    <w:rsid w:val="00C11484"/>
    <w:rsid w:val="00C116C2"/>
    <w:rsid w:val="00C11CE0"/>
    <w:rsid w:val="00C120EC"/>
    <w:rsid w:val="00C12C09"/>
    <w:rsid w:val="00C12F13"/>
    <w:rsid w:val="00C1401F"/>
    <w:rsid w:val="00C1447E"/>
    <w:rsid w:val="00C14DAE"/>
    <w:rsid w:val="00C15A52"/>
    <w:rsid w:val="00C15A9E"/>
    <w:rsid w:val="00C15ADE"/>
    <w:rsid w:val="00C165D4"/>
    <w:rsid w:val="00C166BB"/>
    <w:rsid w:val="00C16DB2"/>
    <w:rsid w:val="00C17A8F"/>
    <w:rsid w:val="00C17DB4"/>
    <w:rsid w:val="00C17EF2"/>
    <w:rsid w:val="00C17EFC"/>
    <w:rsid w:val="00C20F6C"/>
    <w:rsid w:val="00C2135D"/>
    <w:rsid w:val="00C217FE"/>
    <w:rsid w:val="00C218FE"/>
    <w:rsid w:val="00C21B86"/>
    <w:rsid w:val="00C21EE7"/>
    <w:rsid w:val="00C223CF"/>
    <w:rsid w:val="00C22616"/>
    <w:rsid w:val="00C22C3B"/>
    <w:rsid w:val="00C2302E"/>
    <w:rsid w:val="00C25099"/>
    <w:rsid w:val="00C257E3"/>
    <w:rsid w:val="00C26D6C"/>
    <w:rsid w:val="00C2723C"/>
    <w:rsid w:val="00C276FC"/>
    <w:rsid w:val="00C278E5"/>
    <w:rsid w:val="00C30016"/>
    <w:rsid w:val="00C30241"/>
    <w:rsid w:val="00C30646"/>
    <w:rsid w:val="00C30BDD"/>
    <w:rsid w:val="00C30E2C"/>
    <w:rsid w:val="00C30E83"/>
    <w:rsid w:val="00C313B7"/>
    <w:rsid w:val="00C31D17"/>
    <w:rsid w:val="00C31D61"/>
    <w:rsid w:val="00C32080"/>
    <w:rsid w:val="00C324E6"/>
    <w:rsid w:val="00C32C98"/>
    <w:rsid w:val="00C32F22"/>
    <w:rsid w:val="00C333D1"/>
    <w:rsid w:val="00C333E4"/>
    <w:rsid w:val="00C33878"/>
    <w:rsid w:val="00C33E3A"/>
    <w:rsid w:val="00C3442B"/>
    <w:rsid w:val="00C345E5"/>
    <w:rsid w:val="00C34D5F"/>
    <w:rsid w:val="00C34EF4"/>
    <w:rsid w:val="00C3556B"/>
    <w:rsid w:val="00C358FB"/>
    <w:rsid w:val="00C35A1C"/>
    <w:rsid w:val="00C35B5D"/>
    <w:rsid w:val="00C36028"/>
    <w:rsid w:val="00C361B7"/>
    <w:rsid w:val="00C3630F"/>
    <w:rsid w:val="00C367AD"/>
    <w:rsid w:val="00C36E8A"/>
    <w:rsid w:val="00C3721F"/>
    <w:rsid w:val="00C4092E"/>
    <w:rsid w:val="00C40C64"/>
    <w:rsid w:val="00C40D35"/>
    <w:rsid w:val="00C41B7B"/>
    <w:rsid w:val="00C41E74"/>
    <w:rsid w:val="00C41E76"/>
    <w:rsid w:val="00C41F42"/>
    <w:rsid w:val="00C434ED"/>
    <w:rsid w:val="00C4402E"/>
    <w:rsid w:val="00C44CFA"/>
    <w:rsid w:val="00C45163"/>
    <w:rsid w:val="00C453AB"/>
    <w:rsid w:val="00C45AB1"/>
    <w:rsid w:val="00C45BF3"/>
    <w:rsid w:val="00C46682"/>
    <w:rsid w:val="00C46D41"/>
    <w:rsid w:val="00C471EE"/>
    <w:rsid w:val="00C47364"/>
    <w:rsid w:val="00C4775E"/>
    <w:rsid w:val="00C47CE1"/>
    <w:rsid w:val="00C50171"/>
    <w:rsid w:val="00C50271"/>
    <w:rsid w:val="00C509E4"/>
    <w:rsid w:val="00C50E9B"/>
    <w:rsid w:val="00C52A35"/>
    <w:rsid w:val="00C52B93"/>
    <w:rsid w:val="00C538F0"/>
    <w:rsid w:val="00C54299"/>
    <w:rsid w:val="00C546AE"/>
    <w:rsid w:val="00C54A3A"/>
    <w:rsid w:val="00C54FB8"/>
    <w:rsid w:val="00C54FF4"/>
    <w:rsid w:val="00C554FB"/>
    <w:rsid w:val="00C560D3"/>
    <w:rsid w:val="00C563CD"/>
    <w:rsid w:val="00C56ECF"/>
    <w:rsid w:val="00C57416"/>
    <w:rsid w:val="00C5752C"/>
    <w:rsid w:val="00C5764A"/>
    <w:rsid w:val="00C576E1"/>
    <w:rsid w:val="00C576F6"/>
    <w:rsid w:val="00C57C55"/>
    <w:rsid w:val="00C61A8A"/>
    <w:rsid w:val="00C62865"/>
    <w:rsid w:val="00C62E67"/>
    <w:rsid w:val="00C62FEB"/>
    <w:rsid w:val="00C64016"/>
    <w:rsid w:val="00C6414B"/>
    <w:rsid w:val="00C64EAE"/>
    <w:rsid w:val="00C67B3C"/>
    <w:rsid w:val="00C703B9"/>
    <w:rsid w:val="00C70A01"/>
    <w:rsid w:val="00C70D35"/>
    <w:rsid w:val="00C711D0"/>
    <w:rsid w:val="00C715AC"/>
    <w:rsid w:val="00C7163F"/>
    <w:rsid w:val="00C718FC"/>
    <w:rsid w:val="00C71E63"/>
    <w:rsid w:val="00C7291D"/>
    <w:rsid w:val="00C7361E"/>
    <w:rsid w:val="00C7398F"/>
    <w:rsid w:val="00C74148"/>
    <w:rsid w:val="00C742A8"/>
    <w:rsid w:val="00C744EC"/>
    <w:rsid w:val="00C7494F"/>
    <w:rsid w:val="00C74BC9"/>
    <w:rsid w:val="00C74FCE"/>
    <w:rsid w:val="00C753B8"/>
    <w:rsid w:val="00C753C3"/>
    <w:rsid w:val="00C756BB"/>
    <w:rsid w:val="00C75D83"/>
    <w:rsid w:val="00C75E24"/>
    <w:rsid w:val="00C760A5"/>
    <w:rsid w:val="00C767B0"/>
    <w:rsid w:val="00C76BF5"/>
    <w:rsid w:val="00C77BA3"/>
    <w:rsid w:val="00C77BC9"/>
    <w:rsid w:val="00C77F83"/>
    <w:rsid w:val="00C80141"/>
    <w:rsid w:val="00C80CDA"/>
    <w:rsid w:val="00C81288"/>
    <w:rsid w:val="00C8186E"/>
    <w:rsid w:val="00C818B2"/>
    <w:rsid w:val="00C819DD"/>
    <w:rsid w:val="00C81F5C"/>
    <w:rsid w:val="00C82812"/>
    <w:rsid w:val="00C84236"/>
    <w:rsid w:val="00C848F1"/>
    <w:rsid w:val="00C84CD5"/>
    <w:rsid w:val="00C84D07"/>
    <w:rsid w:val="00C854B3"/>
    <w:rsid w:val="00C85FE0"/>
    <w:rsid w:val="00C86528"/>
    <w:rsid w:val="00C86C2C"/>
    <w:rsid w:val="00C86DA9"/>
    <w:rsid w:val="00C86DE0"/>
    <w:rsid w:val="00C87A1D"/>
    <w:rsid w:val="00C87E35"/>
    <w:rsid w:val="00C90109"/>
    <w:rsid w:val="00C91199"/>
    <w:rsid w:val="00C9139F"/>
    <w:rsid w:val="00C914B4"/>
    <w:rsid w:val="00C91D72"/>
    <w:rsid w:val="00C9228F"/>
    <w:rsid w:val="00C924C2"/>
    <w:rsid w:val="00C925C3"/>
    <w:rsid w:val="00C934C2"/>
    <w:rsid w:val="00C937A4"/>
    <w:rsid w:val="00C945D1"/>
    <w:rsid w:val="00C9519F"/>
    <w:rsid w:val="00C956E4"/>
    <w:rsid w:val="00C95BDC"/>
    <w:rsid w:val="00C97AC0"/>
    <w:rsid w:val="00CA05FC"/>
    <w:rsid w:val="00CA0856"/>
    <w:rsid w:val="00CA104D"/>
    <w:rsid w:val="00CA1E86"/>
    <w:rsid w:val="00CA248B"/>
    <w:rsid w:val="00CA24B6"/>
    <w:rsid w:val="00CA2685"/>
    <w:rsid w:val="00CA3024"/>
    <w:rsid w:val="00CA3049"/>
    <w:rsid w:val="00CA35AE"/>
    <w:rsid w:val="00CA3AC2"/>
    <w:rsid w:val="00CA4421"/>
    <w:rsid w:val="00CA44BF"/>
    <w:rsid w:val="00CA454B"/>
    <w:rsid w:val="00CA4626"/>
    <w:rsid w:val="00CA4AA9"/>
    <w:rsid w:val="00CA4C0D"/>
    <w:rsid w:val="00CA4FF8"/>
    <w:rsid w:val="00CA50FA"/>
    <w:rsid w:val="00CA5668"/>
    <w:rsid w:val="00CA65E7"/>
    <w:rsid w:val="00CA6873"/>
    <w:rsid w:val="00CA6C3F"/>
    <w:rsid w:val="00CA6C61"/>
    <w:rsid w:val="00CA6E10"/>
    <w:rsid w:val="00CA72B5"/>
    <w:rsid w:val="00CA737A"/>
    <w:rsid w:val="00CA7588"/>
    <w:rsid w:val="00CA7A30"/>
    <w:rsid w:val="00CA7EA7"/>
    <w:rsid w:val="00CB0097"/>
    <w:rsid w:val="00CB061C"/>
    <w:rsid w:val="00CB06FC"/>
    <w:rsid w:val="00CB186B"/>
    <w:rsid w:val="00CB1D53"/>
    <w:rsid w:val="00CB2547"/>
    <w:rsid w:val="00CB3510"/>
    <w:rsid w:val="00CB4117"/>
    <w:rsid w:val="00CB463B"/>
    <w:rsid w:val="00CB46A3"/>
    <w:rsid w:val="00CB4920"/>
    <w:rsid w:val="00CB4D06"/>
    <w:rsid w:val="00CB5F37"/>
    <w:rsid w:val="00CB621A"/>
    <w:rsid w:val="00CB629C"/>
    <w:rsid w:val="00CB73E6"/>
    <w:rsid w:val="00CB7DFB"/>
    <w:rsid w:val="00CB7FB8"/>
    <w:rsid w:val="00CC0538"/>
    <w:rsid w:val="00CC1FAA"/>
    <w:rsid w:val="00CC237A"/>
    <w:rsid w:val="00CC298E"/>
    <w:rsid w:val="00CC2F9F"/>
    <w:rsid w:val="00CC36AD"/>
    <w:rsid w:val="00CC3A28"/>
    <w:rsid w:val="00CC3D0F"/>
    <w:rsid w:val="00CC3F23"/>
    <w:rsid w:val="00CC53B8"/>
    <w:rsid w:val="00CC552A"/>
    <w:rsid w:val="00CC681C"/>
    <w:rsid w:val="00CC78BD"/>
    <w:rsid w:val="00CD04E6"/>
    <w:rsid w:val="00CD07CA"/>
    <w:rsid w:val="00CD1407"/>
    <w:rsid w:val="00CD15E1"/>
    <w:rsid w:val="00CD1A77"/>
    <w:rsid w:val="00CD1BEA"/>
    <w:rsid w:val="00CD1C66"/>
    <w:rsid w:val="00CD212B"/>
    <w:rsid w:val="00CD21AF"/>
    <w:rsid w:val="00CD2ADD"/>
    <w:rsid w:val="00CD3387"/>
    <w:rsid w:val="00CD38A3"/>
    <w:rsid w:val="00CD38FC"/>
    <w:rsid w:val="00CD3BA4"/>
    <w:rsid w:val="00CD45F6"/>
    <w:rsid w:val="00CD46A3"/>
    <w:rsid w:val="00CD4815"/>
    <w:rsid w:val="00CD4E34"/>
    <w:rsid w:val="00CD6C49"/>
    <w:rsid w:val="00CD71F9"/>
    <w:rsid w:val="00CD7599"/>
    <w:rsid w:val="00CD7986"/>
    <w:rsid w:val="00CE01DD"/>
    <w:rsid w:val="00CE0BE4"/>
    <w:rsid w:val="00CE0C36"/>
    <w:rsid w:val="00CE0FDF"/>
    <w:rsid w:val="00CE10F2"/>
    <w:rsid w:val="00CE2255"/>
    <w:rsid w:val="00CE324D"/>
    <w:rsid w:val="00CE3D60"/>
    <w:rsid w:val="00CE3FF6"/>
    <w:rsid w:val="00CE43AC"/>
    <w:rsid w:val="00CE4ECE"/>
    <w:rsid w:val="00CE6370"/>
    <w:rsid w:val="00CE6A6E"/>
    <w:rsid w:val="00CE6AD6"/>
    <w:rsid w:val="00CE6B81"/>
    <w:rsid w:val="00CE6C7D"/>
    <w:rsid w:val="00CE7A7B"/>
    <w:rsid w:val="00CF0049"/>
    <w:rsid w:val="00CF014B"/>
    <w:rsid w:val="00CF0295"/>
    <w:rsid w:val="00CF11C9"/>
    <w:rsid w:val="00CF1611"/>
    <w:rsid w:val="00CF2996"/>
    <w:rsid w:val="00CF2B15"/>
    <w:rsid w:val="00CF33A3"/>
    <w:rsid w:val="00CF33F6"/>
    <w:rsid w:val="00CF3BE0"/>
    <w:rsid w:val="00CF40A4"/>
    <w:rsid w:val="00CF430A"/>
    <w:rsid w:val="00CF43E9"/>
    <w:rsid w:val="00CF5C02"/>
    <w:rsid w:val="00CF5CBC"/>
    <w:rsid w:val="00CF61D5"/>
    <w:rsid w:val="00CF6F93"/>
    <w:rsid w:val="00CF71AC"/>
    <w:rsid w:val="00CF7ADA"/>
    <w:rsid w:val="00D000C3"/>
    <w:rsid w:val="00D00569"/>
    <w:rsid w:val="00D00893"/>
    <w:rsid w:val="00D00B7E"/>
    <w:rsid w:val="00D00EB7"/>
    <w:rsid w:val="00D00FD1"/>
    <w:rsid w:val="00D017F5"/>
    <w:rsid w:val="00D02383"/>
    <w:rsid w:val="00D023DE"/>
    <w:rsid w:val="00D02648"/>
    <w:rsid w:val="00D02817"/>
    <w:rsid w:val="00D02E1D"/>
    <w:rsid w:val="00D02EF8"/>
    <w:rsid w:val="00D0312C"/>
    <w:rsid w:val="00D04545"/>
    <w:rsid w:val="00D04927"/>
    <w:rsid w:val="00D049CA"/>
    <w:rsid w:val="00D04E65"/>
    <w:rsid w:val="00D04FB5"/>
    <w:rsid w:val="00D052ED"/>
    <w:rsid w:val="00D05520"/>
    <w:rsid w:val="00D05A7F"/>
    <w:rsid w:val="00D05FFC"/>
    <w:rsid w:val="00D06B3C"/>
    <w:rsid w:val="00D07128"/>
    <w:rsid w:val="00D0736D"/>
    <w:rsid w:val="00D0741B"/>
    <w:rsid w:val="00D07F10"/>
    <w:rsid w:val="00D10051"/>
    <w:rsid w:val="00D1055E"/>
    <w:rsid w:val="00D10595"/>
    <w:rsid w:val="00D107C7"/>
    <w:rsid w:val="00D1209D"/>
    <w:rsid w:val="00D12B5C"/>
    <w:rsid w:val="00D1304F"/>
    <w:rsid w:val="00D13799"/>
    <w:rsid w:val="00D145A5"/>
    <w:rsid w:val="00D1466E"/>
    <w:rsid w:val="00D14CAD"/>
    <w:rsid w:val="00D14E45"/>
    <w:rsid w:val="00D151FA"/>
    <w:rsid w:val="00D15245"/>
    <w:rsid w:val="00D1552C"/>
    <w:rsid w:val="00D15BC3"/>
    <w:rsid w:val="00D15F61"/>
    <w:rsid w:val="00D16164"/>
    <w:rsid w:val="00D1633B"/>
    <w:rsid w:val="00D1656A"/>
    <w:rsid w:val="00D166C3"/>
    <w:rsid w:val="00D166F8"/>
    <w:rsid w:val="00D167F5"/>
    <w:rsid w:val="00D169BC"/>
    <w:rsid w:val="00D170C2"/>
    <w:rsid w:val="00D20165"/>
    <w:rsid w:val="00D204FB"/>
    <w:rsid w:val="00D20D62"/>
    <w:rsid w:val="00D21325"/>
    <w:rsid w:val="00D21459"/>
    <w:rsid w:val="00D21C6E"/>
    <w:rsid w:val="00D21DF3"/>
    <w:rsid w:val="00D23A3D"/>
    <w:rsid w:val="00D24E32"/>
    <w:rsid w:val="00D2521F"/>
    <w:rsid w:val="00D265AB"/>
    <w:rsid w:val="00D267D0"/>
    <w:rsid w:val="00D27652"/>
    <w:rsid w:val="00D2780F"/>
    <w:rsid w:val="00D27B37"/>
    <w:rsid w:val="00D303CA"/>
    <w:rsid w:val="00D30E04"/>
    <w:rsid w:val="00D30F3E"/>
    <w:rsid w:val="00D30FA8"/>
    <w:rsid w:val="00D31056"/>
    <w:rsid w:val="00D31644"/>
    <w:rsid w:val="00D33155"/>
    <w:rsid w:val="00D33CEB"/>
    <w:rsid w:val="00D34933"/>
    <w:rsid w:val="00D3546C"/>
    <w:rsid w:val="00D3565A"/>
    <w:rsid w:val="00D356B6"/>
    <w:rsid w:val="00D3670C"/>
    <w:rsid w:val="00D368CF"/>
    <w:rsid w:val="00D36E30"/>
    <w:rsid w:val="00D376C9"/>
    <w:rsid w:val="00D3772E"/>
    <w:rsid w:val="00D378EC"/>
    <w:rsid w:val="00D4040D"/>
    <w:rsid w:val="00D404A9"/>
    <w:rsid w:val="00D40623"/>
    <w:rsid w:val="00D40960"/>
    <w:rsid w:val="00D40B1E"/>
    <w:rsid w:val="00D40ED4"/>
    <w:rsid w:val="00D410BA"/>
    <w:rsid w:val="00D4183A"/>
    <w:rsid w:val="00D42411"/>
    <w:rsid w:val="00D43D04"/>
    <w:rsid w:val="00D43F27"/>
    <w:rsid w:val="00D4524D"/>
    <w:rsid w:val="00D460F8"/>
    <w:rsid w:val="00D4651B"/>
    <w:rsid w:val="00D474F0"/>
    <w:rsid w:val="00D47B80"/>
    <w:rsid w:val="00D50008"/>
    <w:rsid w:val="00D503B0"/>
    <w:rsid w:val="00D5042E"/>
    <w:rsid w:val="00D506ED"/>
    <w:rsid w:val="00D518B9"/>
    <w:rsid w:val="00D53533"/>
    <w:rsid w:val="00D54318"/>
    <w:rsid w:val="00D5474A"/>
    <w:rsid w:val="00D548D9"/>
    <w:rsid w:val="00D54D19"/>
    <w:rsid w:val="00D551DE"/>
    <w:rsid w:val="00D55276"/>
    <w:rsid w:val="00D55652"/>
    <w:rsid w:val="00D55808"/>
    <w:rsid w:val="00D55AAC"/>
    <w:rsid w:val="00D5624B"/>
    <w:rsid w:val="00D56497"/>
    <w:rsid w:val="00D56BE1"/>
    <w:rsid w:val="00D572FA"/>
    <w:rsid w:val="00D576B2"/>
    <w:rsid w:val="00D60790"/>
    <w:rsid w:val="00D607A1"/>
    <w:rsid w:val="00D609BE"/>
    <w:rsid w:val="00D60B41"/>
    <w:rsid w:val="00D60B6D"/>
    <w:rsid w:val="00D61402"/>
    <w:rsid w:val="00D61AD6"/>
    <w:rsid w:val="00D61B6F"/>
    <w:rsid w:val="00D61DF7"/>
    <w:rsid w:val="00D625C6"/>
    <w:rsid w:val="00D626C9"/>
    <w:rsid w:val="00D627D1"/>
    <w:rsid w:val="00D629A0"/>
    <w:rsid w:val="00D62CA7"/>
    <w:rsid w:val="00D63712"/>
    <w:rsid w:val="00D64566"/>
    <w:rsid w:val="00D64807"/>
    <w:rsid w:val="00D65052"/>
    <w:rsid w:val="00D65876"/>
    <w:rsid w:val="00D65A04"/>
    <w:rsid w:val="00D65D26"/>
    <w:rsid w:val="00D65DDA"/>
    <w:rsid w:val="00D66517"/>
    <w:rsid w:val="00D66700"/>
    <w:rsid w:val="00D668E0"/>
    <w:rsid w:val="00D66B8A"/>
    <w:rsid w:val="00D66B95"/>
    <w:rsid w:val="00D66EF6"/>
    <w:rsid w:val="00D6701A"/>
    <w:rsid w:val="00D67770"/>
    <w:rsid w:val="00D70278"/>
    <w:rsid w:val="00D70E69"/>
    <w:rsid w:val="00D71A85"/>
    <w:rsid w:val="00D7290B"/>
    <w:rsid w:val="00D72A42"/>
    <w:rsid w:val="00D72D9A"/>
    <w:rsid w:val="00D73EB5"/>
    <w:rsid w:val="00D7414E"/>
    <w:rsid w:val="00D747E7"/>
    <w:rsid w:val="00D7555C"/>
    <w:rsid w:val="00D757C9"/>
    <w:rsid w:val="00D7591C"/>
    <w:rsid w:val="00D75999"/>
    <w:rsid w:val="00D75D75"/>
    <w:rsid w:val="00D7647E"/>
    <w:rsid w:val="00D76EAD"/>
    <w:rsid w:val="00D77E16"/>
    <w:rsid w:val="00D807F8"/>
    <w:rsid w:val="00D80FE5"/>
    <w:rsid w:val="00D810F2"/>
    <w:rsid w:val="00D81A2E"/>
    <w:rsid w:val="00D81D6A"/>
    <w:rsid w:val="00D8214E"/>
    <w:rsid w:val="00D823D5"/>
    <w:rsid w:val="00D82C43"/>
    <w:rsid w:val="00D830C6"/>
    <w:rsid w:val="00D832D1"/>
    <w:rsid w:val="00D8359F"/>
    <w:rsid w:val="00D8420E"/>
    <w:rsid w:val="00D844C1"/>
    <w:rsid w:val="00D8458F"/>
    <w:rsid w:val="00D84749"/>
    <w:rsid w:val="00D84BA9"/>
    <w:rsid w:val="00D84E86"/>
    <w:rsid w:val="00D852BB"/>
    <w:rsid w:val="00D853C8"/>
    <w:rsid w:val="00D86832"/>
    <w:rsid w:val="00D8715E"/>
    <w:rsid w:val="00D87203"/>
    <w:rsid w:val="00D8723D"/>
    <w:rsid w:val="00D8724B"/>
    <w:rsid w:val="00D87312"/>
    <w:rsid w:val="00D9086A"/>
    <w:rsid w:val="00D909FA"/>
    <w:rsid w:val="00D91357"/>
    <w:rsid w:val="00D92845"/>
    <w:rsid w:val="00D929DA"/>
    <w:rsid w:val="00D936C9"/>
    <w:rsid w:val="00D93D10"/>
    <w:rsid w:val="00D9475E"/>
    <w:rsid w:val="00D954BA"/>
    <w:rsid w:val="00D95A45"/>
    <w:rsid w:val="00D9649E"/>
    <w:rsid w:val="00D96542"/>
    <w:rsid w:val="00D9706A"/>
    <w:rsid w:val="00D974FE"/>
    <w:rsid w:val="00D97B16"/>
    <w:rsid w:val="00D97D2E"/>
    <w:rsid w:val="00DA005C"/>
    <w:rsid w:val="00DA0913"/>
    <w:rsid w:val="00DA0DDE"/>
    <w:rsid w:val="00DA1044"/>
    <w:rsid w:val="00DA1200"/>
    <w:rsid w:val="00DA1BF5"/>
    <w:rsid w:val="00DA2D46"/>
    <w:rsid w:val="00DA2D61"/>
    <w:rsid w:val="00DA2E23"/>
    <w:rsid w:val="00DA324A"/>
    <w:rsid w:val="00DA3666"/>
    <w:rsid w:val="00DA41AE"/>
    <w:rsid w:val="00DA4664"/>
    <w:rsid w:val="00DA5577"/>
    <w:rsid w:val="00DA65A7"/>
    <w:rsid w:val="00DA6C7E"/>
    <w:rsid w:val="00DA7DD3"/>
    <w:rsid w:val="00DB0112"/>
    <w:rsid w:val="00DB028F"/>
    <w:rsid w:val="00DB0743"/>
    <w:rsid w:val="00DB099B"/>
    <w:rsid w:val="00DB09EB"/>
    <w:rsid w:val="00DB1E49"/>
    <w:rsid w:val="00DB20C5"/>
    <w:rsid w:val="00DB24AD"/>
    <w:rsid w:val="00DB276A"/>
    <w:rsid w:val="00DB27D0"/>
    <w:rsid w:val="00DB339D"/>
    <w:rsid w:val="00DB3567"/>
    <w:rsid w:val="00DB3CF3"/>
    <w:rsid w:val="00DB3E0E"/>
    <w:rsid w:val="00DB467D"/>
    <w:rsid w:val="00DB4783"/>
    <w:rsid w:val="00DB52D8"/>
    <w:rsid w:val="00DB56AE"/>
    <w:rsid w:val="00DB5BBF"/>
    <w:rsid w:val="00DB5CEB"/>
    <w:rsid w:val="00DB6B3B"/>
    <w:rsid w:val="00DB6D99"/>
    <w:rsid w:val="00DB71BB"/>
    <w:rsid w:val="00DB7265"/>
    <w:rsid w:val="00DB79C6"/>
    <w:rsid w:val="00DB7E08"/>
    <w:rsid w:val="00DC0316"/>
    <w:rsid w:val="00DC1488"/>
    <w:rsid w:val="00DC1C39"/>
    <w:rsid w:val="00DC21D1"/>
    <w:rsid w:val="00DC2B59"/>
    <w:rsid w:val="00DC2C71"/>
    <w:rsid w:val="00DC3BE7"/>
    <w:rsid w:val="00DC41E9"/>
    <w:rsid w:val="00DC48B7"/>
    <w:rsid w:val="00DC4ED7"/>
    <w:rsid w:val="00DC6542"/>
    <w:rsid w:val="00DC6F68"/>
    <w:rsid w:val="00DC7041"/>
    <w:rsid w:val="00DC71C7"/>
    <w:rsid w:val="00DC7349"/>
    <w:rsid w:val="00DC7745"/>
    <w:rsid w:val="00DC7FE1"/>
    <w:rsid w:val="00DD09FB"/>
    <w:rsid w:val="00DD0B5A"/>
    <w:rsid w:val="00DD11EE"/>
    <w:rsid w:val="00DD1961"/>
    <w:rsid w:val="00DD1BA0"/>
    <w:rsid w:val="00DD1EE7"/>
    <w:rsid w:val="00DD2BC0"/>
    <w:rsid w:val="00DD2D26"/>
    <w:rsid w:val="00DD3CEA"/>
    <w:rsid w:val="00DD3F2E"/>
    <w:rsid w:val="00DD3FBA"/>
    <w:rsid w:val="00DD4ECB"/>
    <w:rsid w:val="00DD4F23"/>
    <w:rsid w:val="00DD51DE"/>
    <w:rsid w:val="00DD5401"/>
    <w:rsid w:val="00DD6CF0"/>
    <w:rsid w:val="00DD707E"/>
    <w:rsid w:val="00DD74E0"/>
    <w:rsid w:val="00DD789B"/>
    <w:rsid w:val="00DD7B10"/>
    <w:rsid w:val="00DD7BB5"/>
    <w:rsid w:val="00DE0102"/>
    <w:rsid w:val="00DE0BA1"/>
    <w:rsid w:val="00DE11BD"/>
    <w:rsid w:val="00DE1228"/>
    <w:rsid w:val="00DE183F"/>
    <w:rsid w:val="00DE1EB2"/>
    <w:rsid w:val="00DE2C54"/>
    <w:rsid w:val="00DE2EEF"/>
    <w:rsid w:val="00DE3218"/>
    <w:rsid w:val="00DE37F8"/>
    <w:rsid w:val="00DE3BE7"/>
    <w:rsid w:val="00DE48C6"/>
    <w:rsid w:val="00DE59B6"/>
    <w:rsid w:val="00DE698F"/>
    <w:rsid w:val="00DE6D22"/>
    <w:rsid w:val="00DE70F3"/>
    <w:rsid w:val="00DE75F0"/>
    <w:rsid w:val="00DF01CB"/>
    <w:rsid w:val="00DF07E5"/>
    <w:rsid w:val="00DF0960"/>
    <w:rsid w:val="00DF0C26"/>
    <w:rsid w:val="00DF0DE6"/>
    <w:rsid w:val="00DF1341"/>
    <w:rsid w:val="00DF15DC"/>
    <w:rsid w:val="00DF1FA8"/>
    <w:rsid w:val="00DF27EF"/>
    <w:rsid w:val="00DF2D4B"/>
    <w:rsid w:val="00DF3166"/>
    <w:rsid w:val="00DF37C2"/>
    <w:rsid w:val="00DF3F64"/>
    <w:rsid w:val="00DF41C3"/>
    <w:rsid w:val="00DF45D2"/>
    <w:rsid w:val="00DF465C"/>
    <w:rsid w:val="00DF4F1B"/>
    <w:rsid w:val="00DF51E9"/>
    <w:rsid w:val="00DF6996"/>
    <w:rsid w:val="00DF7370"/>
    <w:rsid w:val="00DF7D1C"/>
    <w:rsid w:val="00E003ED"/>
    <w:rsid w:val="00E0065E"/>
    <w:rsid w:val="00E0078F"/>
    <w:rsid w:val="00E00C90"/>
    <w:rsid w:val="00E00E95"/>
    <w:rsid w:val="00E01517"/>
    <w:rsid w:val="00E01794"/>
    <w:rsid w:val="00E02E25"/>
    <w:rsid w:val="00E0300A"/>
    <w:rsid w:val="00E031D6"/>
    <w:rsid w:val="00E0330C"/>
    <w:rsid w:val="00E03B00"/>
    <w:rsid w:val="00E03DF8"/>
    <w:rsid w:val="00E06013"/>
    <w:rsid w:val="00E066B3"/>
    <w:rsid w:val="00E072DC"/>
    <w:rsid w:val="00E072E7"/>
    <w:rsid w:val="00E073B8"/>
    <w:rsid w:val="00E07485"/>
    <w:rsid w:val="00E10195"/>
    <w:rsid w:val="00E105E5"/>
    <w:rsid w:val="00E106D3"/>
    <w:rsid w:val="00E10A8E"/>
    <w:rsid w:val="00E115D2"/>
    <w:rsid w:val="00E11CE9"/>
    <w:rsid w:val="00E1202E"/>
    <w:rsid w:val="00E121A7"/>
    <w:rsid w:val="00E12340"/>
    <w:rsid w:val="00E12AAB"/>
    <w:rsid w:val="00E13295"/>
    <w:rsid w:val="00E13AD2"/>
    <w:rsid w:val="00E14246"/>
    <w:rsid w:val="00E14516"/>
    <w:rsid w:val="00E14E74"/>
    <w:rsid w:val="00E15056"/>
    <w:rsid w:val="00E1514E"/>
    <w:rsid w:val="00E1562B"/>
    <w:rsid w:val="00E15812"/>
    <w:rsid w:val="00E15DDB"/>
    <w:rsid w:val="00E17B8F"/>
    <w:rsid w:val="00E20513"/>
    <w:rsid w:val="00E20FAF"/>
    <w:rsid w:val="00E21819"/>
    <w:rsid w:val="00E21BA1"/>
    <w:rsid w:val="00E23A7D"/>
    <w:rsid w:val="00E23A83"/>
    <w:rsid w:val="00E23CE3"/>
    <w:rsid w:val="00E23D9C"/>
    <w:rsid w:val="00E23ECD"/>
    <w:rsid w:val="00E2443C"/>
    <w:rsid w:val="00E24519"/>
    <w:rsid w:val="00E25A4A"/>
    <w:rsid w:val="00E26015"/>
    <w:rsid w:val="00E26D19"/>
    <w:rsid w:val="00E2714E"/>
    <w:rsid w:val="00E2792F"/>
    <w:rsid w:val="00E27FC1"/>
    <w:rsid w:val="00E300D9"/>
    <w:rsid w:val="00E304ED"/>
    <w:rsid w:val="00E30B68"/>
    <w:rsid w:val="00E325A2"/>
    <w:rsid w:val="00E32917"/>
    <w:rsid w:val="00E32C10"/>
    <w:rsid w:val="00E32C41"/>
    <w:rsid w:val="00E32D46"/>
    <w:rsid w:val="00E33B3A"/>
    <w:rsid w:val="00E33BBC"/>
    <w:rsid w:val="00E33F34"/>
    <w:rsid w:val="00E347AF"/>
    <w:rsid w:val="00E35189"/>
    <w:rsid w:val="00E3541D"/>
    <w:rsid w:val="00E356B1"/>
    <w:rsid w:val="00E3585D"/>
    <w:rsid w:val="00E35B76"/>
    <w:rsid w:val="00E36FFC"/>
    <w:rsid w:val="00E37201"/>
    <w:rsid w:val="00E376BA"/>
    <w:rsid w:val="00E37C8C"/>
    <w:rsid w:val="00E404A8"/>
    <w:rsid w:val="00E40747"/>
    <w:rsid w:val="00E40E7E"/>
    <w:rsid w:val="00E415F5"/>
    <w:rsid w:val="00E42590"/>
    <w:rsid w:val="00E4281E"/>
    <w:rsid w:val="00E42DB3"/>
    <w:rsid w:val="00E43725"/>
    <w:rsid w:val="00E43A1B"/>
    <w:rsid w:val="00E43E19"/>
    <w:rsid w:val="00E43F85"/>
    <w:rsid w:val="00E442CC"/>
    <w:rsid w:val="00E449F7"/>
    <w:rsid w:val="00E45382"/>
    <w:rsid w:val="00E4569B"/>
    <w:rsid w:val="00E4744B"/>
    <w:rsid w:val="00E4764D"/>
    <w:rsid w:val="00E47F82"/>
    <w:rsid w:val="00E501AC"/>
    <w:rsid w:val="00E5063D"/>
    <w:rsid w:val="00E51258"/>
    <w:rsid w:val="00E51AD8"/>
    <w:rsid w:val="00E523E7"/>
    <w:rsid w:val="00E52716"/>
    <w:rsid w:val="00E52B58"/>
    <w:rsid w:val="00E52DAF"/>
    <w:rsid w:val="00E53147"/>
    <w:rsid w:val="00E5390E"/>
    <w:rsid w:val="00E53C70"/>
    <w:rsid w:val="00E53EBD"/>
    <w:rsid w:val="00E53FED"/>
    <w:rsid w:val="00E54524"/>
    <w:rsid w:val="00E54ADA"/>
    <w:rsid w:val="00E5562E"/>
    <w:rsid w:val="00E55858"/>
    <w:rsid w:val="00E5675C"/>
    <w:rsid w:val="00E56CEF"/>
    <w:rsid w:val="00E56E54"/>
    <w:rsid w:val="00E57FA8"/>
    <w:rsid w:val="00E60B72"/>
    <w:rsid w:val="00E60F84"/>
    <w:rsid w:val="00E614EB"/>
    <w:rsid w:val="00E6166F"/>
    <w:rsid w:val="00E61B7C"/>
    <w:rsid w:val="00E61FE0"/>
    <w:rsid w:val="00E62505"/>
    <w:rsid w:val="00E62DF0"/>
    <w:rsid w:val="00E6330D"/>
    <w:rsid w:val="00E63735"/>
    <w:rsid w:val="00E63DA5"/>
    <w:rsid w:val="00E640D1"/>
    <w:rsid w:val="00E674D7"/>
    <w:rsid w:val="00E67B18"/>
    <w:rsid w:val="00E70643"/>
    <w:rsid w:val="00E7078C"/>
    <w:rsid w:val="00E722A8"/>
    <w:rsid w:val="00E7248A"/>
    <w:rsid w:val="00E736EA"/>
    <w:rsid w:val="00E73FC2"/>
    <w:rsid w:val="00E740E4"/>
    <w:rsid w:val="00E743A1"/>
    <w:rsid w:val="00E744E8"/>
    <w:rsid w:val="00E74B7B"/>
    <w:rsid w:val="00E75680"/>
    <w:rsid w:val="00E75F2E"/>
    <w:rsid w:val="00E7696C"/>
    <w:rsid w:val="00E77018"/>
    <w:rsid w:val="00E770D7"/>
    <w:rsid w:val="00E7752E"/>
    <w:rsid w:val="00E77C34"/>
    <w:rsid w:val="00E801F8"/>
    <w:rsid w:val="00E802AA"/>
    <w:rsid w:val="00E802B4"/>
    <w:rsid w:val="00E806F6"/>
    <w:rsid w:val="00E808A9"/>
    <w:rsid w:val="00E80B56"/>
    <w:rsid w:val="00E81469"/>
    <w:rsid w:val="00E81E6C"/>
    <w:rsid w:val="00E81EEE"/>
    <w:rsid w:val="00E8234E"/>
    <w:rsid w:val="00E82686"/>
    <w:rsid w:val="00E8329B"/>
    <w:rsid w:val="00E833DB"/>
    <w:rsid w:val="00E84D18"/>
    <w:rsid w:val="00E851BC"/>
    <w:rsid w:val="00E85214"/>
    <w:rsid w:val="00E85505"/>
    <w:rsid w:val="00E85E3C"/>
    <w:rsid w:val="00E8641A"/>
    <w:rsid w:val="00E86DA8"/>
    <w:rsid w:val="00E86FFA"/>
    <w:rsid w:val="00E87319"/>
    <w:rsid w:val="00E87933"/>
    <w:rsid w:val="00E906C8"/>
    <w:rsid w:val="00E918AE"/>
    <w:rsid w:val="00E922A5"/>
    <w:rsid w:val="00E9295B"/>
    <w:rsid w:val="00E9393A"/>
    <w:rsid w:val="00E93DD7"/>
    <w:rsid w:val="00E93F35"/>
    <w:rsid w:val="00E94046"/>
    <w:rsid w:val="00E94B61"/>
    <w:rsid w:val="00E94D07"/>
    <w:rsid w:val="00E9531B"/>
    <w:rsid w:val="00E957B5"/>
    <w:rsid w:val="00E95A07"/>
    <w:rsid w:val="00E95E30"/>
    <w:rsid w:val="00E966EA"/>
    <w:rsid w:val="00E96A82"/>
    <w:rsid w:val="00E9706D"/>
    <w:rsid w:val="00EA0B04"/>
    <w:rsid w:val="00EA0DF4"/>
    <w:rsid w:val="00EA11D9"/>
    <w:rsid w:val="00EA1400"/>
    <w:rsid w:val="00EA1520"/>
    <w:rsid w:val="00EA2095"/>
    <w:rsid w:val="00EA2118"/>
    <w:rsid w:val="00EA23C9"/>
    <w:rsid w:val="00EA23D2"/>
    <w:rsid w:val="00EA397A"/>
    <w:rsid w:val="00EA3CFE"/>
    <w:rsid w:val="00EA47A3"/>
    <w:rsid w:val="00EA5292"/>
    <w:rsid w:val="00EA5F39"/>
    <w:rsid w:val="00EA66F0"/>
    <w:rsid w:val="00EA68F5"/>
    <w:rsid w:val="00EA6D77"/>
    <w:rsid w:val="00EA757D"/>
    <w:rsid w:val="00EA779B"/>
    <w:rsid w:val="00EA798D"/>
    <w:rsid w:val="00EA7AA0"/>
    <w:rsid w:val="00EA7C1B"/>
    <w:rsid w:val="00EB1313"/>
    <w:rsid w:val="00EB1940"/>
    <w:rsid w:val="00EB1BEC"/>
    <w:rsid w:val="00EB24DE"/>
    <w:rsid w:val="00EB291F"/>
    <w:rsid w:val="00EB2F50"/>
    <w:rsid w:val="00EB2F7C"/>
    <w:rsid w:val="00EB31AE"/>
    <w:rsid w:val="00EB330F"/>
    <w:rsid w:val="00EB3608"/>
    <w:rsid w:val="00EB380A"/>
    <w:rsid w:val="00EB477F"/>
    <w:rsid w:val="00EB478D"/>
    <w:rsid w:val="00EB4B68"/>
    <w:rsid w:val="00EB4B91"/>
    <w:rsid w:val="00EB4F9E"/>
    <w:rsid w:val="00EB51AD"/>
    <w:rsid w:val="00EB51BA"/>
    <w:rsid w:val="00EB622D"/>
    <w:rsid w:val="00EB623D"/>
    <w:rsid w:val="00EB632E"/>
    <w:rsid w:val="00EB6AF1"/>
    <w:rsid w:val="00EB6E73"/>
    <w:rsid w:val="00EB7595"/>
    <w:rsid w:val="00EB7962"/>
    <w:rsid w:val="00EB7B2B"/>
    <w:rsid w:val="00EC0A68"/>
    <w:rsid w:val="00EC18AC"/>
    <w:rsid w:val="00EC1AA9"/>
    <w:rsid w:val="00EC2048"/>
    <w:rsid w:val="00EC3161"/>
    <w:rsid w:val="00EC36C6"/>
    <w:rsid w:val="00EC37C4"/>
    <w:rsid w:val="00EC3A29"/>
    <w:rsid w:val="00EC3C18"/>
    <w:rsid w:val="00EC4290"/>
    <w:rsid w:val="00EC4A89"/>
    <w:rsid w:val="00EC5163"/>
    <w:rsid w:val="00EC6068"/>
    <w:rsid w:val="00EC61B5"/>
    <w:rsid w:val="00EC63C4"/>
    <w:rsid w:val="00EC68D3"/>
    <w:rsid w:val="00EC6D0B"/>
    <w:rsid w:val="00EC713C"/>
    <w:rsid w:val="00EC770B"/>
    <w:rsid w:val="00EC79F5"/>
    <w:rsid w:val="00EC7B54"/>
    <w:rsid w:val="00EC7C5A"/>
    <w:rsid w:val="00ED0001"/>
    <w:rsid w:val="00ED0837"/>
    <w:rsid w:val="00ED0C27"/>
    <w:rsid w:val="00ED154D"/>
    <w:rsid w:val="00ED192E"/>
    <w:rsid w:val="00ED1BE4"/>
    <w:rsid w:val="00ED1ED0"/>
    <w:rsid w:val="00ED1F4B"/>
    <w:rsid w:val="00ED218E"/>
    <w:rsid w:val="00ED2705"/>
    <w:rsid w:val="00ED3041"/>
    <w:rsid w:val="00ED342C"/>
    <w:rsid w:val="00ED3A0E"/>
    <w:rsid w:val="00ED3A9C"/>
    <w:rsid w:val="00ED3E1F"/>
    <w:rsid w:val="00ED3F8C"/>
    <w:rsid w:val="00ED4074"/>
    <w:rsid w:val="00ED5678"/>
    <w:rsid w:val="00ED5824"/>
    <w:rsid w:val="00ED5B3B"/>
    <w:rsid w:val="00ED5CAA"/>
    <w:rsid w:val="00ED5E86"/>
    <w:rsid w:val="00ED5F77"/>
    <w:rsid w:val="00ED68F8"/>
    <w:rsid w:val="00ED6B9C"/>
    <w:rsid w:val="00ED6C47"/>
    <w:rsid w:val="00ED6EFD"/>
    <w:rsid w:val="00ED717C"/>
    <w:rsid w:val="00ED72AE"/>
    <w:rsid w:val="00EE0398"/>
    <w:rsid w:val="00EE041C"/>
    <w:rsid w:val="00EE0961"/>
    <w:rsid w:val="00EE1252"/>
    <w:rsid w:val="00EE1909"/>
    <w:rsid w:val="00EE24B0"/>
    <w:rsid w:val="00EE2A0B"/>
    <w:rsid w:val="00EE30E9"/>
    <w:rsid w:val="00EE3779"/>
    <w:rsid w:val="00EE37F4"/>
    <w:rsid w:val="00EE41C3"/>
    <w:rsid w:val="00EE4869"/>
    <w:rsid w:val="00EE4F47"/>
    <w:rsid w:val="00EE51C1"/>
    <w:rsid w:val="00EE5935"/>
    <w:rsid w:val="00EE5A4E"/>
    <w:rsid w:val="00EE5DCD"/>
    <w:rsid w:val="00EE621E"/>
    <w:rsid w:val="00EE6690"/>
    <w:rsid w:val="00EE674A"/>
    <w:rsid w:val="00EE69A8"/>
    <w:rsid w:val="00EE6EBB"/>
    <w:rsid w:val="00EE7444"/>
    <w:rsid w:val="00EF02CF"/>
    <w:rsid w:val="00EF0418"/>
    <w:rsid w:val="00EF080D"/>
    <w:rsid w:val="00EF0CF3"/>
    <w:rsid w:val="00EF1294"/>
    <w:rsid w:val="00EF1EDA"/>
    <w:rsid w:val="00EF1F99"/>
    <w:rsid w:val="00EF3000"/>
    <w:rsid w:val="00EF3200"/>
    <w:rsid w:val="00EF36E8"/>
    <w:rsid w:val="00EF42D4"/>
    <w:rsid w:val="00EF43FA"/>
    <w:rsid w:val="00EF4803"/>
    <w:rsid w:val="00EF4EE9"/>
    <w:rsid w:val="00EF54F7"/>
    <w:rsid w:val="00EF5CB4"/>
    <w:rsid w:val="00EF5CC1"/>
    <w:rsid w:val="00EF6A6F"/>
    <w:rsid w:val="00EF6A7E"/>
    <w:rsid w:val="00EF7E19"/>
    <w:rsid w:val="00F00957"/>
    <w:rsid w:val="00F00CC3"/>
    <w:rsid w:val="00F0136B"/>
    <w:rsid w:val="00F015A9"/>
    <w:rsid w:val="00F0175D"/>
    <w:rsid w:val="00F0199F"/>
    <w:rsid w:val="00F021F0"/>
    <w:rsid w:val="00F02829"/>
    <w:rsid w:val="00F02904"/>
    <w:rsid w:val="00F02C13"/>
    <w:rsid w:val="00F030B8"/>
    <w:rsid w:val="00F0414C"/>
    <w:rsid w:val="00F04DC1"/>
    <w:rsid w:val="00F04E30"/>
    <w:rsid w:val="00F04F17"/>
    <w:rsid w:val="00F04F19"/>
    <w:rsid w:val="00F05A25"/>
    <w:rsid w:val="00F06E06"/>
    <w:rsid w:val="00F075F6"/>
    <w:rsid w:val="00F0793F"/>
    <w:rsid w:val="00F07DC9"/>
    <w:rsid w:val="00F07DE4"/>
    <w:rsid w:val="00F07EF1"/>
    <w:rsid w:val="00F10CE9"/>
    <w:rsid w:val="00F10F86"/>
    <w:rsid w:val="00F11766"/>
    <w:rsid w:val="00F12473"/>
    <w:rsid w:val="00F1347B"/>
    <w:rsid w:val="00F13CF8"/>
    <w:rsid w:val="00F13DDD"/>
    <w:rsid w:val="00F14918"/>
    <w:rsid w:val="00F14B88"/>
    <w:rsid w:val="00F1515B"/>
    <w:rsid w:val="00F151C7"/>
    <w:rsid w:val="00F15CC6"/>
    <w:rsid w:val="00F1625A"/>
    <w:rsid w:val="00F17A18"/>
    <w:rsid w:val="00F2009D"/>
    <w:rsid w:val="00F20A92"/>
    <w:rsid w:val="00F2106F"/>
    <w:rsid w:val="00F21218"/>
    <w:rsid w:val="00F218AA"/>
    <w:rsid w:val="00F21992"/>
    <w:rsid w:val="00F236FB"/>
    <w:rsid w:val="00F23FE3"/>
    <w:rsid w:val="00F24BEC"/>
    <w:rsid w:val="00F25239"/>
    <w:rsid w:val="00F25423"/>
    <w:rsid w:val="00F259A7"/>
    <w:rsid w:val="00F259CC"/>
    <w:rsid w:val="00F26493"/>
    <w:rsid w:val="00F274F6"/>
    <w:rsid w:val="00F2764D"/>
    <w:rsid w:val="00F2792B"/>
    <w:rsid w:val="00F27AFD"/>
    <w:rsid w:val="00F30391"/>
    <w:rsid w:val="00F3098A"/>
    <w:rsid w:val="00F30B86"/>
    <w:rsid w:val="00F30D78"/>
    <w:rsid w:val="00F316E9"/>
    <w:rsid w:val="00F31B2E"/>
    <w:rsid w:val="00F32064"/>
    <w:rsid w:val="00F3256D"/>
    <w:rsid w:val="00F326D7"/>
    <w:rsid w:val="00F329C0"/>
    <w:rsid w:val="00F33751"/>
    <w:rsid w:val="00F33DFB"/>
    <w:rsid w:val="00F34AE4"/>
    <w:rsid w:val="00F358C9"/>
    <w:rsid w:val="00F35F6E"/>
    <w:rsid w:val="00F36F68"/>
    <w:rsid w:val="00F37028"/>
    <w:rsid w:val="00F374CC"/>
    <w:rsid w:val="00F3788A"/>
    <w:rsid w:val="00F3794C"/>
    <w:rsid w:val="00F37DDF"/>
    <w:rsid w:val="00F401F2"/>
    <w:rsid w:val="00F40405"/>
    <w:rsid w:val="00F40420"/>
    <w:rsid w:val="00F404E4"/>
    <w:rsid w:val="00F40891"/>
    <w:rsid w:val="00F40C0F"/>
    <w:rsid w:val="00F40EDC"/>
    <w:rsid w:val="00F41047"/>
    <w:rsid w:val="00F43186"/>
    <w:rsid w:val="00F43D98"/>
    <w:rsid w:val="00F43EDC"/>
    <w:rsid w:val="00F447B2"/>
    <w:rsid w:val="00F44C65"/>
    <w:rsid w:val="00F44CBF"/>
    <w:rsid w:val="00F44CDE"/>
    <w:rsid w:val="00F44D5E"/>
    <w:rsid w:val="00F45125"/>
    <w:rsid w:val="00F465F3"/>
    <w:rsid w:val="00F466C8"/>
    <w:rsid w:val="00F46C50"/>
    <w:rsid w:val="00F47456"/>
    <w:rsid w:val="00F47612"/>
    <w:rsid w:val="00F47616"/>
    <w:rsid w:val="00F478AE"/>
    <w:rsid w:val="00F47EFD"/>
    <w:rsid w:val="00F503C5"/>
    <w:rsid w:val="00F50662"/>
    <w:rsid w:val="00F5159D"/>
    <w:rsid w:val="00F5166B"/>
    <w:rsid w:val="00F51877"/>
    <w:rsid w:val="00F519D2"/>
    <w:rsid w:val="00F51A34"/>
    <w:rsid w:val="00F51AE0"/>
    <w:rsid w:val="00F5224B"/>
    <w:rsid w:val="00F5236C"/>
    <w:rsid w:val="00F5324A"/>
    <w:rsid w:val="00F5324C"/>
    <w:rsid w:val="00F53A6D"/>
    <w:rsid w:val="00F543C4"/>
    <w:rsid w:val="00F546EC"/>
    <w:rsid w:val="00F55466"/>
    <w:rsid w:val="00F55598"/>
    <w:rsid w:val="00F556B5"/>
    <w:rsid w:val="00F559E7"/>
    <w:rsid w:val="00F564EA"/>
    <w:rsid w:val="00F5763A"/>
    <w:rsid w:val="00F57685"/>
    <w:rsid w:val="00F6000B"/>
    <w:rsid w:val="00F605C7"/>
    <w:rsid w:val="00F60775"/>
    <w:rsid w:val="00F6087E"/>
    <w:rsid w:val="00F60CDD"/>
    <w:rsid w:val="00F615CF"/>
    <w:rsid w:val="00F6196C"/>
    <w:rsid w:val="00F61A28"/>
    <w:rsid w:val="00F61AFA"/>
    <w:rsid w:val="00F6254D"/>
    <w:rsid w:val="00F62DED"/>
    <w:rsid w:val="00F6375C"/>
    <w:rsid w:val="00F63789"/>
    <w:rsid w:val="00F644C8"/>
    <w:rsid w:val="00F6470F"/>
    <w:rsid w:val="00F64848"/>
    <w:rsid w:val="00F65095"/>
    <w:rsid w:val="00F65398"/>
    <w:rsid w:val="00F65884"/>
    <w:rsid w:val="00F66036"/>
    <w:rsid w:val="00F666F0"/>
    <w:rsid w:val="00F6689F"/>
    <w:rsid w:val="00F668CE"/>
    <w:rsid w:val="00F66E32"/>
    <w:rsid w:val="00F66E7E"/>
    <w:rsid w:val="00F671C0"/>
    <w:rsid w:val="00F672FD"/>
    <w:rsid w:val="00F67E80"/>
    <w:rsid w:val="00F7086F"/>
    <w:rsid w:val="00F71048"/>
    <w:rsid w:val="00F715FD"/>
    <w:rsid w:val="00F71667"/>
    <w:rsid w:val="00F72194"/>
    <w:rsid w:val="00F72280"/>
    <w:rsid w:val="00F7240A"/>
    <w:rsid w:val="00F72C1C"/>
    <w:rsid w:val="00F72F76"/>
    <w:rsid w:val="00F73025"/>
    <w:rsid w:val="00F7337F"/>
    <w:rsid w:val="00F7385B"/>
    <w:rsid w:val="00F73E1B"/>
    <w:rsid w:val="00F7469F"/>
    <w:rsid w:val="00F752E0"/>
    <w:rsid w:val="00F75427"/>
    <w:rsid w:val="00F75DAC"/>
    <w:rsid w:val="00F75E77"/>
    <w:rsid w:val="00F766F9"/>
    <w:rsid w:val="00F774E3"/>
    <w:rsid w:val="00F80B48"/>
    <w:rsid w:val="00F81408"/>
    <w:rsid w:val="00F814B8"/>
    <w:rsid w:val="00F81985"/>
    <w:rsid w:val="00F81B1B"/>
    <w:rsid w:val="00F81DED"/>
    <w:rsid w:val="00F81EE0"/>
    <w:rsid w:val="00F823BF"/>
    <w:rsid w:val="00F82500"/>
    <w:rsid w:val="00F826E8"/>
    <w:rsid w:val="00F82A9F"/>
    <w:rsid w:val="00F83935"/>
    <w:rsid w:val="00F83B7C"/>
    <w:rsid w:val="00F83CC5"/>
    <w:rsid w:val="00F842CB"/>
    <w:rsid w:val="00F84A9F"/>
    <w:rsid w:val="00F84B69"/>
    <w:rsid w:val="00F85771"/>
    <w:rsid w:val="00F861F3"/>
    <w:rsid w:val="00F86AA2"/>
    <w:rsid w:val="00F8713F"/>
    <w:rsid w:val="00F8755F"/>
    <w:rsid w:val="00F90667"/>
    <w:rsid w:val="00F906B9"/>
    <w:rsid w:val="00F91D4A"/>
    <w:rsid w:val="00F920C6"/>
    <w:rsid w:val="00F92FED"/>
    <w:rsid w:val="00F93C42"/>
    <w:rsid w:val="00F94F50"/>
    <w:rsid w:val="00F95B39"/>
    <w:rsid w:val="00F95C97"/>
    <w:rsid w:val="00F963FF"/>
    <w:rsid w:val="00F96548"/>
    <w:rsid w:val="00F97474"/>
    <w:rsid w:val="00F97B4A"/>
    <w:rsid w:val="00FA0085"/>
    <w:rsid w:val="00FA017C"/>
    <w:rsid w:val="00FA1898"/>
    <w:rsid w:val="00FA1B79"/>
    <w:rsid w:val="00FA2511"/>
    <w:rsid w:val="00FA29A0"/>
    <w:rsid w:val="00FA2B56"/>
    <w:rsid w:val="00FA40A1"/>
    <w:rsid w:val="00FA41A0"/>
    <w:rsid w:val="00FA44D8"/>
    <w:rsid w:val="00FA4C57"/>
    <w:rsid w:val="00FA52CB"/>
    <w:rsid w:val="00FA537B"/>
    <w:rsid w:val="00FA5775"/>
    <w:rsid w:val="00FA5F52"/>
    <w:rsid w:val="00FA6430"/>
    <w:rsid w:val="00FA6476"/>
    <w:rsid w:val="00FA7017"/>
    <w:rsid w:val="00FA7962"/>
    <w:rsid w:val="00FA7D56"/>
    <w:rsid w:val="00FB0948"/>
    <w:rsid w:val="00FB0D75"/>
    <w:rsid w:val="00FB0EB2"/>
    <w:rsid w:val="00FB1120"/>
    <w:rsid w:val="00FB1361"/>
    <w:rsid w:val="00FB1838"/>
    <w:rsid w:val="00FB1F3A"/>
    <w:rsid w:val="00FB20B7"/>
    <w:rsid w:val="00FB216A"/>
    <w:rsid w:val="00FB28EE"/>
    <w:rsid w:val="00FB2CF8"/>
    <w:rsid w:val="00FB33E6"/>
    <w:rsid w:val="00FB36B0"/>
    <w:rsid w:val="00FB3B40"/>
    <w:rsid w:val="00FB3D81"/>
    <w:rsid w:val="00FB46A8"/>
    <w:rsid w:val="00FB48D6"/>
    <w:rsid w:val="00FB52CE"/>
    <w:rsid w:val="00FB5D3C"/>
    <w:rsid w:val="00FB5D3F"/>
    <w:rsid w:val="00FB5E1B"/>
    <w:rsid w:val="00FB6956"/>
    <w:rsid w:val="00FB6959"/>
    <w:rsid w:val="00FB6A94"/>
    <w:rsid w:val="00FB6ADE"/>
    <w:rsid w:val="00FB7244"/>
    <w:rsid w:val="00FB7509"/>
    <w:rsid w:val="00FC01F3"/>
    <w:rsid w:val="00FC12E6"/>
    <w:rsid w:val="00FC198B"/>
    <w:rsid w:val="00FC236C"/>
    <w:rsid w:val="00FC2750"/>
    <w:rsid w:val="00FC3CC2"/>
    <w:rsid w:val="00FC4017"/>
    <w:rsid w:val="00FC4455"/>
    <w:rsid w:val="00FC45B1"/>
    <w:rsid w:val="00FC50B2"/>
    <w:rsid w:val="00FC5120"/>
    <w:rsid w:val="00FC5279"/>
    <w:rsid w:val="00FC5558"/>
    <w:rsid w:val="00FC55AC"/>
    <w:rsid w:val="00FC58CB"/>
    <w:rsid w:val="00FC59A5"/>
    <w:rsid w:val="00FC65EB"/>
    <w:rsid w:val="00FC6818"/>
    <w:rsid w:val="00FC69CE"/>
    <w:rsid w:val="00FC6E2C"/>
    <w:rsid w:val="00FC70B9"/>
    <w:rsid w:val="00FC70F4"/>
    <w:rsid w:val="00FC7332"/>
    <w:rsid w:val="00FC7DF4"/>
    <w:rsid w:val="00FD0393"/>
    <w:rsid w:val="00FD07E7"/>
    <w:rsid w:val="00FD14A5"/>
    <w:rsid w:val="00FD1506"/>
    <w:rsid w:val="00FD1814"/>
    <w:rsid w:val="00FD1B68"/>
    <w:rsid w:val="00FD1B8A"/>
    <w:rsid w:val="00FD200C"/>
    <w:rsid w:val="00FD2703"/>
    <w:rsid w:val="00FD344A"/>
    <w:rsid w:val="00FD3D64"/>
    <w:rsid w:val="00FD42A0"/>
    <w:rsid w:val="00FD5449"/>
    <w:rsid w:val="00FD5A53"/>
    <w:rsid w:val="00FD6128"/>
    <w:rsid w:val="00FD6421"/>
    <w:rsid w:val="00FD780B"/>
    <w:rsid w:val="00FD79E9"/>
    <w:rsid w:val="00FE077A"/>
    <w:rsid w:val="00FE0D39"/>
    <w:rsid w:val="00FE0EA5"/>
    <w:rsid w:val="00FE108B"/>
    <w:rsid w:val="00FE11CB"/>
    <w:rsid w:val="00FE1586"/>
    <w:rsid w:val="00FE1828"/>
    <w:rsid w:val="00FE2835"/>
    <w:rsid w:val="00FE2AC5"/>
    <w:rsid w:val="00FE30CA"/>
    <w:rsid w:val="00FE333E"/>
    <w:rsid w:val="00FE390C"/>
    <w:rsid w:val="00FE3ADA"/>
    <w:rsid w:val="00FE3B1F"/>
    <w:rsid w:val="00FE4355"/>
    <w:rsid w:val="00FE4381"/>
    <w:rsid w:val="00FE4A86"/>
    <w:rsid w:val="00FE53D6"/>
    <w:rsid w:val="00FE5497"/>
    <w:rsid w:val="00FE5737"/>
    <w:rsid w:val="00FE5B61"/>
    <w:rsid w:val="00FE605B"/>
    <w:rsid w:val="00FE65CE"/>
    <w:rsid w:val="00FE6636"/>
    <w:rsid w:val="00FE6726"/>
    <w:rsid w:val="00FE686E"/>
    <w:rsid w:val="00FE6ED8"/>
    <w:rsid w:val="00FE72C5"/>
    <w:rsid w:val="00FE7A19"/>
    <w:rsid w:val="00FE7EF3"/>
    <w:rsid w:val="00FF1009"/>
    <w:rsid w:val="00FF116A"/>
    <w:rsid w:val="00FF1563"/>
    <w:rsid w:val="00FF2573"/>
    <w:rsid w:val="00FF25CF"/>
    <w:rsid w:val="00FF2B76"/>
    <w:rsid w:val="00FF35A9"/>
    <w:rsid w:val="00FF38D6"/>
    <w:rsid w:val="00FF3DBD"/>
    <w:rsid w:val="00FF46F4"/>
    <w:rsid w:val="00FF4A4E"/>
    <w:rsid w:val="00FF5347"/>
    <w:rsid w:val="00FF5563"/>
    <w:rsid w:val="00FF556C"/>
    <w:rsid w:val="00FF5B4A"/>
    <w:rsid w:val="00FF6261"/>
    <w:rsid w:val="00FF639F"/>
    <w:rsid w:val="00FF6578"/>
    <w:rsid w:val="00FF6AD4"/>
    <w:rsid w:val="00FF6F10"/>
    <w:rsid w:val="00FF72C0"/>
    <w:rsid w:val="00FF782C"/>
    <w:rsid w:val="2DA37CBC"/>
    <w:rsid w:val="3BBDCC57"/>
    <w:rsid w:val="5D3A68D9"/>
    <w:rsid w:val="6DD04E65"/>
    <w:rsid w:val="7FD4E9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8F808"/>
  <w15:docId w15:val="{B5267737-5E70-45CE-A769-315219D9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CF33A3"/>
    <w:rPr>
      <w:b w:val="0"/>
      <w:noProof/>
    </w:rPr>
  </w:style>
  <w:style w:type="paragraph" w:styleId="TOC1">
    <w:name w:val="toc 1"/>
    <w:basedOn w:val="Normal"/>
    <w:next w:val="Normal"/>
    <w:autoRedefine/>
    <w:uiPriority w:val="39"/>
    <w:rsid w:val="00D909FA"/>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9"/>
      </w:numPr>
      <w:contextualSpacing/>
    </w:pPr>
  </w:style>
  <w:style w:type="paragraph" w:styleId="ListNumber2">
    <w:name w:val="List Number 2"/>
    <w:basedOn w:val="Normal"/>
    <w:uiPriority w:val="99"/>
    <w:unhideWhenUsed/>
    <w:qFormat/>
    <w:rsid w:val="00DD707E"/>
    <w:pPr>
      <w:numPr>
        <w:numId w:val="10"/>
      </w:numPr>
      <w:ind w:left="1080"/>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6"/>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9F6527"/>
    <w:pPr>
      <w:ind w:left="567"/>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aliases w:val="Footnote Text Char Char,(NECG) Footnote Text,ALTS FOOTNOTE,Footnote Text Char1 Char Char,Footnote Text Char Char Char Char Char,Footnote Text Char Char1 Char Char,Footnote Text Char Char1,f,Footnote Text1,Footnote Text2,ALTS FOOTNOTE2"/>
    <w:basedOn w:val="Normal"/>
    <w:link w:val="FootnoteTextChar"/>
    <w:uiPriority w:val="99"/>
    <w:unhideWhenUsed/>
    <w:qFormat/>
    <w:rsid w:val="00CF33F6"/>
    <w:pPr>
      <w:spacing w:after="0" w:line="240" w:lineRule="auto"/>
    </w:pPr>
    <w:rPr>
      <w:sz w:val="18"/>
      <w:szCs w:val="20"/>
    </w:rPr>
  </w:style>
  <w:style w:type="character" w:customStyle="1" w:styleId="FootnoteTextChar">
    <w:name w:val="Footnote Text Char"/>
    <w:aliases w:val="Footnote Text Char Char Char,(NECG) Footnote Text Char,ALTS FOOTNOTE Char,Footnote Text Char1 Char Char Char,Footnote Text Char Char Char Char Char Char,Footnote Text Char Char1 Char Char Char,Footnote Text Char Char1 Char,f Char"/>
    <w:basedOn w:val="DefaultParagraphFont"/>
    <w:link w:val="FootnoteText"/>
    <w:uiPriority w:val="99"/>
    <w:rsid w:val="00CF33F6"/>
    <w:rPr>
      <w:sz w:val="18"/>
      <w:szCs w:val="20"/>
    </w:rPr>
  </w:style>
  <w:style w:type="character" w:styleId="FootnoteReference">
    <w:name w:val="footnote reference"/>
    <w:aliases w:val="Footnote reference,SFG_Footnote_Reference,(NECG) Footnote Reference,fr,o,Style 6,Style 20,(NECG) Footnote Reference1,(NECG) Footnote Reference2,(NECG) Footnote Reference3,(NECG) Footnote Reference4,(NECG) Footnote Reference5,Style 3"/>
    <w:basedOn w:val="DefaultParagraphFont"/>
    <w:uiPriority w:val="99"/>
    <w:unhideWhenUsed/>
    <w:qFormat/>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rsid w:val="00D909FA"/>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D807F8"/>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6D3AF3"/>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paragraph" w:styleId="Revision">
    <w:name w:val="Revision"/>
    <w:hidden/>
    <w:uiPriority w:val="99"/>
    <w:semiHidden/>
    <w:rsid w:val="00275EF6"/>
    <w:pPr>
      <w:spacing w:after="0" w:line="240" w:lineRule="auto"/>
    </w:pPr>
    <w:rPr>
      <w:lang w:val="en-AU"/>
    </w:rPr>
  </w:style>
  <w:style w:type="character" w:customStyle="1" w:styleId="normaltextrun">
    <w:name w:val="normaltextrun"/>
    <w:basedOn w:val="DefaultParagraphFont"/>
    <w:rsid w:val="00725A53"/>
  </w:style>
  <w:style w:type="character" w:customStyle="1" w:styleId="eop">
    <w:name w:val="eop"/>
    <w:basedOn w:val="DefaultParagraphFont"/>
    <w:rsid w:val="00725A53"/>
  </w:style>
  <w:style w:type="character" w:styleId="CommentReference">
    <w:name w:val="annotation reference"/>
    <w:basedOn w:val="DefaultParagraphFont"/>
    <w:uiPriority w:val="99"/>
    <w:semiHidden/>
    <w:unhideWhenUsed/>
    <w:rsid w:val="00B156BB"/>
    <w:rPr>
      <w:sz w:val="16"/>
      <w:szCs w:val="16"/>
    </w:rPr>
  </w:style>
  <w:style w:type="paragraph" w:styleId="CommentText">
    <w:name w:val="annotation text"/>
    <w:basedOn w:val="Normal"/>
    <w:link w:val="CommentTextChar"/>
    <w:uiPriority w:val="99"/>
    <w:unhideWhenUsed/>
    <w:rsid w:val="00B156BB"/>
    <w:pPr>
      <w:spacing w:line="240" w:lineRule="auto"/>
    </w:pPr>
    <w:rPr>
      <w:sz w:val="20"/>
      <w:szCs w:val="20"/>
    </w:rPr>
  </w:style>
  <w:style w:type="character" w:customStyle="1" w:styleId="CommentTextChar">
    <w:name w:val="Comment Text Char"/>
    <w:basedOn w:val="DefaultParagraphFont"/>
    <w:link w:val="CommentText"/>
    <w:uiPriority w:val="99"/>
    <w:rsid w:val="00B156BB"/>
    <w:rPr>
      <w:sz w:val="20"/>
      <w:szCs w:val="20"/>
      <w:lang w:val="en-AU"/>
    </w:rPr>
  </w:style>
  <w:style w:type="paragraph" w:styleId="CommentSubject">
    <w:name w:val="annotation subject"/>
    <w:basedOn w:val="CommentText"/>
    <w:next w:val="CommentText"/>
    <w:link w:val="CommentSubjectChar"/>
    <w:uiPriority w:val="99"/>
    <w:semiHidden/>
    <w:unhideWhenUsed/>
    <w:rsid w:val="00B156BB"/>
    <w:rPr>
      <w:b/>
      <w:bCs/>
    </w:rPr>
  </w:style>
  <w:style w:type="character" w:customStyle="1" w:styleId="CommentSubjectChar">
    <w:name w:val="Comment Subject Char"/>
    <w:basedOn w:val="CommentTextChar"/>
    <w:link w:val="CommentSubject"/>
    <w:uiPriority w:val="99"/>
    <w:semiHidden/>
    <w:rsid w:val="00B156BB"/>
    <w:rPr>
      <w:b/>
      <w:bCs/>
      <w:sz w:val="20"/>
      <w:szCs w:val="20"/>
      <w:lang w:val="en-AU"/>
    </w:rPr>
  </w:style>
  <w:style w:type="character" w:styleId="UnresolvedMention">
    <w:name w:val="Unresolved Mention"/>
    <w:basedOn w:val="DefaultParagraphFont"/>
    <w:uiPriority w:val="99"/>
    <w:semiHidden/>
    <w:unhideWhenUsed/>
    <w:rsid w:val="00E13295"/>
    <w:rPr>
      <w:color w:val="605E5C"/>
      <w:shd w:val="clear" w:color="auto" w:fill="E1DFDD"/>
    </w:rPr>
  </w:style>
  <w:style w:type="character" w:styleId="FollowedHyperlink">
    <w:name w:val="FollowedHyperlink"/>
    <w:basedOn w:val="DefaultParagraphFont"/>
    <w:uiPriority w:val="99"/>
    <w:semiHidden/>
    <w:unhideWhenUsed/>
    <w:rsid w:val="00A307E6"/>
    <w:rPr>
      <w:color w:val="000000" w:themeColor="followedHyperlink"/>
      <w:u w:val="single"/>
    </w:rPr>
  </w:style>
  <w:style w:type="paragraph" w:styleId="NormalWeb">
    <w:name w:val="Normal (Web)"/>
    <w:basedOn w:val="Normal"/>
    <w:uiPriority w:val="99"/>
    <w:unhideWhenUsed/>
    <w:rsid w:val="003B51C2"/>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39"/>
    <w:rsid w:val="002D1353"/>
    <w:pPr>
      <w:spacing w:after="0" w:line="240" w:lineRule="auto"/>
    </w:pPr>
    <w:tblPr>
      <w:tblStyleRowBandSize w:val="1"/>
      <w:tblBorders>
        <w:insideH w:val="single" w:sz="8" w:space="0" w:color="FFFFFF"/>
      </w:tblBorders>
      <w:tblCellMar>
        <w:top w:w="85" w:type="dxa"/>
        <w:left w:w="85" w:type="dxa"/>
        <w:bottom w:w="85" w:type="dxa"/>
        <w:right w:w="57" w:type="dxa"/>
      </w:tblCellMar>
    </w:tblPr>
    <w:tblStylePr w:type="firstRow">
      <w:rPr>
        <w:b/>
        <w:color w:val="FFFFFF"/>
      </w:rPr>
      <w:tblPr/>
      <w:tcPr>
        <w:shd w:val="clear" w:color="auto" w:fill="4986A0"/>
      </w:tcPr>
    </w:tblStylePr>
    <w:tblStylePr w:type="lastRow">
      <w:rPr>
        <w:b/>
      </w:rPr>
      <w:tblPr/>
      <w:tcPr>
        <w:tcBorders>
          <w:top w:val="nil"/>
          <w:left w:val="nil"/>
          <w:bottom w:val="nil"/>
          <w:right w:val="nil"/>
          <w:insideH w:val="nil"/>
          <w:insideV w:val="nil"/>
          <w:tl2br w:val="nil"/>
          <w:tr2bl w:val="nil"/>
        </w:tcBorders>
        <w:shd w:val="clear" w:color="auto" w:fill="F2F2F2"/>
      </w:tcPr>
    </w:tblStylePr>
    <w:tblStylePr w:type="band1Horz">
      <w:tblPr/>
      <w:tcPr>
        <w:shd w:val="clear" w:color="auto" w:fill="F2F2F2"/>
      </w:tcPr>
    </w:tblStylePr>
    <w:tblStylePr w:type="band2Horz">
      <w:tblPr/>
      <w:tcPr>
        <w:shd w:val="clear" w:color="auto" w:fill="E3E3E4"/>
      </w:tcPr>
    </w:tblStylePr>
  </w:style>
  <w:style w:type="paragraph" w:customStyle="1" w:styleId="Default">
    <w:name w:val="Default"/>
    <w:rsid w:val="00E325A2"/>
    <w:pPr>
      <w:autoSpaceDE w:val="0"/>
      <w:autoSpaceDN w:val="0"/>
      <w:adjustRightInd w:val="0"/>
      <w:spacing w:after="0" w:line="240" w:lineRule="auto"/>
    </w:pPr>
    <w:rPr>
      <w:rFonts w:ascii="Arial" w:hAnsi="Arial" w:cs="Arial"/>
      <w:color w:val="000000"/>
      <w:sz w:val="24"/>
      <w:szCs w:val="24"/>
      <w:lang w:val="en-AU"/>
    </w:rPr>
  </w:style>
  <w:style w:type="character" w:customStyle="1" w:styleId="cf01">
    <w:name w:val="cf01"/>
    <w:basedOn w:val="DefaultParagraphFont"/>
    <w:rsid w:val="00FE4355"/>
    <w:rPr>
      <w:rFonts w:ascii="Segoe UI" w:hAnsi="Segoe UI" w:cs="Segoe UI" w:hint="default"/>
      <w:sz w:val="18"/>
      <w:szCs w:val="18"/>
    </w:rPr>
  </w:style>
  <w:style w:type="paragraph" w:customStyle="1" w:styleId="pf0">
    <w:name w:val="pf0"/>
    <w:basedOn w:val="Normal"/>
    <w:rsid w:val="003B74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7846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582">
      <w:bodyDiv w:val="1"/>
      <w:marLeft w:val="0"/>
      <w:marRight w:val="0"/>
      <w:marTop w:val="0"/>
      <w:marBottom w:val="0"/>
      <w:divBdr>
        <w:top w:val="none" w:sz="0" w:space="0" w:color="auto"/>
        <w:left w:val="none" w:sz="0" w:space="0" w:color="auto"/>
        <w:bottom w:val="none" w:sz="0" w:space="0" w:color="auto"/>
        <w:right w:val="none" w:sz="0" w:space="0" w:color="auto"/>
      </w:divBdr>
    </w:div>
    <w:div w:id="263268916">
      <w:bodyDiv w:val="1"/>
      <w:marLeft w:val="0"/>
      <w:marRight w:val="0"/>
      <w:marTop w:val="0"/>
      <w:marBottom w:val="0"/>
      <w:divBdr>
        <w:top w:val="none" w:sz="0" w:space="0" w:color="auto"/>
        <w:left w:val="none" w:sz="0" w:space="0" w:color="auto"/>
        <w:bottom w:val="none" w:sz="0" w:space="0" w:color="auto"/>
        <w:right w:val="none" w:sz="0" w:space="0" w:color="auto"/>
      </w:divBdr>
    </w:div>
    <w:div w:id="418789653">
      <w:bodyDiv w:val="1"/>
      <w:marLeft w:val="0"/>
      <w:marRight w:val="0"/>
      <w:marTop w:val="0"/>
      <w:marBottom w:val="0"/>
      <w:divBdr>
        <w:top w:val="none" w:sz="0" w:space="0" w:color="auto"/>
        <w:left w:val="none" w:sz="0" w:space="0" w:color="auto"/>
        <w:bottom w:val="none" w:sz="0" w:space="0" w:color="auto"/>
        <w:right w:val="none" w:sz="0" w:space="0" w:color="auto"/>
      </w:divBdr>
    </w:div>
    <w:div w:id="1097366159">
      <w:bodyDiv w:val="1"/>
      <w:marLeft w:val="0"/>
      <w:marRight w:val="0"/>
      <w:marTop w:val="0"/>
      <w:marBottom w:val="0"/>
      <w:divBdr>
        <w:top w:val="none" w:sz="0" w:space="0" w:color="auto"/>
        <w:left w:val="none" w:sz="0" w:space="0" w:color="auto"/>
        <w:bottom w:val="none" w:sz="0" w:space="0" w:color="auto"/>
        <w:right w:val="none" w:sz="0" w:space="0" w:color="auto"/>
      </w:divBdr>
    </w:div>
    <w:div w:id="1131511159">
      <w:bodyDiv w:val="1"/>
      <w:marLeft w:val="0"/>
      <w:marRight w:val="0"/>
      <w:marTop w:val="0"/>
      <w:marBottom w:val="0"/>
      <w:divBdr>
        <w:top w:val="none" w:sz="0" w:space="0" w:color="auto"/>
        <w:left w:val="none" w:sz="0" w:space="0" w:color="auto"/>
        <w:bottom w:val="none" w:sz="0" w:space="0" w:color="auto"/>
        <w:right w:val="none" w:sz="0" w:space="0" w:color="auto"/>
      </w:divBdr>
    </w:div>
    <w:div w:id="1221599604">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61718143">
      <w:bodyDiv w:val="1"/>
      <w:marLeft w:val="0"/>
      <w:marRight w:val="0"/>
      <w:marTop w:val="0"/>
      <w:marBottom w:val="0"/>
      <w:divBdr>
        <w:top w:val="none" w:sz="0" w:space="0" w:color="auto"/>
        <w:left w:val="none" w:sz="0" w:space="0" w:color="auto"/>
        <w:bottom w:val="none" w:sz="0" w:space="0" w:color="auto"/>
        <w:right w:val="none" w:sz="0" w:space="0" w:color="auto"/>
      </w:divBdr>
    </w:div>
    <w:div w:id="1344672346">
      <w:bodyDiv w:val="1"/>
      <w:marLeft w:val="0"/>
      <w:marRight w:val="0"/>
      <w:marTop w:val="0"/>
      <w:marBottom w:val="0"/>
      <w:divBdr>
        <w:top w:val="none" w:sz="0" w:space="0" w:color="auto"/>
        <w:left w:val="none" w:sz="0" w:space="0" w:color="auto"/>
        <w:bottom w:val="none" w:sz="0" w:space="0" w:color="auto"/>
        <w:right w:val="none" w:sz="0" w:space="0" w:color="auto"/>
      </w:divBdr>
    </w:div>
    <w:div w:id="1468543860">
      <w:bodyDiv w:val="1"/>
      <w:marLeft w:val="0"/>
      <w:marRight w:val="0"/>
      <w:marTop w:val="0"/>
      <w:marBottom w:val="0"/>
      <w:divBdr>
        <w:top w:val="none" w:sz="0" w:space="0" w:color="auto"/>
        <w:left w:val="none" w:sz="0" w:space="0" w:color="auto"/>
        <w:bottom w:val="none" w:sz="0" w:space="0" w:color="auto"/>
        <w:right w:val="none" w:sz="0" w:space="0" w:color="auto"/>
      </w:divBdr>
    </w:div>
    <w:div w:id="1865049429">
      <w:bodyDiv w:val="1"/>
      <w:marLeft w:val="0"/>
      <w:marRight w:val="0"/>
      <w:marTop w:val="0"/>
      <w:marBottom w:val="0"/>
      <w:divBdr>
        <w:top w:val="none" w:sz="0" w:space="0" w:color="auto"/>
        <w:left w:val="none" w:sz="0" w:space="0" w:color="auto"/>
        <w:bottom w:val="none" w:sz="0" w:space="0" w:color="auto"/>
        <w:right w:val="none" w:sz="0" w:space="0" w:color="auto"/>
      </w:divBdr>
    </w:div>
    <w:div w:id="1981953379">
      <w:bodyDiv w:val="1"/>
      <w:marLeft w:val="0"/>
      <w:marRight w:val="0"/>
      <w:marTop w:val="0"/>
      <w:marBottom w:val="0"/>
      <w:divBdr>
        <w:top w:val="none" w:sz="0" w:space="0" w:color="auto"/>
        <w:left w:val="none" w:sz="0" w:space="0" w:color="auto"/>
        <w:bottom w:val="none" w:sz="0" w:space="0" w:color="auto"/>
        <w:right w:val="none" w:sz="0" w:space="0" w:color="auto"/>
      </w:divBdr>
    </w:div>
    <w:div w:id="198674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image" Target="media/image3.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solar.vic.gov.au/solar-saves-more-money-and-environment" TargetMode="External"/><Relationship Id="rId13" Type="http://schemas.openxmlformats.org/officeDocument/2006/relationships/hyperlink" Target="https://aemo.com.au/about/corporate-governance/energy-market-fees-and-charges" TargetMode="External"/><Relationship Id="rId18" Type="http://schemas.openxmlformats.org/officeDocument/2006/relationships/hyperlink" Target="https://aemo.com.au/-/media/files/electricity/nem/security_and_reliability/loss_factors_and_regional_boundaries/2023-24/marginal-loss-factors-for-the-2023-24-financia-year-pdf.pdf?la=en" TargetMode="External"/><Relationship Id="rId3" Type="http://schemas.openxmlformats.org/officeDocument/2006/relationships/hyperlink" Target="https://www.ato.gov.au/law/view/pdf/adhoc-sgml/gstir-electricity-gas-industry.pdf" TargetMode="External"/><Relationship Id="rId7" Type="http://schemas.openxmlformats.org/officeDocument/2006/relationships/hyperlink" Target="http://www.cleanenergyregulator.gov.au/RET/Forms-and-resources/Postcode-data-for-small-scale-installations" TargetMode="External"/><Relationship Id="rId12" Type="http://schemas.openxmlformats.org/officeDocument/2006/relationships/hyperlink" Target="https://www.cleanenergyregulator.gov.au/RET/About-the-Renewable-Energy-Target/How-the-scheme-works/Small-scale-Renewable-Energy-Scheme" TargetMode="External"/><Relationship Id="rId17" Type="http://schemas.openxmlformats.org/officeDocument/2006/relationships/hyperlink" Target="https://aemo.com.au/-/media/files/electricity/nem/security_and_reliability/loss_factors_and_regional_boundaries/2023-24/distribution-loss-factors-for-the-2023-24-financial-year.pdf?la=en" TargetMode="External"/><Relationship Id="rId2" Type="http://schemas.openxmlformats.org/officeDocument/2006/relationships/hyperlink" Target="http://www.gazette.vic.gov.au/gazette/Gazettes2013/GG2013S216.pdf" TargetMode="External"/><Relationship Id="rId16" Type="http://schemas.openxmlformats.org/officeDocument/2006/relationships/hyperlink" Target="https://aemo.com.au/en/energy-systems/electricity/national-electricity-market-nem/data-nem/ancillary-services-data/ancillary-services-payments-and-recovery" TargetMode="External"/><Relationship Id="rId1" Type="http://schemas.openxmlformats.org/officeDocument/2006/relationships/hyperlink" Target="https://www.cleanenergyregulator.gov.au/RET/Forms-and-resources/Postcode-data-for-small-scale-installations" TargetMode="External"/><Relationship Id="rId6" Type="http://schemas.openxmlformats.org/officeDocument/2006/relationships/hyperlink" Target="https://opennem.org.au/energy/nem/?range=7d&amp;interval=30m" TargetMode="External"/><Relationship Id="rId11" Type="http://schemas.openxmlformats.org/officeDocument/2006/relationships/hyperlink" Target="https://www.greenpower.gov.au/about-greenpower" TargetMode="External"/><Relationship Id="rId5" Type="http://schemas.openxmlformats.org/officeDocument/2006/relationships/hyperlink" Target="https://www.aemo.com.au/Energy-systems/Electricity/National-Electricity-Market-NEM/Data-NEM/Data-Dashboard-NEM" TargetMode="External"/><Relationship Id="rId15" Type="http://schemas.openxmlformats.org/officeDocument/2006/relationships/hyperlink" Target="https://aemo.com.au/~/aemo-electricity-fee-structure-final-report-and-determination.pdf" TargetMode="External"/><Relationship Id="rId10" Type="http://schemas.openxmlformats.org/officeDocument/2006/relationships/hyperlink" Target="https://youtu.be/aW2qB8f4tmc" TargetMode="External"/><Relationship Id="rId19" Type="http://schemas.openxmlformats.org/officeDocument/2006/relationships/hyperlink" Target="https://www.esc.vic.gov.au/sites/default/files/documents/Distributed-Generation-Inquiry-Stage-1-Final-Report-Energy-Value-FINAL-20160916.pdf" TargetMode="External"/><Relationship Id="rId4" Type="http://schemas.openxmlformats.org/officeDocument/2006/relationships/hyperlink" Target="https://www.parliament.vic.gov.au/4918ad/globalassets/tabled-paper-documents/tabled-paper-7543/vret-progress-report-2022-23.pdf" TargetMode="External"/><Relationship Id="rId9" Type="http://schemas.openxmlformats.org/officeDocument/2006/relationships/hyperlink" Target="https://www.esc.vic.gov.au/electricity-and-gas/electricity-and-gas-tariffs-and-benchmarks/minimum-feed-tariff" TargetMode="External"/><Relationship Id="rId14" Type="http://schemas.openxmlformats.org/officeDocument/2006/relationships/hyperlink" Target="https://aemo.com.au/en/consultations/current-and-closed-consultations/2022-23-aemo-budget-and-f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27B771B0440D0A515618326D42F63"/>
        <w:category>
          <w:name w:val="General"/>
          <w:gallery w:val="placeholder"/>
        </w:category>
        <w:types>
          <w:type w:val="bbPlcHdr"/>
        </w:types>
        <w:behaviors>
          <w:behavior w:val="content"/>
        </w:behaviors>
        <w:guid w:val="{8DEE59B0-0A2E-4745-98F6-C99465EBF066}"/>
      </w:docPartPr>
      <w:docPartBody>
        <w:p w:rsidR="006F40CD" w:rsidRDefault="00833905">
          <w:pPr>
            <w:pStyle w:val="C2E27B771B0440D0A515618326D42F63"/>
          </w:pPr>
          <w:r w:rsidRPr="007E1738">
            <w:rPr>
              <w:rStyle w:val="TitleCentredChar"/>
            </w:rPr>
            <w:t>[Title, use ‘Title’ type style. Content will automatically link to internal footer]</w:t>
          </w:r>
        </w:p>
      </w:docPartBody>
    </w:docPart>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6F03402753C9451895E0C26EA66B635F"/>
        <w:category>
          <w:name w:val="General"/>
          <w:gallery w:val="placeholder"/>
        </w:category>
        <w:types>
          <w:type w:val="bbPlcHdr"/>
        </w:types>
        <w:behaviors>
          <w:behavior w:val="content"/>
        </w:behaviors>
        <w:guid w:val="{421C16AE-5096-4AD2-839F-5E8C6991E1C5}"/>
      </w:docPartPr>
      <w:docPartBody>
        <w:p w:rsidR="006F40CD" w:rsidRDefault="00833905">
          <w:pPr>
            <w:pStyle w:val="6F03402753C9451895E0C26EA66B635F"/>
          </w:pPr>
          <w:r>
            <w:t>[</w:t>
          </w:r>
          <w:r w:rsidRPr="00615C49">
            <w:t>Click or tap to enter a date</w:t>
          </w:r>
          <w:r>
            <w:t>, or click to manually type custom date]</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BF4EF17F94AD4C4E9E743AE3E9C1BD61"/>
        <w:category>
          <w:name w:val="General"/>
          <w:gallery w:val="placeholder"/>
        </w:category>
        <w:types>
          <w:type w:val="bbPlcHdr"/>
        </w:types>
        <w:behaviors>
          <w:behavior w:val="content"/>
        </w:behaviors>
        <w:guid w:val="{14EB0C91-5A09-4BA8-81E1-C61E21DCEDD6}"/>
      </w:docPartPr>
      <w:docPartBody>
        <w:p w:rsidR="006F40CD" w:rsidRDefault="00833905">
          <w:pPr>
            <w:pStyle w:val="BF4EF17F94AD4C4E9E743AE3E9C1BD61"/>
          </w:pPr>
          <w:r w:rsidRPr="00AD2E14">
            <w:rPr>
              <w:b/>
              <w:highlight w:val="lightGray"/>
            </w:rPr>
            <w:t>[Title]</w:t>
          </w:r>
        </w:p>
      </w:docPartBody>
    </w:docPart>
    <w:docPart>
      <w:docPartPr>
        <w:name w:val="8A242777EE684D85AE4CB9C85A9668F3"/>
        <w:category>
          <w:name w:val="General"/>
          <w:gallery w:val="placeholder"/>
        </w:category>
        <w:types>
          <w:type w:val="bbPlcHdr"/>
        </w:types>
        <w:behaviors>
          <w:behavior w:val="content"/>
        </w:behaviors>
        <w:guid w:val="{7340FAFB-BF73-43E0-9E9B-B5AD121B7C20}"/>
      </w:docPartPr>
      <w:docPartBody>
        <w:p w:rsidR="006F40CD" w:rsidRDefault="00833905">
          <w:pPr>
            <w:pStyle w:val="8A242777EE684D85AE4CB9C85A9668F3"/>
          </w:pPr>
          <w:r w:rsidRPr="00AD2E14">
            <w:rPr>
              <w:b/>
              <w:highlight w:val="lightGray"/>
            </w:rPr>
            <w:t>[Title]</w:t>
          </w:r>
        </w:p>
      </w:docPartBody>
    </w:docPart>
    <w:docPart>
      <w:docPartPr>
        <w:name w:val="FB739D6C14934A1A8E7F7D867AC0912E"/>
        <w:category>
          <w:name w:val="General"/>
          <w:gallery w:val="placeholder"/>
        </w:category>
        <w:types>
          <w:type w:val="bbPlcHdr"/>
        </w:types>
        <w:behaviors>
          <w:behavior w:val="content"/>
        </w:behaviors>
        <w:guid w:val="{7DC7E3A7-A7AF-4672-8185-4FF386AD4766}"/>
      </w:docPartPr>
      <w:docPartBody>
        <w:p w:rsidR="006F40CD" w:rsidRDefault="00833905">
          <w:pPr>
            <w:pStyle w:val="FB739D6C14934A1A8E7F7D867AC0912E"/>
          </w:pPr>
          <w:r w:rsidRPr="00AD2E14">
            <w:rPr>
              <w:b/>
              <w:highlight w:val="lightGray"/>
            </w:rPr>
            <w:t>[Title]</w:t>
          </w:r>
        </w:p>
      </w:docPartBody>
    </w:docPart>
    <w:docPart>
      <w:docPartPr>
        <w:name w:val="80FE518C65974B1A944C95F671D1B468"/>
        <w:category>
          <w:name w:val="General"/>
          <w:gallery w:val="placeholder"/>
        </w:category>
        <w:types>
          <w:type w:val="bbPlcHdr"/>
        </w:types>
        <w:behaviors>
          <w:behavior w:val="content"/>
        </w:behaviors>
        <w:guid w:val="{71FBB632-FE78-485A-B775-4D69566F2978}"/>
      </w:docPartPr>
      <w:docPartBody>
        <w:p w:rsidR="006F40CD" w:rsidRDefault="00833905">
          <w:pPr>
            <w:pStyle w:val="80FE518C65974B1A944C95F671D1B468"/>
          </w:pPr>
          <w:r w:rsidRPr="00AD2E14">
            <w:rPr>
              <w:b/>
              <w:highlight w:val="lightGray"/>
            </w:rPr>
            <w:t>[Title]</w:t>
          </w:r>
        </w:p>
      </w:docPartBody>
    </w:docPart>
    <w:docPart>
      <w:docPartPr>
        <w:name w:val="239B74B6562C4E07B295F08C831DCD72"/>
        <w:category>
          <w:name w:val="General"/>
          <w:gallery w:val="placeholder"/>
        </w:category>
        <w:types>
          <w:type w:val="bbPlcHdr"/>
        </w:types>
        <w:behaviors>
          <w:behavior w:val="content"/>
        </w:behaviors>
        <w:guid w:val="{F78FBFD7-9474-40B0-8664-11E7DA931AB2}"/>
      </w:docPartPr>
      <w:docPartBody>
        <w:p w:rsidR="006F40CD" w:rsidRDefault="00833905" w:rsidP="00833905">
          <w:pPr>
            <w:pStyle w:val="239B74B6562C4E07B295F08C831DCD72"/>
          </w:pPr>
          <w:r w:rsidRPr="00360763">
            <w:rPr>
              <w:highlight w:val="lightGray"/>
            </w:rPr>
            <w:t>[Click to select a year]</w:t>
          </w:r>
        </w:p>
      </w:docPartBody>
    </w:docPart>
    <w:docPart>
      <w:docPartPr>
        <w:name w:val="140E192DA8A1450993BE2E5E85F512CC"/>
        <w:category>
          <w:name w:val="General"/>
          <w:gallery w:val="placeholder"/>
        </w:category>
        <w:types>
          <w:type w:val="bbPlcHdr"/>
        </w:types>
        <w:behaviors>
          <w:behavior w:val="content"/>
        </w:behaviors>
        <w:guid w:val="{995E23AD-216A-40F2-9DE6-E2584B33A2CF}"/>
      </w:docPartPr>
      <w:docPartBody>
        <w:p w:rsidR="006F40CD" w:rsidRDefault="00833905" w:rsidP="00833905">
          <w:pPr>
            <w:pStyle w:val="140E192DA8A1450993BE2E5E85F512CC"/>
          </w:pPr>
          <w:r w:rsidRPr="005F3D90">
            <w:rPr>
              <w:highlight w:val="lightGray"/>
            </w:rPr>
            <w:t>[Title]</w:t>
          </w:r>
        </w:p>
      </w:docPartBody>
    </w:docPart>
    <w:docPart>
      <w:docPartPr>
        <w:name w:val="B4436841E4824DCE81F3F32E50702F23"/>
        <w:category>
          <w:name w:val="General"/>
          <w:gallery w:val="placeholder"/>
        </w:category>
        <w:types>
          <w:type w:val="bbPlcHdr"/>
        </w:types>
        <w:behaviors>
          <w:behavior w:val="content"/>
        </w:behaviors>
        <w:guid w:val="{C11A9E1E-2358-41C0-B120-449E6891A729}"/>
      </w:docPartPr>
      <w:docPartBody>
        <w:p w:rsidR="006F40CD" w:rsidRDefault="00833905" w:rsidP="00833905">
          <w:pPr>
            <w:pStyle w:val="B4436841E4824DCE81F3F32E50702F23"/>
          </w:pPr>
          <w:r w:rsidRPr="00563AD8">
            <w:rPr>
              <w:highlight w:val="lightGray"/>
            </w:rPr>
            <w:t>[Subtitle]</w:t>
          </w:r>
        </w:p>
      </w:docPartBody>
    </w:docPart>
    <w:docPart>
      <w:docPartPr>
        <w:name w:val="96481528163E47148202FE7F807A6399"/>
        <w:category>
          <w:name w:val="General"/>
          <w:gallery w:val="placeholder"/>
        </w:category>
        <w:types>
          <w:type w:val="bbPlcHdr"/>
        </w:types>
        <w:behaviors>
          <w:behavior w:val="content"/>
        </w:behaviors>
        <w:guid w:val="{71C7F7C6-9698-4818-AC76-7E1EAEB19B67}"/>
      </w:docPartPr>
      <w:docPartBody>
        <w:p w:rsidR="006F40CD" w:rsidRDefault="00833905" w:rsidP="00833905">
          <w:pPr>
            <w:pStyle w:val="96481528163E47148202FE7F807A6399"/>
          </w:pPr>
          <w:r w:rsidRPr="005F3D90">
            <w:rPr>
              <w:highlight w:val="lightGray"/>
            </w:rPr>
            <w:t xml:space="preserve">[Click to select </w:t>
          </w:r>
          <w:r>
            <w:rPr>
              <w:highlight w:val="lightGray"/>
            </w:rPr>
            <w:t>a date</w:t>
          </w:r>
          <w:r w:rsidRPr="005F3D90">
            <w:rPr>
              <w:highlight w:val="lightGray"/>
            </w:rPr>
            <w:t>]</w:t>
          </w:r>
        </w:p>
      </w:docPartBody>
    </w:docPart>
    <w:docPart>
      <w:docPartPr>
        <w:name w:val="20C87AE358FB4BCAA4759E62FE3C9A16"/>
        <w:category>
          <w:name w:val="General"/>
          <w:gallery w:val="placeholder"/>
        </w:category>
        <w:types>
          <w:type w:val="bbPlcHdr"/>
        </w:types>
        <w:behaviors>
          <w:behavior w:val="content"/>
        </w:behaviors>
        <w:guid w:val="{65706C31-7D97-4A86-8A36-C7137FC53656}"/>
      </w:docPartPr>
      <w:docPartBody>
        <w:p w:rsidR="006F40CD" w:rsidRDefault="00833905" w:rsidP="00833905">
          <w:pPr>
            <w:pStyle w:val="20C87AE358FB4BCAA4759E62FE3C9A16"/>
          </w:pPr>
          <w:r w:rsidRPr="00360763">
            <w:rPr>
              <w:highlight w:val="lightGray"/>
            </w:rPr>
            <w:t>[Click to select a year]</w:t>
          </w:r>
        </w:p>
      </w:docPartBody>
    </w:docPart>
    <w:docPart>
      <w:docPartPr>
        <w:name w:val="081541628B584DC4B0333642607BDAD8"/>
        <w:category>
          <w:name w:val="General"/>
          <w:gallery w:val="placeholder"/>
        </w:category>
        <w:types>
          <w:type w:val="bbPlcHdr"/>
        </w:types>
        <w:behaviors>
          <w:behavior w:val="content"/>
        </w:behaviors>
        <w:guid w:val="{2C2A5B0E-4432-4746-AE34-C1747ACEB34A}"/>
      </w:docPartPr>
      <w:docPartBody>
        <w:p w:rsidR="006F40CD" w:rsidRDefault="00833905" w:rsidP="00833905">
          <w:pPr>
            <w:pStyle w:val="081541628B584DC4B0333642607BDAD8"/>
          </w:pPr>
          <w:r w:rsidRPr="005F3D90">
            <w:rPr>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217A8"/>
    <w:rsid w:val="000A3E49"/>
    <w:rsid w:val="00101CD3"/>
    <w:rsid w:val="00105B2A"/>
    <w:rsid w:val="00121918"/>
    <w:rsid w:val="00133937"/>
    <w:rsid w:val="001B07AC"/>
    <w:rsid w:val="001E63E3"/>
    <w:rsid w:val="002C0683"/>
    <w:rsid w:val="00305218"/>
    <w:rsid w:val="00362BBC"/>
    <w:rsid w:val="00407745"/>
    <w:rsid w:val="0041058C"/>
    <w:rsid w:val="00455DE3"/>
    <w:rsid w:val="004A2317"/>
    <w:rsid w:val="00584AE4"/>
    <w:rsid w:val="005856F3"/>
    <w:rsid w:val="005B723B"/>
    <w:rsid w:val="00631A4A"/>
    <w:rsid w:val="00686AB4"/>
    <w:rsid w:val="006F1992"/>
    <w:rsid w:val="006F40CD"/>
    <w:rsid w:val="00787E8F"/>
    <w:rsid w:val="007C567F"/>
    <w:rsid w:val="007E22A9"/>
    <w:rsid w:val="00833905"/>
    <w:rsid w:val="0087648D"/>
    <w:rsid w:val="009124F3"/>
    <w:rsid w:val="00917F31"/>
    <w:rsid w:val="00945D21"/>
    <w:rsid w:val="00964C76"/>
    <w:rsid w:val="00984C3C"/>
    <w:rsid w:val="009B0B78"/>
    <w:rsid w:val="009B7555"/>
    <w:rsid w:val="009C097F"/>
    <w:rsid w:val="009F0977"/>
    <w:rsid w:val="00A15C15"/>
    <w:rsid w:val="00A96D6F"/>
    <w:rsid w:val="00AF3286"/>
    <w:rsid w:val="00AF6422"/>
    <w:rsid w:val="00B0384F"/>
    <w:rsid w:val="00B31BBE"/>
    <w:rsid w:val="00B44BC7"/>
    <w:rsid w:val="00B51534"/>
    <w:rsid w:val="00BA6FD5"/>
    <w:rsid w:val="00C35EA9"/>
    <w:rsid w:val="00D11518"/>
    <w:rsid w:val="00D2362A"/>
    <w:rsid w:val="00D60224"/>
    <w:rsid w:val="00DC5905"/>
    <w:rsid w:val="00DD11EA"/>
    <w:rsid w:val="00DF4819"/>
    <w:rsid w:val="00E06608"/>
    <w:rsid w:val="00E14971"/>
    <w:rsid w:val="00E4278A"/>
    <w:rsid w:val="00E52817"/>
    <w:rsid w:val="00E86FA4"/>
    <w:rsid w:val="00EE428F"/>
    <w:rsid w:val="00F36E8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44546A" w:themeColor="text2"/>
      <w:sz w:val="52"/>
      <w:lang w:val="en-US" w:eastAsia="en-US"/>
    </w:rPr>
  </w:style>
  <w:style w:type="character" w:customStyle="1" w:styleId="TitleCentredChar">
    <w:name w:val="Title Centred Char"/>
    <w:basedOn w:val="TitleChar"/>
    <w:link w:val="TitleCentred"/>
    <w:rPr>
      <w:rFonts w:ascii="Tahoma" w:eastAsiaTheme="majorEastAsia" w:hAnsi="Tahoma" w:cstheme="majorBidi"/>
      <w:color w:val="44546A" w:themeColor="text2"/>
      <w:spacing w:val="-10"/>
      <w:kern w:val="28"/>
      <w:sz w:val="52"/>
      <w:szCs w:val="56"/>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C2E27B771B0440D0A515618326D42F63">
    <w:name w:val="C2E27B771B0440D0A515618326D42F63"/>
  </w:style>
  <w:style w:type="character" w:styleId="PlaceholderText">
    <w:name w:val="Placeholder Text"/>
    <w:basedOn w:val="DefaultParagraphFont"/>
    <w:uiPriority w:val="99"/>
    <w:semiHidden/>
    <w:rPr>
      <w:color w:val="808080"/>
    </w:rPr>
  </w:style>
  <w:style w:type="paragraph" w:customStyle="1" w:styleId="00ED5049FEAF48FBACD1E70E9F41C85C">
    <w:name w:val="00ED5049FEAF48FBACD1E70E9F41C85C"/>
  </w:style>
  <w:style w:type="paragraph" w:customStyle="1" w:styleId="6F03402753C9451895E0C26EA66B635F">
    <w:name w:val="6F03402753C9451895E0C26EA66B635F"/>
  </w:style>
  <w:style w:type="paragraph" w:customStyle="1" w:styleId="89546CF0731A43EEA0DAC878284F1376">
    <w:name w:val="89546CF0731A43EEA0DAC878284F1376"/>
  </w:style>
  <w:style w:type="paragraph" w:customStyle="1" w:styleId="BF4EF17F94AD4C4E9E743AE3E9C1BD61">
    <w:name w:val="BF4EF17F94AD4C4E9E743AE3E9C1BD61"/>
  </w:style>
  <w:style w:type="paragraph" w:customStyle="1" w:styleId="8A242777EE684D85AE4CB9C85A9668F3">
    <w:name w:val="8A242777EE684D85AE4CB9C85A9668F3"/>
  </w:style>
  <w:style w:type="paragraph" w:customStyle="1" w:styleId="FB739D6C14934A1A8E7F7D867AC0912E">
    <w:name w:val="FB739D6C14934A1A8E7F7D867AC0912E"/>
  </w:style>
  <w:style w:type="paragraph" w:customStyle="1" w:styleId="80FE518C65974B1A944C95F671D1B468">
    <w:name w:val="80FE518C65974B1A944C95F671D1B468"/>
  </w:style>
  <w:style w:type="paragraph" w:customStyle="1" w:styleId="239B74B6562C4E07B295F08C831DCD72">
    <w:name w:val="239B74B6562C4E07B295F08C831DCD72"/>
    <w:rsid w:val="00833905"/>
  </w:style>
  <w:style w:type="paragraph" w:customStyle="1" w:styleId="140E192DA8A1450993BE2E5E85F512CC">
    <w:name w:val="140E192DA8A1450993BE2E5E85F512CC"/>
    <w:rsid w:val="00833905"/>
  </w:style>
  <w:style w:type="paragraph" w:customStyle="1" w:styleId="B4436841E4824DCE81F3F32E50702F23">
    <w:name w:val="B4436841E4824DCE81F3F32E50702F23"/>
    <w:rsid w:val="00833905"/>
  </w:style>
  <w:style w:type="paragraph" w:customStyle="1" w:styleId="96481528163E47148202FE7F807A6399">
    <w:name w:val="96481528163E47148202FE7F807A6399"/>
    <w:rsid w:val="00833905"/>
  </w:style>
  <w:style w:type="paragraph" w:customStyle="1" w:styleId="20C87AE358FB4BCAA4759E62FE3C9A16">
    <w:name w:val="20C87AE358FB4BCAA4759E62FE3C9A16"/>
    <w:rsid w:val="00833905"/>
  </w:style>
  <w:style w:type="paragraph" w:customStyle="1" w:styleId="081541628B584DC4B0333642607BDAD8">
    <w:name w:val="081541628B584DC4B0333642607BDAD8"/>
    <w:rsid w:val="0083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98D85C82905B4AB3B16EABB2039E40" ma:contentTypeVersion="13" ma:contentTypeDescription="Create a new document." ma:contentTypeScope="" ma:versionID="c31cae99953f8aa70599220549f6a692">
  <xsd:schema xmlns:xsd="http://www.w3.org/2001/XMLSchema" xmlns:xs="http://www.w3.org/2001/XMLSchema" xmlns:p="http://schemas.microsoft.com/office/2006/metadata/properties" xmlns:ns2="78cb739f-ba0b-4c00-b1c7-25b42d6e027d" xmlns:ns3="7880b107-4737-4d98-9ffb-0dfe747dca39" targetNamespace="http://schemas.microsoft.com/office/2006/metadata/properties" ma:root="true" ma:fieldsID="388735da8c300ce4f8be9864022a1d60" ns2:_="" ns3:_="">
    <xsd:import namespace="78cb739f-ba0b-4c00-b1c7-25b42d6e027d"/>
    <xsd:import namespace="7880b107-4737-4d98-9ffb-0dfe747dca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b739f-ba0b-4c00-b1c7-25b42d6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0b107-4737-4d98-9ffb-0dfe747dca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5f9444-c6f3-4b4a-9412-c4ec4eb2298d}" ma:internalName="TaxCatchAll" ma:showField="CatchAllData" ma:web="7880b107-4737-4d98-9ffb-0dfe747dca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80b107-4737-4d98-9ffb-0dfe747dca39" xsi:nil="true"/>
    <lcf76f155ced4ddcb4097134ff3c332f xmlns="78cb739f-ba0b-4c00-b1c7-25b42d6e027d">
      <Terms xmlns="http://schemas.microsoft.com/office/infopath/2007/PartnerControls"/>
    </lcf76f155ced4ddcb4097134ff3c332f>
    <SharedWithUsers xmlns="7880b107-4737-4d98-9ffb-0dfe747dca39">
      <UserInfo>
        <DisplayName>Zach Zhang (ESC)</DisplayName>
        <AccountId>16</AccountId>
        <AccountType/>
      </UserInfo>
      <UserInfo>
        <DisplayName>Jonathan Roberts (ESC)</DisplayName>
        <AccountId>18</AccountId>
        <AccountType/>
      </UserInfo>
      <UserInfo>
        <DisplayName>Adit Maitra (ESC)</DisplayName>
        <AccountId>17</AccountId>
        <AccountType/>
      </UserInfo>
      <UserInfo>
        <DisplayName>Geoffrey Dellar (ESC)</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DAF61-3B56-4D9D-AECB-C2F9F2804B1A}">
  <ds:schemaRefs>
    <ds:schemaRef ds:uri="http://schemas.microsoft.com/sharepoint/v3/contenttype/forms"/>
  </ds:schemaRefs>
</ds:datastoreItem>
</file>

<file path=customXml/itemProps2.xml><?xml version="1.0" encoding="utf-8"?>
<ds:datastoreItem xmlns:ds="http://schemas.openxmlformats.org/officeDocument/2006/customXml" ds:itemID="{8BD5C6A6-2577-4FC1-9817-6A0F507AD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b739f-ba0b-4c00-b1c7-25b42d6e027d"/>
    <ds:schemaRef ds:uri="7880b107-4737-4d98-9ffb-0dfe747dc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C69E1-C96C-46B9-889A-EBEF7835855C}">
  <ds:schemaRefs>
    <ds:schemaRef ds:uri="http://schemas.microsoft.com/office/2006/metadata/properties"/>
    <ds:schemaRef ds:uri="http://schemas.microsoft.com/office/infopath/2007/PartnerControls"/>
    <ds:schemaRef ds:uri="7880b107-4737-4d98-9ffb-0dfe747dca39"/>
    <ds:schemaRef ds:uri="78cb739f-ba0b-4c00-b1c7-25b42d6e027d"/>
  </ds:schemaRefs>
</ds:datastoreItem>
</file>

<file path=customXml/itemProps4.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47</Pages>
  <Words>11450</Words>
  <Characters>65266</Characters>
  <Application>Microsoft Office Word</Application>
  <DocSecurity>0</DocSecurity>
  <Lines>543</Lines>
  <Paragraphs>153</Paragraphs>
  <ScaleCrop>false</ScaleCrop>
  <Company/>
  <LinksUpToDate>false</LinksUpToDate>
  <CharactersWithSpaces>76563</CharactersWithSpaces>
  <SharedDoc>false</SharedDoc>
  <HLinks>
    <vt:vector size="450" baseType="variant">
      <vt:variant>
        <vt:i4>1441847</vt:i4>
      </vt:variant>
      <vt:variant>
        <vt:i4>336</vt:i4>
      </vt:variant>
      <vt:variant>
        <vt:i4>0</vt:i4>
      </vt:variant>
      <vt:variant>
        <vt:i4>5</vt:i4>
      </vt:variant>
      <vt:variant>
        <vt:lpwstr/>
      </vt:variant>
      <vt:variant>
        <vt:lpwstr>_Appendix_A_–</vt:lpwstr>
      </vt:variant>
      <vt:variant>
        <vt:i4>1441847</vt:i4>
      </vt:variant>
      <vt:variant>
        <vt:i4>333</vt:i4>
      </vt:variant>
      <vt:variant>
        <vt:i4>0</vt:i4>
      </vt:variant>
      <vt:variant>
        <vt:i4>5</vt:i4>
      </vt:variant>
      <vt:variant>
        <vt:lpwstr/>
      </vt:variant>
      <vt:variant>
        <vt:lpwstr>_Appendix_A_–</vt:lpwstr>
      </vt:variant>
      <vt:variant>
        <vt:i4>1310773</vt:i4>
      </vt:variant>
      <vt:variant>
        <vt:i4>326</vt:i4>
      </vt:variant>
      <vt:variant>
        <vt:i4>0</vt:i4>
      </vt:variant>
      <vt:variant>
        <vt:i4>5</vt:i4>
      </vt:variant>
      <vt:variant>
        <vt:lpwstr/>
      </vt:variant>
      <vt:variant>
        <vt:lpwstr>_Toc159253879</vt:lpwstr>
      </vt:variant>
      <vt:variant>
        <vt:i4>1310773</vt:i4>
      </vt:variant>
      <vt:variant>
        <vt:i4>320</vt:i4>
      </vt:variant>
      <vt:variant>
        <vt:i4>0</vt:i4>
      </vt:variant>
      <vt:variant>
        <vt:i4>5</vt:i4>
      </vt:variant>
      <vt:variant>
        <vt:lpwstr/>
      </vt:variant>
      <vt:variant>
        <vt:lpwstr>_Toc159253878</vt:lpwstr>
      </vt:variant>
      <vt:variant>
        <vt:i4>1310773</vt:i4>
      </vt:variant>
      <vt:variant>
        <vt:i4>314</vt:i4>
      </vt:variant>
      <vt:variant>
        <vt:i4>0</vt:i4>
      </vt:variant>
      <vt:variant>
        <vt:i4>5</vt:i4>
      </vt:variant>
      <vt:variant>
        <vt:lpwstr/>
      </vt:variant>
      <vt:variant>
        <vt:lpwstr>_Toc159253877</vt:lpwstr>
      </vt:variant>
      <vt:variant>
        <vt:i4>1310773</vt:i4>
      </vt:variant>
      <vt:variant>
        <vt:i4>308</vt:i4>
      </vt:variant>
      <vt:variant>
        <vt:i4>0</vt:i4>
      </vt:variant>
      <vt:variant>
        <vt:i4>5</vt:i4>
      </vt:variant>
      <vt:variant>
        <vt:lpwstr/>
      </vt:variant>
      <vt:variant>
        <vt:lpwstr>_Toc159253876</vt:lpwstr>
      </vt:variant>
      <vt:variant>
        <vt:i4>1310773</vt:i4>
      </vt:variant>
      <vt:variant>
        <vt:i4>302</vt:i4>
      </vt:variant>
      <vt:variant>
        <vt:i4>0</vt:i4>
      </vt:variant>
      <vt:variant>
        <vt:i4>5</vt:i4>
      </vt:variant>
      <vt:variant>
        <vt:lpwstr/>
      </vt:variant>
      <vt:variant>
        <vt:lpwstr>_Toc159253875</vt:lpwstr>
      </vt:variant>
      <vt:variant>
        <vt:i4>1310773</vt:i4>
      </vt:variant>
      <vt:variant>
        <vt:i4>296</vt:i4>
      </vt:variant>
      <vt:variant>
        <vt:i4>0</vt:i4>
      </vt:variant>
      <vt:variant>
        <vt:i4>5</vt:i4>
      </vt:variant>
      <vt:variant>
        <vt:lpwstr/>
      </vt:variant>
      <vt:variant>
        <vt:lpwstr>_Toc159253874</vt:lpwstr>
      </vt:variant>
      <vt:variant>
        <vt:i4>1310773</vt:i4>
      </vt:variant>
      <vt:variant>
        <vt:i4>290</vt:i4>
      </vt:variant>
      <vt:variant>
        <vt:i4>0</vt:i4>
      </vt:variant>
      <vt:variant>
        <vt:i4>5</vt:i4>
      </vt:variant>
      <vt:variant>
        <vt:lpwstr/>
      </vt:variant>
      <vt:variant>
        <vt:lpwstr>_Toc159253873</vt:lpwstr>
      </vt:variant>
      <vt:variant>
        <vt:i4>1310773</vt:i4>
      </vt:variant>
      <vt:variant>
        <vt:i4>284</vt:i4>
      </vt:variant>
      <vt:variant>
        <vt:i4>0</vt:i4>
      </vt:variant>
      <vt:variant>
        <vt:i4>5</vt:i4>
      </vt:variant>
      <vt:variant>
        <vt:lpwstr/>
      </vt:variant>
      <vt:variant>
        <vt:lpwstr>_Toc159253872</vt:lpwstr>
      </vt:variant>
      <vt:variant>
        <vt:i4>1310773</vt:i4>
      </vt:variant>
      <vt:variant>
        <vt:i4>278</vt:i4>
      </vt:variant>
      <vt:variant>
        <vt:i4>0</vt:i4>
      </vt:variant>
      <vt:variant>
        <vt:i4>5</vt:i4>
      </vt:variant>
      <vt:variant>
        <vt:lpwstr/>
      </vt:variant>
      <vt:variant>
        <vt:lpwstr>_Toc159253871</vt:lpwstr>
      </vt:variant>
      <vt:variant>
        <vt:i4>1310773</vt:i4>
      </vt:variant>
      <vt:variant>
        <vt:i4>272</vt:i4>
      </vt:variant>
      <vt:variant>
        <vt:i4>0</vt:i4>
      </vt:variant>
      <vt:variant>
        <vt:i4>5</vt:i4>
      </vt:variant>
      <vt:variant>
        <vt:lpwstr/>
      </vt:variant>
      <vt:variant>
        <vt:lpwstr>_Toc159253870</vt:lpwstr>
      </vt:variant>
      <vt:variant>
        <vt:i4>1376309</vt:i4>
      </vt:variant>
      <vt:variant>
        <vt:i4>266</vt:i4>
      </vt:variant>
      <vt:variant>
        <vt:i4>0</vt:i4>
      </vt:variant>
      <vt:variant>
        <vt:i4>5</vt:i4>
      </vt:variant>
      <vt:variant>
        <vt:lpwstr/>
      </vt:variant>
      <vt:variant>
        <vt:lpwstr>_Toc159253869</vt:lpwstr>
      </vt:variant>
      <vt:variant>
        <vt:i4>1376309</vt:i4>
      </vt:variant>
      <vt:variant>
        <vt:i4>260</vt:i4>
      </vt:variant>
      <vt:variant>
        <vt:i4>0</vt:i4>
      </vt:variant>
      <vt:variant>
        <vt:i4>5</vt:i4>
      </vt:variant>
      <vt:variant>
        <vt:lpwstr/>
      </vt:variant>
      <vt:variant>
        <vt:lpwstr>_Toc159253868</vt:lpwstr>
      </vt:variant>
      <vt:variant>
        <vt:i4>1376309</vt:i4>
      </vt:variant>
      <vt:variant>
        <vt:i4>254</vt:i4>
      </vt:variant>
      <vt:variant>
        <vt:i4>0</vt:i4>
      </vt:variant>
      <vt:variant>
        <vt:i4>5</vt:i4>
      </vt:variant>
      <vt:variant>
        <vt:lpwstr/>
      </vt:variant>
      <vt:variant>
        <vt:lpwstr>_Toc159253867</vt:lpwstr>
      </vt:variant>
      <vt:variant>
        <vt:i4>1376309</vt:i4>
      </vt:variant>
      <vt:variant>
        <vt:i4>248</vt:i4>
      </vt:variant>
      <vt:variant>
        <vt:i4>0</vt:i4>
      </vt:variant>
      <vt:variant>
        <vt:i4>5</vt:i4>
      </vt:variant>
      <vt:variant>
        <vt:lpwstr/>
      </vt:variant>
      <vt:variant>
        <vt:lpwstr>_Toc159253866</vt:lpwstr>
      </vt:variant>
      <vt:variant>
        <vt:i4>1376309</vt:i4>
      </vt:variant>
      <vt:variant>
        <vt:i4>242</vt:i4>
      </vt:variant>
      <vt:variant>
        <vt:i4>0</vt:i4>
      </vt:variant>
      <vt:variant>
        <vt:i4>5</vt:i4>
      </vt:variant>
      <vt:variant>
        <vt:lpwstr/>
      </vt:variant>
      <vt:variant>
        <vt:lpwstr>_Toc159253865</vt:lpwstr>
      </vt:variant>
      <vt:variant>
        <vt:i4>1376309</vt:i4>
      </vt:variant>
      <vt:variant>
        <vt:i4>236</vt:i4>
      </vt:variant>
      <vt:variant>
        <vt:i4>0</vt:i4>
      </vt:variant>
      <vt:variant>
        <vt:i4>5</vt:i4>
      </vt:variant>
      <vt:variant>
        <vt:lpwstr/>
      </vt:variant>
      <vt:variant>
        <vt:lpwstr>_Toc159253864</vt:lpwstr>
      </vt:variant>
      <vt:variant>
        <vt:i4>1376309</vt:i4>
      </vt:variant>
      <vt:variant>
        <vt:i4>230</vt:i4>
      </vt:variant>
      <vt:variant>
        <vt:i4>0</vt:i4>
      </vt:variant>
      <vt:variant>
        <vt:i4>5</vt:i4>
      </vt:variant>
      <vt:variant>
        <vt:lpwstr/>
      </vt:variant>
      <vt:variant>
        <vt:lpwstr>_Toc159253863</vt:lpwstr>
      </vt:variant>
      <vt:variant>
        <vt:i4>1376309</vt:i4>
      </vt:variant>
      <vt:variant>
        <vt:i4>224</vt:i4>
      </vt:variant>
      <vt:variant>
        <vt:i4>0</vt:i4>
      </vt:variant>
      <vt:variant>
        <vt:i4>5</vt:i4>
      </vt:variant>
      <vt:variant>
        <vt:lpwstr/>
      </vt:variant>
      <vt:variant>
        <vt:lpwstr>_Toc159253862</vt:lpwstr>
      </vt:variant>
      <vt:variant>
        <vt:i4>1376309</vt:i4>
      </vt:variant>
      <vt:variant>
        <vt:i4>218</vt:i4>
      </vt:variant>
      <vt:variant>
        <vt:i4>0</vt:i4>
      </vt:variant>
      <vt:variant>
        <vt:i4>5</vt:i4>
      </vt:variant>
      <vt:variant>
        <vt:lpwstr/>
      </vt:variant>
      <vt:variant>
        <vt:lpwstr>_Toc159253861</vt:lpwstr>
      </vt:variant>
      <vt:variant>
        <vt:i4>1376309</vt:i4>
      </vt:variant>
      <vt:variant>
        <vt:i4>212</vt:i4>
      </vt:variant>
      <vt:variant>
        <vt:i4>0</vt:i4>
      </vt:variant>
      <vt:variant>
        <vt:i4>5</vt:i4>
      </vt:variant>
      <vt:variant>
        <vt:lpwstr/>
      </vt:variant>
      <vt:variant>
        <vt:lpwstr>_Toc159253860</vt:lpwstr>
      </vt:variant>
      <vt:variant>
        <vt:i4>1441845</vt:i4>
      </vt:variant>
      <vt:variant>
        <vt:i4>206</vt:i4>
      </vt:variant>
      <vt:variant>
        <vt:i4>0</vt:i4>
      </vt:variant>
      <vt:variant>
        <vt:i4>5</vt:i4>
      </vt:variant>
      <vt:variant>
        <vt:lpwstr/>
      </vt:variant>
      <vt:variant>
        <vt:lpwstr>_Toc159253859</vt:lpwstr>
      </vt:variant>
      <vt:variant>
        <vt:i4>1441845</vt:i4>
      </vt:variant>
      <vt:variant>
        <vt:i4>200</vt:i4>
      </vt:variant>
      <vt:variant>
        <vt:i4>0</vt:i4>
      </vt:variant>
      <vt:variant>
        <vt:i4>5</vt:i4>
      </vt:variant>
      <vt:variant>
        <vt:lpwstr/>
      </vt:variant>
      <vt:variant>
        <vt:lpwstr>_Toc159253858</vt:lpwstr>
      </vt:variant>
      <vt:variant>
        <vt:i4>1441845</vt:i4>
      </vt:variant>
      <vt:variant>
        <vt:i4>194</vt:i4>
      </vt:variant>
      <vt:variant>
        <vt:i4>0</vt:i4>
      </vt:variant>
      <vt:variant>
        <vt:i4>5</vt:i4>
      </vt:variant>
      <vt:variant>
        <vt:lpwstr/>
      </vt:variant>
      <vt:variant>
        <vt:lpwstr>_Toc159253857</vt:lpwstr>
      </vt:variant>
      <vt:variant>
        <vt:i4>1441845</vt:i4>
      </vt:variant>
      <vt:variant>
        <vt:i4>188</vt:i4>
      </vt:variant>
      <vt:variant>
        <vt:i4>0</vt:i4>
      </vt:variant>
      <vt:variant>
        <vt:i4>5</vt:i4>
      </vt:variant>
      <vt:variant>
        <vt:lpwstr/>
      </vt:variant>
      <vt:variant>
        <vt:lpwstr>_Toc159253856</vt:lpwstr>
      </vt:variant>
      <vt:variant>
        <vt:i4>1441845</vt:i4>
      </vt:variant>
      <vt:variant>
        <vt:i4>182</vt:i4>
      </vt:variant>
      <vt:variant>
        <vt:i4>0</vt:i4>
      </vt:variant>
      <vt:variant>
        <vt:i4>5</vt:i4>
      </vt:variant>
      <vt:variant>
        <vt:lpwstr/>
      </vt:variant>
      <vt:variant>
        <vt:lpwstr>_Toc159253855</vt:lpwstr>
      </vt:variant>
      <vt:variant>
        <vt:i4>1441845</vt:i4>
      </vt:variant>
      <vt:variant>
        <vt:i4>176</vt:i4>
      </vt:variant>
      <vt:variant>
        <vt:i4>0</vt:i4>
      </vt:variant>
      <vt:variant>
        <vt:i4>5</vt:i4>
      </vt:variant>
      <vt:variant>
        <vt:lpwstr/>
      </vt:variant>
      <vt:variant>
        <vt:lpwstr>_Toc159253854</vt:lpwstr>
      </vt:variant>
      <vt:variant>
        <vt:i4>1441845</vt:i4>
      </vt:variant>
      <vt:variant>
        <vt:i4>170</vt:i4>
      </vt:variant>
      <vt:variant>
        <vt:i4>0</vt:i4>
      </vt:variant>
      <vt:variant>
        <vt:i4>5</vt:i4>
      </vt:variant>
      <vt:variant>
        <vt:lpwstr/>
      </vt:variant>
      <vt:variant>
        <vt:lpwstr>_Toc159253853</vt:lpwstr>
      </vt:variant>
      <vt:variant>
        <vt:i4>1441845</vt:i4>
      </vt:variant>
      <vt:variant>
        <vt:i4>164</vt:i4>
      </vt:variant>
      <vt:variant>
        <vt:i4>0</vt:i4>
      </vt:variant>
      <vt:variant>
        <vt:i4>5</vt:i4>
      </vt:variant>
      <vt:variant>
        <vt:lpwstr/>
      </vt:variant>
      <vt:variant>
        <vt:lpwstr>_Toc159253852</vt:lpwstr>
      </vt:variant>
      <vt:variant>
        <vt:i4>1441845</vt:i4>
      </vt:variant>
      <vt:variant>
        <vt:i4>158</vt:i4>
      </vt:variant>
      <vt:variant>
        <vt:i4>0</vt:i4>
      </vt:variant>
      <vt:variant>
        <vt:i4>5</vt:i4>
      </vt:variant>
      <vt:variant>
        <vt:lpwstr/>
      </vt:variant>
      <vt:variant>
        <vt:lpwstr>_Toc159253851</vt:lpwstr>
      </vt:variant>
      <vt:variant>
        <vt:i4>1441845</vt:i4>
      </vt:variant>
      <vt:variant>
        <vt:i4>152</vt:i4>
      </vt:variant>
      <vt:variant>
        <vt:i4>0</vt:i4>
      </vt:variant>
      <vt:variant>
        <vt:i4>5</vt:i4>
      </vt:variant>
      <vt:variant>
        <vt:lpwstr/>
      </vt:variant>
      <vt:variant>
        <vt:lpwstr>_Toc159253850</vt:lpwstr>
      </vt:variant>
      <vt:variant>
        <vt:i4>1507381</vt:i4>
      </vt:variant>
      <vt:variant>
        <vt:i4>146</vt:i4>
      </vt:variant>
      <vt:variant>
        <vt:i4>0</vt:i4>
      </vt:variant>
      <vt:variant>
        <vt:i4>5</vt:i4>
      </vt:variant>
      <vt:variant>
        <vt:lpwstr/>
      </vt:variant>
      <vt:variant>
        <vt:lpwstr>_Toc159253849</vt:lpwstr>
      </vt:variant>
      <vt:variant>
        <vt:i4>1507381</vt:i4>
      </vt:variant>
      <vt:variant>
        <vt:i4>140</vt:i4>
      </vt:variant>
      <vt:variant>
        <vt:i4>0</vt:i4>
      </vt:variant>
      <vt:variant>
        <vt:i4>5</vt:i4>
      </vt:variant>
      <vt:variant>
        <vt:lpwstr/>
      </vt:variant>
      <vt:variant>
        <vt:lpwstr>_Toc159253848</vt:lpwstr>
      </vt:variant>
      <vt:variant>
        <vt:i4>1507381</vt:i4>
      </vt:variant>
      <vt:variant>
        <vt:i4>134</vt:i4>
      </vt:variant>
      <vt:variant>
        <vt:i4>0</vt:i4>
      </vt:variant>
      <vt:variant>
        <vt:i4>5</vt:i4>
      </vt:variant>
      <vt:variant>
        <vt:lpwstr/>
      </vt:variant>
      <vt:variant>
        <vt:lpwstr>_Toc159253847</vt:lpwstr>
      </vt:variant>
      <vt:variant>
        <vt:i4>1507381</vt:i4>
      </vt:variant>
      <vt:variant>
        <vt:i4>128</vt:i4>
      </vt:variant>
      <vt:variant>
        <vt:i4>0</vt:i4>
      </vt:variant>
      <vt:variant>
        <vt:i4>5</vt:i4>
      </vt:variant>
      <vt:variant>
        <vt:lpwstr/>
      </vt:variant>
      <vt:variant>
        <vt:lpwstr>_Toc159253846</vt:lpwstr>
      </vt:variant>
      <vt:variant>
        <vt:i4>1507381</vt:i4>
      </vt:variant>
      <vt:variant>
        <vt:i4>122</vt:i4>
      </vt:variant>
      <vt:variant>
        <vt:i4>0</vt:i4>
      </vt:variant>
      <vt:variant>
        <vt:i4>5</vt:i4>
      </vt:variant>
      <vt:variant>
        <vt:lpwstr/>
      </vt:variant>
      <vt:variant>
        <vt:lpwstr>_Toc159253845</vt:lpwstr>
      </vt:variant>
      <vt:variant>
        <vt:i4>1507381</vt:i4>
      </vt:variant>
      <vt:variant>
        <vt:i4>116</vt:i4>
      </vt:variant>
      <vt:variant>
        <vt:i4>0</vt:i4>
      </vt:variant>
      <vt:variant>
        <vt:i4>5</vt:i4>
      </vt:variant>
      <vt:variant>
        <vt:lpwstr/>
      </vt:variant>
      <vt:variant>
        <vt:lpwstr>_Toc159253844</vt:lpwstr>
      </vt:variant>
      <vt:variant>
        <vt:i4>1507381</vt:i4>
      </vt:variant>
      <vt:variant>
        <vt:i4>110</vt:i4>
      </vt:variant>
      <vt:variant>
        <vt:i4>0</vt:i4>
      </vt:variant>
      <vt:variant>
        <vt:i4>5</vt:i4>
      </vt:variant>
      <vt:variant>
        <vt:lpwstr/>
      </vt:variant>
      <vt:variant>
        <vt:lpwstr>_Toc159253843</vt:lpwstr>
      </vt:variant>
      <vt:variant>
        <vt:i4>1507381</vt:i4>
      </vt:variant>
      <vt:variant>
        <vt:i4>104</vt:i4>
      </vt:variant>
      <vt:variant>
        <vt:i4>0</vt:i4>
      </vt:variant>
      <vt:variant>
        <vt:i4>5</vt:i4>
      </vt:variant>
      <vt:variant>
        <vt:lpwstr/>
      </vt:variant>
      <vt:variant>
        <vt:lpwstr>_Toc159253842</vt:lpwstr>
      </vt:variant>
      <vt:variant>
        <vt:i4>1507381</vt:i4>
      </vt:variant>
      <vt:variant>
        <vt:i4>98</vt:i4>
      </vt:variant>
      <vt:variant>
        <vt:i4>0</vt:i4>
      </vt:variant>
      <vt:variant>
        <vt:i4>5</vt:i4>
      </vt:variant>
      <vt:variant>
        <vt:lpwstr/>
      </vt:variant>
      <vt:variant>
        <vt:lpwstr>_Toc159253841</vt:lpwstr>
      </vt:variant>
      <vt:variant>
        <vt:i4>1507381</vt:i4>
      </vt:variant>
      <vt:variant>
        <vt:i4>92</vt:i4>
      </vt:variant>
      <vt:variant>
        <vt:i4>0</vt:i4>
      </vt:variant>
      <vt:variant>
        <vt:i4>5</vt:i4>
      </vt:variant>
      <vt:variant>
        <vt:lpwstr/>
      </vt:variant>
      <vt:variant>
        <vt:lpwstr>_Toc159253840</vt:lpwstr>
      </vt:variant>
      <vt:variant>
        <vt:i4>1048629</vt:i4>
      </vt:variant>
      <vt:variant>
        <vt:i4>86</vt:i4>
      </vt:variant>
      <vt:variant>
        <vt:i4>0</vt:i4>
      </vt:variant>
      <vt:variant>
        <vt:i4>5</vt:i4>
      </vt:variant>
      <vt:variant>
        <vt:lpwstr/>
      </vt:variant>
      <vt:variant>
        <vt:lpwstr>_Toc159253839</vt:lpwstr>
      </vt:variant>
      <vt:variant>
        <vt:i4>1048629</vt:i4>
      </vt:variant>
      <vt:variant>
        <vt:i4>80</vt:i4>
      </vt:variant>
      <vt:variant>
        <vt:i4>0</vt:i4>
      </vt:variant>
      <vt:variant>
        <vt:i4>5</vt:i4>
      </vt:variant>
      <vt:variant>
        <vt:lpwstr/>
      </vt:variant>
      <vt:variant>
        <vt:lpwstr>_Toc159253838</vt:lpwstr>
      </vt:variant>
      <vt:variant>
        <vt:i4>1048629</vt:i4>
      </vt:variant>
      <vt:variant>
        <vt:i4>74</vt:i4>
      </vt:variant>
      <vt:variant>
        <vt:i4>0</vt:i4>
      </vt:variant>
      <vt:variant>
        <vt:i4>5</vt:i4>
      </vt:variant>
      <vt:variant>
        <vt:lpwstr/>
      </vt:variant>
      <vt:variant>
        <vt:lpwstr>_Toc159253837</vt:lpwstr>
      </vt:variant>
      <vt:variant>
        <vt:i4>1048629</vt:i4>
      </vt:variant>
      <vt:variant>
        <vt:i4>68</vt:i4>
      </vt:variant>
      <vt:variant>
        <vt:i4>0</vt:i4>
      </vt:variant>
      <vt:variant>
        <vt:i4>5</vt:i4>
      </vt:variant>
      <vt:variant>
        <vt:lpwstr/>
      </vt:variant>
      <vt:variant>
        <vt:lpwstr>_Toc159253836</vt:lpwstr>
      </vt:variant>
      <vt:variant>
        <vt:i4>1048629</vt:i4>
      </vt:variant>
      <vt:variant>
        <vt:i4>62</vt:i4>
      </vt:variant>
      <vt:variant>
        <vt:i4>0</vt:i4>
      </vt:variant>
      <vt:variant>
        <vt:i4>5</vt:i4>
      </vt:variant>
      <vt:variant>
        <vt:lpwstr/>
      </vt:variant>
      <vt:variant>
        <vt:lpwstr>_Toc159253835</vt:lpwstr>
      </vt:variant>
      <vt:variant>
        <vt:i4>1048629</vt:i4>
      </vt:variant>
      <vt:variant>
        <vt:i4>56</vt:i4>
      </vt:variant>
      <vt:variant>
        <vt:i4>0</vt:i4>
      </vt:variant>
      <vt:variant>
        <vt:i4>5</vt:i4>
      </vt:variant>
      <vt:variant>
        <vt:lpwstr/>
      </vt:variant>
      <vt:variant>
        <vt:lpwstr>_Toc159253834</vt:lpwstr>
      </vt:variant>
      <vt:variant>
        <vt:i4>1048629</vt:i4>
      </vt:variant>
      <vt:variant>
        <vt:i4>50</vt:i4>
      </vt:variant>
      <vt:variant>
        <vt:i4>0</vt:i4>
      </vt:variant>
      <vt:variant>
        <vt:i4>5</vt:i4>
      </vt:variant>
      <vt:variant>
        <vt:lpwstr/>
      </vt:variant>
      <vt:variant>
        <vt:lpwstr>_Toc159253833</vt:lpwstr>
      </vt:variant>
      <vt:variant>
        <vt:i4>1048629</vt:i4>
      </vt:variant>
      <vt:variant>
        <vt:i4>44</vt:i4>
      </vt:variant>
      <vt:variant>
        <vt:i4>0</vt:i4>
      </vt:variant>
      <vt:variant>
        <vt:i4>5</vt:i4>
      </vt:variant>
      <vt:variant>
        <vt:lpwstr/>
      </vt:variant>
      <vt:variant>
        <vt:lpwstr>_Toc159253832</vt:lpwstr>
      </vt:variant>
      <vt:variant>
        <vt:i4>1048629</vt:i4>
      </vt:variant>
      <vt:variant>
        <vt:i4>38</vt:i4>
      </vt:variant>
      <vt:variant>
        <vt:i4>0</vt:i4>
      </vt:variant>
      <vt:variant>
        <vt:i4>5</vt:i4>
      </vt:variant>
      <vt:variant>
        <vt:lpwstr/>
      </vt:variant>
      <vt:variant>
        <vt:lpwstr>_Toc159253831</vt:lpwstr>
      </vt:variant>
      <vt:variant>
        <vt:i4>1048629</vt:i4>
      </vt:variant>
      <vt:variant>
        <vt:i4>32</vt:i4>
      </vt:variant>
      <vt:variant>
        <vt:i4>0</vt:i4>
      </vt:variant>
      <vt:variant>
        <vt:i4>5</vt:i4>
      </vt:variant>
      <vt:variant>
        <vt:lpwstr/>
      </vt:variant>
      <vt:variant>
        <vt:lpwstr>_Toc159253830</vt:lpwstr>
      </vt:variant>
      <vt:variant>
        <vt:i4>1114165</vt:i4>
      </vt:variant>
      <vt:variant>
        <vt:i4>26</vt:i4>
      </vt:variant>
      <vt:variant>
        <vt:i4>0</vt:i4>
      </vt:variant>
      <vt:variant>
        <vt:i4>5</vt:i4>
      </vt:variant>
      <vt:variant>
        <vt:lpwstr/>
      </vt:variant>
      <vt:variant>
        <vt:lpwstr>_Toc159253829</vt:lpwstr>
      </vt:variant>
      <vt:variant>
        <vt:i4>1114165</vt:i4>
      </vt:variant>
      <vt:variant>
        <vt:i4>20</vt:i4>
      </vt:variant>
      <vt:variant>
        <vt:i4>0</vt:i4>
      </vt:variant>
      <vt:variant>
        <vt:i4>5</vt:i4>
      </vt:variant>
      <vt:variant>
        <vt:lpwstr/>
      </vt:variant>
      <vt:variant>
        <vt:lpwstr>_Toc159253828</vt:lpwstr>
      </vt:variant>
      <vt:variant>
        <vt:i4>1114165</vt:i4>
      </vt:variant>
      <vt:variant>
        <vt:i4>14</vt:i4>
      </vt:variant>
      <vt:variant>
        <vt:i4>0</vt:i4>
      </vt:variant>
      <vt:variant>
        <vt:i4>5</vt:i4>
      </vt:variant>
      <vt:variant>
        <vt:lpwstr/>
      </vt:variant>
      <vt:variant>
        <vt:lpwstr>_Toc159253827</vt:lpwstr>
      </vt:variant>
      <vt:variant>
        <vt:i4>1114165</vt:i4>
      </vt:variant>
      <vt:variant>
        <vt:i4>8</vt:i4>
      </vt:variant>
      <vt:variant>
        <vt:i4>0</vt:i4>
      </vt:variant>
      <vt:variant>
        <vt:i4>5</vt:i4>
      </vt:variant>
      <vt:variant>
        <vt:lpwstr/>
      </vt:variant>
      <vt:variant>
        <vt:lpwstr>_Toc159253826</vt:lpwstr>
      </vt:variant>
      <vt:variant>
        <vt:i4>1114165</vt:i4>
      </vt:variant>
      <vt:variant>
        <vt:i4>2</vt:i4>
      </vt:variant>
      <vt:variant>
        <vt:i4>0</vt:i4>
      </vt:variant>
      <vt:variant>
        <vt:i4>5</vt:i4>
      </vt:variant>
      <vt:variant>
        <vt:lpwstr/>
      </vt:variant>
      <vt:variant>
        <vt:lpwstr>_Toc159253825</vt:lpwstr>
      </vt:variant>
      <vt:variant>
        <vt:i4>1</vt:i4>
      </vt:variant>
      <vt:variant>
        <vt:i4>54</vt:i4>
      </vt:variant>
      <vt:variant>
        <vt:i4>0</vt:i4>
      </vt:variant>
      <vt:variant>
        <vt:i4>5</vt:i4>
      </vt:variant>
      <vt:variant>
        <vt:lpwstr>https://www.esc.vic.gov.au/sites/default/files/documents/Distributed-Generation-Inquiry-Stage-1-Final-Report-Energy-Value-FINAL-20160916.pdf</vt:lpwstr>
      </vt:variant>
      <vt:variant>
        <vt:lpwstr/>
      </vt:variant>
      <vt:variant>
        <vt:i4>2555941</vt:i4>
      </vt:variant>
      <vt:variant>
        <vt:i4>51</vt:i4>
      </vt:variant>
      <vt:variant>
        <vt:i4>0</vt:i4>
      </vt:variant>
      <vt:variant>
        <vt:i4>5</vt:i4>
      </vt:variant>
      <vt:variant>
        <vt:lpwstr>https://aemo.com.au/-/media/files/electricity/nem/security_and_reliability/loss_factors_and_regional_boundaries/2023-24/marginal-loss-factors-for-the-2023-24-financia-year-pdf.pdf?la=en</vt:lpwstr>
      </vt:variant>
      <vt:variant>
        <vt:lpwstr/>
      </vt:variant>
      <vt:variant>
        <vt:i4>1441856</vt:i4>
      </vt:variant>
      <vt:variant>
        <vt:i4>48</vt:i4>
      </vt:variant>
      <vt:variant>
        <vt:i4>0</vt:i4>
      </vt:variant>
      <vt:variant>
        <vt:i4>5</vt:i4>
      </vt:variant>
      <vt:variant>
        <vt:lpwstr>https://aemo.com.au/-/media/files/electricity/nem/security_and_reliability/loss_factors_and_regional_boundaries/2023-24/distribution-loss-factors-for-the-2023-24-financial-year.pdf?la=en</vt:lpwstr>
      </vt:variant>
      <vt:variant>
        <vt:lpwstr/>
      </vt:variant>
      <vt:variant>
        <vt:i4>7143472</vt:i4>
      </vt:variant>
      <vt:variant>
        <vt:i4>45</vt:i4>
      </vt:variant>
      <vt:variant>
        <vt:i4>0</vt:i4>
      </vt:variant>
      <vt:variant>
        <vt:i4>5</vt:i4>
      </vt:variant>
      <vt:variant>
        <vt:lpwstr>https://aemo.com.au/en/energy-systems/electricity/national-electricity-market-nem/data-nem/ancillary-services-data/ancillary-services-payments-and-recovery</vt:lpwstr>
      </vt:variant>
      <vt:variant>
        <vt:lpwstr/>
      </vt:variant>
      <vt:variant>
        <vt:i4>2752623</vt:i4>
      </vt:variant>
      <vt:variant>
        <vt:i4>42</vt:i4>
      </vt:variant>
      <vt:variant>
        <vt:i4>0</vt:i4>
      </vt:variant>
      <vt:variant>
        <vt:i4>5</vt:i4>
      </vt:variant>
      <vt:variant>
        <vt:lpwstr>https://aemo.com.au/~/aemo-electricity-fee-structure-final-report-and-determination.pdf</vt:lpwstr>
      </vt:variant>
      <vt:variant>
        <vt:lpwstr/>
      </vt:variant>
      <vt:variant>
        <vt:i4>2424930</vt:i4>
      </vt:variant>
      <vt:variant>
        <vt:i4>39</vt:i4>
      </vt:variant>
      <vt:variant>
        <vt:i4>0</vt:i4>
      </vt:variant>
      <vt:variant>
        <vt:i4>5</vt:i4>
      </vt:variant>
      <vt:variant>
        <vt:lpwstr>https://aemo.com.au/en/consultations/current-and-closed-consultations/2022-23-aemo-budget-and-fees</vt:lpwstr>
      </vt:variant>
      <vt:variant>
        <vt:lpwstr/>
      </vt:variant>
      <vt:variant>
        <vt:i4>1966172</vt:i4>
      </vt:variant>
      <vt:variant>
        <vt:i4>33</vt:i4>
      </vt:variant>
      <vt:variant>
        <vt:i4>0</vt:i4>
      </vt:variant>
      <vt:variant>
        <vt:i4>5</vt:i4>
      </vt:variant>
      <vt:variant>
        <vt:lpwstr>https://aemo.com.au/about/corporate-governance/energy-market-fees-and-charges</vt:lpwstr>
      </vt:variant>
      <vt:variant>
        <vt:lpwstr/>
      </vt:variant>
      <vt:variant>
        <vt:i4>6291507</vt:i4>
      </vt:variant>
      <vt:variant>
        <vt:i4>30</vt:i4>
      </vt:variant>
      <vt:variant>
        <vt:i4>0</vt:i4>
      </vt:variant>
      <vt:variant>
        <vt:i4>5</vt:i4>
      </vt:variant>
      <vt:variant>
        <vt:lpwstr>https://www.cleanenergyregulator.gov.au/RET/About-the-Renewable-Energy-Target/How-the-scheme-works/Small-scale-Renewable-Energy-Scheme</vt:lpwstr>
      </vt:variant>
      <vt:variant>
        <vt:lpwstr/>
      </vt:variant>
      <vt:variant>
        <vt:i4>2949152</vt:i4>
      </vt:variant>
      <vt:variant>
        <vt:i4>27</vt:i4>
      </vt:variant>
      <vt:variant>
        <vt:i4>0</vt:i4>
      </vt:variant>
      <vt:variant>
        <vt:i4>5</vt:i4>
      </vt:variant>
      <vt:variant>
        <vt:lpwstr>https://www.greenpower.gov.au/about-greenpower</vt:lpwstr>
      </vt:variant>
      <vt:variant>
        <vt:lpwstr/>
      </vt:variant>
      <vt:variant>
        <vt:i4>65555</vt:i4>
      </vt:variant>
      <vt:variant>
        <vt:i4>24</vt:i4>
      </vt:variant>
      <vt:variant>
        <vt:i4>0</vt:i4>
      </vt:variant>
      <vt:variant>
        <vt:i4>5</vt:i4>
      </vt:variant>
      <vt:variant>
        <vt:lpwstr>https://youtu.be/aW2qB8f4tmc</vt:lpwstr>
      </vt:variant>
      <vt:variant>
        <vt:lpwstr/>
      </vt:variant>
      <vt:variant>
        <vt:i4>524353</vt:i4>
      </vt:variant>
      <vt:variant>
        <vt:i4>21</vt:i4>
      </vt:variant>
      <vt:variant>
        <vt:i4>0</vt:i4>
      </vt:variant>
      <vt:variant>
        <vt:i4>5</vt:i4>
      </vt:variant>
      <vt:variant>
        <vt:lpwstr>https://www.esc.vic.gov.au/electricity-and-gas/electricity-and-gas-tariffs-and-benchmarks/minimum-feed-tariff</vt:lpwstr>
      </vt:variant>
      <vt:variant>
        <vt:lpwstr/>
      </vt:variant>
      <vt:variant>
        <vt:i4>3997810</vt:i4>
      </vt:variant>
      <vt:variant>
        <vt:i4>18</vt:i4>
      </vt:variant>
      <vt:variant>
        <vt:i4>0</vt:i4>
      </vt:variant>
      <vt:variant>
        <vt:i4>5</vt:i4>
      </vt:variant>
      <vt:variant>
        <vt:lpwstr>https://www.solar.vic.gov.au/solar-saves-more-money-and-environment</vt:lpwstr>
      </vt:variant>
      <vt:variant>
        <vt:lpwstr/>
      </vt:variant>
      <vt:variant>
        <vt:i4>7733370</vt:i4>
      </vt:variant>
      <vt:variant>
        <vt:i4>15</vt:i4>
      </vt:variant>
      <vt:variant>
        <vt:i4>0</vt:i4>
      </vt:variant>
      <vt:variant>
        <vt:i4>5</vt:i4>
      </vt:variant>
      <vt:variant>
        <vt:lpwstr>http://www.cleanenergyregulator.gov.au/RET/Forms-and-resources/Postcode-data-for-small-scale-installations</vt:lpwstr>
      </vt:variant>
      <vt:variant>
        <vt:lpwstr>Installation-numbers-for-smallscale-systems-by-stateterritory</vt:lpwstr>
      </vt:variant>
      <vt:variant>
        <vt:i4>4718602</vt:i4>
      </vt:variant>
      <vt:variant>
        <vt:i4>12</vt:i4>
      </vt:variant>
      <vt:variant>
        <vt:i4>0</vt:i4>
      </vt:variant>
      <vt:variant>
        <vt:i4>5</vt:i4>
      </vt:variant>
      <vt:variant>
        <vt:lpwstr>https://opennem.org.au/energy/nem/?range=7d&amp;interval=30m</vt:lpwstr>
      </vt:variant>
      <vt:variant>
        <vt:lpwstr/>
      </vt:variant>
      <vt:variant>
        <vt:i4>8061038</vt:i4>
      </vt:variant>
      <vt:variant>
        <vt:i4>9</vt:i4>
      </vt:variant>
      <vt:variant>
        <vt:i4>0</vt:i4>
      </vt:variant>
      <vt:variant>
        <vt:i4>5</vt:i4>
      </vt:variant>
      <vt:variant>
        <vt:lpwstr>https://www.aemo.com.au/Energy-systems/Electricity/National-Electricity-Market-NEM/Data-NEM/Data-Dashboard-NEM</vt:lpwstr>
      </vt:variant>
      <vt:variant>
        <vt:lpwstr/>
      </vt:variant>
      <vt:variant>
        <vt:i4>5832790</vt:i4>
      </vt:variant>
      <vt:variant>
        <vt:i4>6</vt:i4>
      </vt:variant>
      <vt:variant>
        <vt:i4>0</vt:i4>
      </vt:variant>
      <vt:variant>
        <vt:i4>5</vt:i4>
      </vt:variant>
      <vt:variant>
        <vt:lpwstr>https://www.ato.gov.au/law/view/pdf/adhoc-sgml/gstir-electricity-gas-industry.pdf</vt:lpwstr>
      </vt:variant>
      <vt:variant>
        <vt:lpwstr/>
      </vt:variant>
      <vt:variant>
        <vt:i4>6160449</vt:i4>
      </vt:variant>
      <vt:variant>
        <vt:i4>3</vt:i4>
      </vt:variant>
      <vt:variant>
        <vt:i4>0</vt:i4>
      </vt:variant>
      <vt:variant>
        <vt:i4>5</vt:i4>
      </vt:variant>
      <vt:variant>
        <vt:lpwstr>http://www.gazette.vic.gov.au/gazette/Gazettes2013/GG2013S216.pdf</vt:lpwstr>
      </vt:variant>
      <vt:variant>
        <vt:lpwstr/>
      </vt:variant>
      <vt:variant>
        <vt:i4>6684785</vt:i4>
      </vt:variant>
      <vt:variant>
        <vt:i4>0</vt:i4>
      </vt:variant>
      <vt:variant>
        <vt:i4>0</vt:i4>
      </vt:variant>
      <vt:variant>
        <vt:i4>5</vt:i4>
      </vt:variant>
      <vt:variant>
        <vt:lpwstr>https://www.cleanenergyregulator.gov.au/RET/Forms-and-resources/Postcode-data-for-small-scale-installations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Electricity Feed-in Tariffs from 1 July 2024</dc:title>
  <dc:subject/>
  <dc:creator>Geoffrey Dellar (ESC)</dc:creator>
  <cp:keywords>[SEC=OFFICIAL]</cp:keywords>
  <dc:description>Final Decision</dc:description>
  <cp:lastModifiedBy>Geoffrey Dellar (ESC)</cp:lastModifiedBy>
  <cp:revision>1129</cp:revision>
  <cp:lastPrinted>2018-01-14T06:54:00Z</cp:lastPrinted>
  <dcterms:created xsi:type="dcterms:W3CDTF">2024-02-02T08:07:00Z</dcterms:created>
  <dcterms:modified xsi:type="dcterms:W3CDTF">2024-02-26T02:33:00Z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0x0101005498D85C82905B4AB3B16EABB2039E40</vt:lpwstr>
  </property>
  <property fmtid="{D5CDD505-2E9C-101B-9397-08002B2CF9AE}" pid="3" name="MediaServiceImageTags">
    <vt:lpwstr/>
  </property>
  <property fmtid="{D5CDD505-2E9C-101B-9397-08002B2CF9AE}" pid="4" name="PM_ProtectiveMarkingImage_Header">
    <vt:lpwstr>C:\Program Files\Common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C93B873202454C129DB0F1299BE8FC7D</vt:lpwstr>
  </property>
  <property fmtid="{D5CDD505-2E9C-101B-9397-08002B2CF9AE}" pid="11" name="PM_ProtectiveMarkingValue_Footer">
    <vt:lpwstr>OFFICIAL</vt:lpwstr>
  </property>
  <property fmtid="{D5CDD505-2E9C-101B-9397-08002B2CF9AE}" pid="12" name="PM_Originator_Hash_SHA1">
    <vt:lpwstr>3D18432F55E4E6A8F76C7582F928CD46FF926AD1</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2019.2.1.vic.gov.au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Uuid">
    <vt:lpwstr>C9CD97EE-7A57-5433-8DC0-34EC18AC88E3</vt:lpwstr>
  </property>
  <property fmtid="{D5CDD505-2E9C-101B-9397-08002B2CF9AE}" pid="21" name="PMUuidVer">
    <vt:lpwstr>2022.1</vt:lpwstr>
  </property>
  <property fmtid="{D5CDD505-2E9C-101B-9397-08002B2CF9AE}" pid="22" name="PM_Hash_Version">
    <vt:lpwstr>2018.0</vt:lpwstr>
  </property>
  <property fmtid="{D5CDD505-2E9C-101B-9397-08002B2CF9AE}" pid="23" name="PM_OriginatorUserAccountName_SHA256">
    <vt:lpwstr>26576A8EB44CC04D430C4616666D8D44D613D068BFE24D6E4CCA2ED9E5E23570</vt:lpwstr>
  </property>
  <property fmtid="{D5CDD505-2E9C-101B-9397-08002B2CF9AE}" pid="24" name="PM_OriginatorDomainName_SHA256">
    <vt:lpwstr>9E5929A2B0C9364118E50F7972B6A4AA763F815A803675E11226272E392AE99C</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OriginationTimeStamp">
    <vt:lpwstr>2024-02-13T03:13:26Z</vt:lpwstr>
  </property>
  <property fmtid="{D5CDD505-2E9C-101B-9397-08002B2CF9AE}" pid="29" name="PM_Hash_Salt_Prev">
    <vt:lpwstr>30B295AA142A82681DEABB06554762CF</vt:lpwstr>
  </property>
  <property fmtid="{D5CDD505-2E9C-101B-9397-08002B2CF9AE}" pid="30" name="PM_Hash_Salt">
    <vt:lpwstr>563B74DEB7772534ABC65218A880B596</vt:lpwstr>
  </property>
  <property fmtid="{D5CDD505-2E9C-101B-9397-08002B2CF9AE}" pid="31" name="PM_Hash_SHA1">
    <vt:lpwstr>71FC8C4E08CA76DA48AFD8E3F6EBF949EA76ED37</vt:lpwstr>
  </property>
</Properties>
</file>